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A97" w:rsidRDefault="00004A97" w:rsidP="0079495D">
      <w:pPr>
        <w:jc w:val="center"/>
        <w:rPr>
          <w:b/>
          <w:sz w:val="22"/>
        </w:rPr>
      </w:pPr>
      <w:bookmarkStart w:id="0" w:name="_GoBack"/>
      <w:bookmarkEnd w:id="0"/>
      <w:r>
        <w:rPr>
          <w:b/>
          <w:noProof/>
          <w:sz w:val="22"/>
        </w:rPr>
        <w:drawing>
          <wp:anchor distT="0" distB="0" distL="114300" distR="114300" simplePos="0" relativeHeight="251658240" behindDoc="0" locked="0" layoutInCell="1" allowOverlap="1" wp14:anchorId="6DF452A6" wp14:editId="51138FFB">
            <wp:simplePos x="0" y="0"/>
            <wp:positionH relativeFrom="column">
              <wp:posOffset>1891030</wp:posOffset>
            </wp:positionH>
            <wp:positionV relativeFrom="paragraph">
              <wp:posOffset>-344170</wp:posOffset>
            </wp:positionV>
            <wp:extent cx="1633855" cy="712470"/>
            <wp:effectExtent l="0" t="0" r="444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eming-logo+tag-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3855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4A97" w:rsidRDefault="00004A97" w:rsidP="0079495D">
      <w:pPr>
        <w:jc w:val="center"/>
        <w:rPr>
          <w:b/>
          <w:sz w:val="22"/>
        </w:rPr>
      </w:pPr>
    </w:p>
    <w:p w:rsidR="00B06AA7" w:rsidRDefault="00DF77D2" w:rsidP="002E74AA">
      <w:pPr>
        <w:jc w:val="center"/>
        <w:rPr>
          <w:b/>
          <w:color w:val="4F6228" w:themeColor="accent3" w:themeShade="80"/>
          <w:sz w:val="34"/>
          <w:szCs w:val="34"/>
        </w:rPr>
      </w:pPr>
      <w:r>
        <w:rPr>
          <w:b/>
          <w:color w:val="4F6228" w:themeColor="accent3" w:themeShade="80"/>
          <w:sz w:val="34"/>
          <w:szCs w:val="34"/>
        </w:rPr>
        <w:t>Signing Authority</w:t>
      </w:r>
      <w:r w:rsidR="00B06AA7" w:rsidRPr="00AF2F07">
        <w:rPr>
          <w:b/>
          <w:color w:val="4F6228" w:themeColor="accent3" w:themeShade="80"/>
          <w:sz w:val="34"/>
          <w:szCs w:val="34"/>
        </w:rPr>
        <w:t xml:space="preserve"> </w:t>
      </w:r>
      <w:r w:rsidR="001902F2">
        <w:rPr>
          <w:b/>
          <w:color w:val="4F6228" w:themeColor="accent3" w:themeShade="80"/>
          <w:sz w:val="34"/>
          <w:szCs w:val="34"/>
        </w:rPr>
        <w:t>Overview</w:t>
      </w:r>
      <w:r w:rsidR="00AF2F07" w:rsidRPr="00AF2F07">
        <w:rPr>
          <w:b/>
          <w:color w:val="4F6228" w:themeColor="accent3" w:themeShade="80"/>
          <w:sz w:val="34"/>
          <w:szCs w:val="34"/>
        </w:rPr>
        <w:t xml:space="preserve"> </w:t>
      </w:r>
      <w:bookmarkStart w:id="1" w:name="_What_has_changed"/>
      <w:bookmarkEnd w:id="1"/>
    </w:p>
    <w:p w:rsidR="002E74AA" w:rsidRPr="002E74AA" w:rsidRDefault="002E74AA" w:rsidP="002E74AA">
      <w:pPr>
        <w:jc w:val="center"/>
        <w:rPr>
          <w:b/>
          <w:color w:val="4F6228" w:themeColor="accent3" w:themeShade="80"/>
          <w:sz w:val="34"/>
          <w:szCs w:val="34"/>
        </w:rPr>
      </w:pPr>
    </w:p>
    <w:p w:rsidR="00DE1761" w:rsidRDefault="002E74AA" w:rsidP="00836609">
      <w:pPr>
        <w:rPr>
          <w:sz w:val="24"/>
          <w:szCs w:val="24"/>
        </w:rPr>
      </w:pPr>
      <w:r w:rsidRPr="002E74AA">
        <w:rPr>
          <w:sz w:val="24"/>
          <w:szCs w:val="24"/>
        </w:rPr>
        <w:t xml:space="preserve">The Board of Governors approved a </w:t>
      </w:r>
      <w:r w:rsidR="000A7D91">
        <w:rPr>
          <w:sz w:val="24"/>
          <w:szCs w:val="24"/>
        </w:rPr>
        <w:t>Policy</w:t>
      </w:r>
      <w:r w:rsidR="00C108A7">
        <w:rPr>
          <w:sz w:val="24"/>
          <w:szCs w:val="24"/>
        </w:rPr>
        <w:t xml:space="preserve"> called</w:t>
      </w:r>
      <w:r w:rsidR="000A7D91">
        <w:rPr>
          <w:sz w:val="24"/>
          <w:szCs w:val="24"/>
        </w:rPr>
        <w:t xml:space="preserve">, </w:t>
      </w:r>
      <w:hyperlink r:id="rId9" w:history="1">
        <w:r w:rsidRPr="00027B5A">
          <w:rPr>
            <w:rStyle w:val="Hyperlink"/>
            <w:b/>
            <w:i/>
            <w:sz w:val="24"/>
            <w:szCs w:val="24"/>
          </w:rPr>
          <w:t xml:space="preserve">Signing Authority </w:t>
        </w:r>
        <w:r w:rsidR="000A7D91" w:rsidRPr="00027B5A">
          <w:rPr>
            <w:rStyle w:val="Hyperlink"/>
            <w:b/>
            <w:i/>
            <w:sz w:val="24"/>
            <w:szCs w:val="24"/>
          </w:rPr>
          <w:t xml:space="preserve">– Externally Binding Transactions and Contractual Obligations, </w:t>
        </w:r>
        <w:r w:rsidRPr="00027B5A">
          <w:rPr>
            <w:rStyle w:val="Hyperlink"/>
            <w:b/>
            <w:i/>
            <w:sz w:val="24"/>
            <w:szCs w:val="24"/>
          </w:rPr>
          <w:t>#4-417</w:t>
        </w:r>
      </w:hyperlink>
      <w:r w:rsidRPr="002E74AA">
        <w:rPr>
          <w:sz w:val="24"/>
          <w:szCs w:val="24"/>
        </w:rPr>
        <w:t xml:space="preserve"> on June 28, 2017</w:t>
      </w:r>
      <w:r w:rsidR="00DE1761">
        <w:rPr>
          <w:sz w:val="24"/>
          <w:szCs w:val="24"/>
        </w:rPr>
        <w:t>.</w:t>
      </w:r>
      <w:r w:rsidR="000A7D91">
        <w:rPr>
          <w:sz w:val="24"/>
          <w:szCs w:val="24"/>
        </w:rPr>
        <w:t xml:space="preserve">  The short title for this Policy is “Signing Authority”.</w:t>
      </w:r>
    </w:p>
    <w:p w:rsidR="008F59E2" w:rsidRPr="008F59E2" w:rsidRDefault="008F59E2" w:rsidP="00836609">
      <w:pPr>
        <w:rPr>
          <w:b/>
          <w:color w:val="4F6228" w:themeColor="accent3" w:themeShade="80"/>
          <w:sz w:val="28"/>
          <w:szCs w:val="28"/>
        </w:rPr>
      </w:pPr>
      <w:r w:rsidRPr="008F59E2">
        <w:rPr>
          <w:b/>
          <w:color w:val="4F6228" w:themeColor="accent3" w:themeShade="80"/>
          <w:sz w:val="28"/>
          <w:szCs w:val="28"/>
        </w:rPr>
        <w:t>Signing Officers</w:t>
      </w:r>
      <w:r>
        <w:rPr>
          <w:b/>
          <w:color w:val="4F6228" w:themeColor="accent3" w:themeShade="80"/>
          <w:sz w:val="28"/>
          <w:szCs w:val="28"/>
        </w:rPr>
        <w:t>:</w:t>
      </w:r>
    </w:p>
    <w:p w:rsidR="00DE1761" w:rsidRDefault="00DE1761" w:rsidP="00836609">
      <w:pPr>
        <w:rPr>
          <w:sz w:val="24"/>
          <w:szCs w:val="24"/>
        </w:rPr>
      </w:pPr>
      <w:r>
        <w:rPr>
          <w:sz w:val="24"/>
          <w:szCs w:val="24"/>
        </w:rPr>
        <w:t>Effective August 31, 2017 the policy authorize</w:t>
      </w:r>
      <w:r w:rsidR="00C108A7">
        <w:rPr>
          <w:sz w:val="24"/>
          <w:szCs w:val="24"/>
        </w:rPr>
        <w:t>s</w:t>
      </w:r>
      <w:r>
        <w:rPr>
          <w:sz w:val="24"/>
          <w:szCs w:val="24"/>
        </w:rPr>
        <w:t>, the following positions to sign all legal documents, banking and investment transactions:</w:t>
      </w:r>
    </w:p>
    <w:p w:rsidR="002E74AA" w:rsidRPr="00DE1761" w:rsidRDefault="00DE1761" w:rsidP="00DE1761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DE1761">
        <w:rPr>
          <w:sz w:val="24"/>
          <w:szCs w:val="24"/>
        </w:rPr>
        <w:t>Chair of the Board of Governors</w:t>
      </w:r>
    </w:p>
    <w:p w:rsidR="00DE1761" w:rsidRPr="00DE1761" w:rsidRDefault="000A7D91" w:rsidP="00DE1761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Vice-Chairs of the B</w:t>
      </w:r>
      <w:r w:rsidR="00DE1761" w:rsidRPr="00DE1761">
        <w:rPr>
          <w:sz w:val="24"/>
          <w:szCs w:val="24"/>
        </w:rPr>
        <w:t>oard of Governors</w:t>
      </w:r>
    </w:p>
    <w:p w:rsidR="00DE1761" w:rsidRDefault="00DE1761" w:rsidP="00DE1761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DE1761">
        <w:rPr>
          <w:sz w:val="24"/>
          <w:szCs w:val="24"/>
        </w:rPr>
        <w:t>President</w:t>
      </w:r>
    </w:p>
    <w:p w:rsidR="00DE1761" w:rsidRDefault="00DE1761" w:rsidP="00836609">
      <w:pPr>
        <w:rPr>
          <w:sz w:val="24"/>
          <w:szCs w:val="24"/>
        </w:rPr>
      </w:pPr>
      <w:r>
        <w:rPr>
          <w:sz w:val="24"/>
          <w:szCs w:val="24"/>
        </w:rPr>
        <w:t>The p</w:t>
      </w:r>
      <w:r w:rsidRPr="007F7498">
        <w:rPr>
          <w:sz w:val="24"/>
          <w:szCs w:val="24"/>
        </w:rPr>
        <w:t>olicy</w:t>
      </w:r>
      <w:r w:rsidR="00C108A7">
        <w:rPr>
          <w:sz w:val="24"/>
          <w:szCs w:val="24"/>
        </w:rPr>
        <w:t xml:space="preserve"> further </w:t>
      </w:r>
      <w:r w:rsidRPr="007F7498">
        <w:rPr>
          <w:sz w:val="24"/>
          <w:szCs w:val="24"/>
        </w:rPr>
        <w:t xml:space="preserve">authorizes the President to delegate signing authority to other positions </w:t>
      </w:r>
      <w:r w:rsidR="000A7D91" w:rsidRPr="007F7498">
        <w:rPr>
          <w:sz w:val="24"/>
          <w:szCs w:val="24"/>
        </w:rPr>
        <w:t>through the College’s procedure,</w:t>
      </w:r>
      <w:r w:rsidRPr="007F7498">
        <w:rPr>
          <w:sz w:val="24"/>
          <w:szCs w:val="24"/>
        </w:rPr>
        <w:t xml:space="preserve"> </w:t>
      </w:r>
      <w:hyperlink r:id="rId10" w:history="1">
        <w:r w:rsidRPr="00027B5A">
          <w:rPr>
            <w:rStyle w:val="Hyperlink"/>
            <w:b/>
            <w:i/>
            <w:sz w:val="24"/>
            <w:szCs w:val="24"/>
          </w:rPr>
          <w:t>#4-417 Administrative Operating Procedure</w:t>
        </w:r>
        <w:r w:rsidR="000A7D91" w:rsidRPr="00027B5A">
          <w:rPr>
            <w:rStyle w:val="Hyperlink"/>
            <w:b/>
            <w:i/>
            <w:sz w:val="24"/>
            <w:szCs w:val="24"/>
          </w:rPr>
          <w:t>, Signing Authority</w:t>
        </w:r>
      </w:hyperlink>
      <w:r w:rsidRPr="00355E97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 The procedure sets out those employees with signing authority </w:t>
      </w:r>
      <w:r w:rsidR="007533FE">
        <w:rPr>
          <w:sz w:val="24"/>
          <w:szCs w:val="24"/>
        </w:rPr>
        <w:t xml:space="preserve">delegated by the President </w:t>
      </w:r>
      <w:r>
        <w:rPr>
          <w:sz w:val="24"/>
          <w:szCs w:val="24"/>
        </w:rPr>
        <w:t>in the appendices, as follows</w:t>
      </w:r>
      <w:r w:rsidR="00342D98">
        <w:rPr>
          <w:sz w:val="24"/>
          <w:szCs w:val="24"/>
        </w:rPr>
        <w:t>:</w:t>
      </w:r>
    </w:p>
    <w:p w:rsidR="00342D98" w:rsidRDefault="00342D98" w:rsidP="00342D98">
      <w:pPr>
        <w:pStyle w:val="ListParagraph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Appendix A – Designated Signing Officers – Legal Documents</w:t>
      </w:r>
    </w:p>
    <w:p w:rsidR="00342D98" w:rsidRDefault="00342D98" w:rsidP="00342D98">
      <w:pPr>
        <w:pStyle w:val="ListParagraph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Appendix B – Designated Signing Officers – Banking Transactions</w:t>
      </w:r>
    </w:p>
    <w:p w:rsidR="00560A3B" w:rsidRDefault="00342D98" w:rsidP="00560A3B">
      <w:pPr>
        <w:pStyle w:val="ListParagraph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Appendix C – Designated Signing Officers – Investment Transactions</w:t>
      </w:r>
    </w:p>
    <w:p w:rsidR="00560A3B" w:rsidRPr="00C108A7" w:rsidRDefault="00186D87" w:rsidP="00560A3B">
      <w:pPr>
        <w:rPr>
          <w:sz w:val="24"/>
          <w:szCs w:val="24"/>
        </w:rPr>
      </w:pPr>
      <w:r>
        <w:rPr>
          <w:sz w:val="24"/>
          <w:szCs w:val="24"/>
        </w:rPr>
        <w:t xml:space="preserve">The delegation of authority to sign specific Legal Documents is limited to those </w:t>
      </w:r>
      <w:r w:rsidR="00C108A7">
        <w:rPr>
          <w:sz w:val="24"/>
          <w:szCs w:val="24"/>
        </w:rPr>
        <w:t xml:space="preserve">contracts </w:t>
      </w:r>
      <w:r>
        <w:rPr>
          <w:sz w:val="24"/>
          <w:szCs w:val="24"/>
        </w:rPr>
        <w:t xml:space="preserve">that meet all </w:t>
      </w:r>
      <w:r w:rsidRPr="00C108A7">
        <w:rPr>
          <w:sz w:val="24"/>
          <w:szCs w:val="24"/>
        </w:rPr>
        <w:t>of the following conditions:</w:t>
      </w:r>
    </w:p>
    <w:p w:rsidR="00186D87" w:rsidRPr="00C108A7" w:rsidRDefault="00186D87" w:rsidP="00186D87">
      <w:pPr>
        <w:pStyle w:val="BodyText"/>
        <w:numPr>
          <w:ilvl w:val="0"/>
          <w:numId w:val="25"/>
        </w:numPr>
        <w:spacing w:before="183"/>
        <w:ind w:right="361"/>
      </w:pPr>
      <w:r w:rsidRPr="00C108A7">
        <w:t xml:space="preserve">has a value of less than $1.0 million, unless a higher or lower limit is included in the table </w:t>
      </w:r>
    </w:p>
    <w:p w:rsidR="00186D87" w:rsidRPr="00C108A7" w:rsidRDefault="00186D87" w:rsidP="00186D87">
      <w:pPr>
        <w:pStyle w:val="BodyText"/>
        <w:numPr>
          <w:ilvl w:val="0"/>
          <w:numId w:val="25"/>
        </w:numPr>
        <w:spacing w:before="183"/>
        <w:ind w:right="361"/>
      </w:pPr>
      <w:r w:rsidRPr="00C108A7">
        <w:t>has a term of ten (10) years or less</w:t>
      </w:r>
    </w:p>
    <w:p w:rsidR="00186D87" w:rsidRPr="00C108A7" w:rsidRDefault="00186D87" w:rsidP="00186D87">
      <w:pPr>
        <w:pStyle w:val="BodyText"/>
        <w:numPr>
          <w:ilvl w:val="0"/>
          <w:numId w:val="25"/>
        </w:numPr>
        <w:spacing w:before="183"/>
        <w:ind w:right="361"/>
      </w:pPr>
      <w:r w:rsidRPr="00C108A7">
        <w:t>is in compliance with all applicable policies of the college and applicable laws and government directives</w:t>
      </w:r>
    </w:p>
    <w:p w:rsidR="00186D87" w:rsidRPr="00C108A7" w:rsidRDefault="00186D87" w:rsidP="00186D87">
      <w:pPr>
        <w:pStyle w:val="BodyText"/>
        <w:numPr>
          <w:ilvl w:val="0"/>
          <w:numId w:val="25"/>
        </w:numPr>
        <w:spacing w:before="183"/>
        <w:ind w:right="361"/>
      </w:pPr>
      <w:r w:rsidRPr="00C108A7">
        <w:t>relates to activities of the college that are permitted under its objects</w:t>
      </w:r>
    </w:p>
    <w:p w:rsidR="00186D87" w:rsidRPr="00C108A7" w:rsidRDefault="00186D87" w:rsidP="00186D87">
      <w:pPr>
        <w:pStyle w:val="BodyText"/>
        <w:numPr>
          <w:ilvl w:val="0"/>
          <w:numId w:val="25"/>
        </w:numPr>
        <w:spacing w:before="183"/>
        <w:ind w:right="361"/>
      </w:pPr>
      <w:r w:rsidRPr="00C108A7">
        <w:t>it is governed by the laws of Ontario and the contract must relate to activities undertaken within Canada, unless</w:t>
      </w:r>
    </w:p>
    <w:p w:rsidR="00186D87" w:rsidRPr="00C108A7" w:rsidRDefault="00186D87" w:rsidP="00186D87">
      <w:pPr>
        <w:pStyle w:val="BodyText"/>
        <w:numPr>
          <w:ilvl w:val="1"/>
          <w:numId w:val="25"/>
        </w:numPr>
        <w:spacing w:before="183"/>
        <w:ind w:right="361"/>
      </w:pPr>
      <w:r w:rsidRPr="00C108A7">
        <w:lastRenderedPageBreak/>
        <w:t xml:space="preserve">the purpose of the contract is </w:t>
      </w:r>
    </w:p>
    <w:p w:rsidR="00186D87" w:rsidRPr="00C108A7" w:rsidRDefault="00186D87" w:rsidP="00186D87">
      <w:pPr>
        <w:pStyle w:val="BodyText"/>
        <w:numPr>
          <w:ilvl w:val="2"/>
          <w:numId w:val="25"/>
        </w:numPr>
        <w:spacing w:before="183"/>
        <w:ind w:right="361"/>
      </w:pPr>
      <w:r w:rsidRPr="00C108A7">
        <w:t>to purchase recruiting services; or</w:t>
      </w:r>
    </w:p>
    <w:p w:rsidR="00186D87" w:rsidRPr="00C108A7" w:rsidRDefault="00186D87" w:rsidP="00186D87">
      <w:pPr>
        <w:pStyle w:val="BodyText"/>
        <w:numPr>
          <w:ilvl w:val="2"/>
          <w:numId w:val="25"/>
        </w:numPr>
        <w:spacing w:before="183"/>
        <w:ind w:right="361"/>
      </w:pPr>
      <w:r w:rsidRPr="00C108A7">
        <w:t>to provide one or more of curriculum design, program design or faculty exchange</w:t>
      </w:r>
    </w:p>
    <w:p w:rsidR="00186D87" w:rsidRPr="00C108A7" w:rsidRDefault="00186D87" w:rsidP="00186D87">
      <w:pPr>
        <w:pStyle w:val="BodyText"/>
        <w:numPr>
          <w:ilvl w:val="1"/>
          <w:numId w:val="25"/>
        </w:numPr>
        <w:spacing w:before="183"/>
        <w:ind w:right="361"/>
      </w:pPr>
      <w:r w:rsidRPr="00C108A7">
        <w:t>the total contract value is less than $3.0 million</w:t>
      </w:r>
    </w:p>
    <w:p w:rsidR="00186D87" w:rsidRPr="00C108A7" w:rsidRDefault="00186D87" w:rsidP="00186D87">
      <w:pPr>
        <w:pStyle w:val="BodyText"/>
        <w:numPr>
          <w:ilvl w:val="1"/>
          <w:numId w:val="25"/>
        </w:numPr>
      </w:pPr>
      <w:r w:rsidRPr="00C108A7">
        <w:t>where the amount the college is required to pay or receive under the contract is undeterminable, the contract limits the liabilities of the college under the agreement to $3.0 million</w:t>
      </w:r>
    </w:p>
    <w:p w:rsidR="00186D87" w:rsidRDefault="00186D87" w:rsidP="00560A3B">
      <w:pPr>
        <w:rPr>
          <w:sz w:val="24"/>
          <w:szCs w:val="24"/>
        </w:rPr>
      </w:pPr>
      <w:r>
        <w:rPr>
          <w:sz w:val="24"/>
          <w:szCs w:val="24"/>
        </w:rPr>
        <w:t>The table at the bottom of Appendix A identifies the signing authority limits for agreements related to the purchase of goods and services.  Note there are requirements prior to entering into these types of agreements, specifically:</w:t>
      </w:r>
    </w:p>
    <w:p w:rsidR="00186D87" w:rsidRDefault="00186D87" w:rsidP="00186D87">
      <w:pPr>
        <w:pStyle w:val="ListParagraph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 xml:space="preserve">all agreements are to be </w:t>
      </w:r>
      <w:r w:rsidR="00EC0260">
        <w:rPr>
          <w:sz w:val="24"/>
          <w:szCs w:val="24"/>
        </w:rPr>
        <w:t>reviewed</w:t>
      </w:r>
      <w:r>
        <w:rPr>
          <w:sz w:val="24"/>
          <w:szCs w:val="24"/>
        </w:rPr>
        <w:t xml:space="preserve"> by or advice obtained from Purchasing prior to signing</w:t>
      </w:r>
    </w:p>
    <w:p w:rsidR="00186D87" w:rsidRDefault="00186D87" w:rsidP="00186D87">
      <w:pPr>
        <w:pStyle w:val="ListParagraph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 xml:space="preserve">Purchasing or the College lawyer’s review and advice should be incorportated into the agreement prior to </w:t>
      </w:r>
      <w:r w:rsidR="00EC0260">
        <w:rPr>
          <w:sz w:val="24"/>
          <w:szCs w:val="24"/>
        </w:rPr>
        <w:t>signing</w:t>
      </w:r>
    </w:p>
    <w:p w:rsidR="00EC0260" w:rsidRDefault="00186D87" w:rsidP="00EC0260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EC0260">
        <w:rPr>
          <w:sz w:val="24"/>
          <w:szCs w:val="24"/>
        </w:rPr>
        <w:t xml:space="preserve">fully executed agreements are to be returned to Purchasing </w:t>
      </w:r>
    </w:p>
    <w:p w:rsidR="00186D87" w:rsidRDefault="00186D87" w:rsidP="00EC0260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EC0260">
        <w:rPr>
          <w:sz w:val="24"/>
          <w:szCs w:val="24"/>
        </w:rPr>
        <w:t>Purchasing Policy #4-411 and Operating Procedure #4-411 OP, including the associated competitive threshold requirements, are to be followed prior to entering into agreements for the purchase of goods and services.</w:t>
      </w:r>
    </w:p>
    <w:p w:rsidR="00EC0260" w:rsidRDefault="00EC0260" w:rsidP="00EC0260">
      <w:pPr>
        <w:rPr>
          <w:sz w:val="24"/>
          <w:szCs w:val="24"/>
        </w:rPr>
      </w:pPr>
    </w:p>
    <w:p w:rsidR="00560A3B" w:rsidRPr="00560A3B" w:rsidRDefault="00EC0260" w:rsidP="00560A3B">
      <w:pPr>
        <w:rPr>
          <w:sz w:val="24"/>
          <w:szCs w:val="24"/>
        </w:rPr>
      </w:pPr>
      <w:r>
        <w:rPr>
          <w:sz w:val="24"/>
          <w:szCs w:val="24"/>
        </w:rPr>
        <w:t>The President and each of their direct reports will be required to comple</w:t>
      </w:r>
      <w:r w:rsidR="001F0FE7">
        <w:rPr>
          <w:sz w:val="24"/>
          <w:szCs w:val="24"/>
        </w:rPr>
        <w:t xml:space="preserve">te an annual Attestation Letter.  </w:t>
      </w:r>
      <w:r w:rsidR="00F364AC">
        <w:rPr>
          <w:sz w:val="24"/>
          <w:szCs w:val="24"/>
        </w:rPr>
        <w:t xml:space="preserve">This letter </w:t>
      </w:r>
      <w:r w:rsidR="000161A5">
        <w:rPr>
          <w:sz w:val="24"/>
          <w:szCs w:val="24"/>
        </w:rPr>
        <w:t>relate</w:t>
      </w:r>
      <w:r w:rsidR="00F364AC">
        <w:rPr>
          <w:sz w:val="24"/>
          <w:szCs w:val="24"/>
        </w:rPr>
        <w:t>s</w:t>
      </w:r>
      <w:r w:rsidR="000161A5">
        <w:rPr>
          <w:sz w:val="24"/>
          <w:szCs w:val="24"/>
        </w:rPr>
        <w:t xml:space="preserve"> to the</w:t>
      </w:r>
      <w:r w:rsidR="00902235">
        <w:rPr>
          <w:sz w:val="24"/>
          <w:szCs w:val="24"/>
        </w:rPr>
        <w:t xml:space="preserve"> direct report’s are</w:t>
      </w:r>
      <w:r w:rsidR="000161A5">
        <w:rPr>
          <w:sz w:val="24"/>
          <w:szCs w:val="24"/>
        </w:rPr>
        <w:t>a of responsibility</w:t>
      </w:r>
      <w:r w:rsidR="00902235">
        <w:rPr>
          <w:sz w:val="24"/>
          <w:szCs w:val="24"/>
        </w:rPr>
        <w:t xml:space="preserve"> and that section 7, 8, 9 and 10 of O</w:t>
      </w:r>
      <w:r>
        <w:rPr>
          <w:sz w:val="24"/>
          <w:szCs w:val="24"/>
        </w:rPr>
        <w:t xml:space="preserve">P #4-417 </w:t>
      </w:r>
      <w:r w:rsidR="00F364AC">
        <w:rPr>
          <w:sz w:val="24"/>
          <w:szCs w:val="24"/>
        </w:rPr>
        <w:t xml:space="preserve">have been </w:t>
      </w:r>
      <w:r>
        <w:rPr>
          <w:sz w:val="24"/>
          <w:szCs w:val="24"/>
        </w:rPr>
        <w:t>complied with</w:t>
      </w:r>
      <w:r w:rsidR="00F364AC">
        <w:rPr>
          <w:sz w:val="24"/>
          <w:szCs w:val="24"/>
        </w:rPr>
        <w:t>.</w:t>
      </w:r>
    </w:p>
    <w:p w:rsidR="00342D98" w:rsidRDefault="00342D98" w:rsidP="00836609">
      <w:pPr>
        <w:rPr>
          <w:sz w:val="24"/>
          <w:szCs w:val="24"/>
        </w:rPr>
      </w:pPr>
      <w:r>
        <w:rPr>
          <w:sz w:val="24"/>
          <w:szCs w:val="24"/>
        </w:rPr>
        <w:t xml:space="preserve">It is important to note, </w:t>
      </w:r>
      <w:r w:rsidRPr="00AA2D7F">
        <w:rPr>
          <w:sz w:val="24"/>
          <w:szCs w:val="24"/>
          <w:u w:val="single"/>
        </w:rPr>
        <w:t xml:space="preserve">if your title is not listed in these appendices, you are not authorized to sign documents </w:t>
      </w:r>
      <w:r w:rsidR="00893756" w:rsidRPr="00AA2D7F">
        <w:rPr>
          <w:sz w:val="24"/>
          <w:szCs w:val="24"/>
          <w:u w:val="single"/>
        </w:rPr>
        <w:t>that</w:t>
      </w:r>
      <w:r w:rsidRPr="00AA2D7F">
        <w:rPr>
          <w:sz w:val="24"/>
          <w:szCs w:val="24"/>
          <w:u w:val="single"/>
        </w:rPr>
        <w:t xml:space="preserve"> bind the College</w:t>
      </w:r>
      <w:r w:rsidR="007533FE">
        <w:rPr>
          <w:sz w:val="24"/>
          <w:szCs w:val="24"/>
        </w:rPr>
        <w:t>.</w:t>
      </w:r>
      <w:r>
        <w:rPr>
          <w:sz w:val="24"/>
          <w:szCs w:val="24"/>
        </w:rPr>
        <w:t xml:space="preserve">  Doing so may be considered a breach of an employment contract and </w:t>
      </w:r>
      <w:r w:rsidR="007533FE">
        <w:rPr>
          <w:sz w:val="24"/>
          <w:szCs w:val="24"/>
        </w:rPr>
        <w:t xml:space="preserve">could potentially result in personal liability.  If you are unsure if </w:t>
      </w:r>
      <w:r w:rsidR="00126B07">
        <w:rPr>
          <w:sz w:val="24"/>
          <w:szCs w:val="24"/>
        </w:rPr>
        <w:t>a</w:t>
      </w:r>
      <w:r w:rsidR="007533FE">
        <w:rPr>
          <w:sz w:val="24"/>
          <w:szCs w:val="24"/>
        </w:rPr>
        <w:t xml:space="preserve"> document requires an official </w:t>
      </w:r>
      <w:r w:rsidR="00126B07">
        <w:rPr>
          <w:sz w:val="24"/>
          <w:szCs w:val="24"/>
        </w:rPr>
        <w:t>C</w:t>
      </w:r>
      <w:r w:rsidR="007533FE">
        <w:rPr>
          <w:sz w:val="24"/>
          <w:szCs w:val="24"/>
        </w:rPr>
        <w:t>ollege signing officer, please contact the finance department</w:t>
      </w:r>
      <w:r w:rsidR="00893756">
        <w:rPr>
          <w:sz w:val="24"/>
          <w:szCs w:val="24"/>
        </w:rPr>
        <w:t xml:space="preserve"> before you </w:t>
      </w:r>
      <w:r w:rsidR="000A7D91">
        <w:rPr>
          <w:sz w:val="24"/>
          <w:szCs w:val="24"/>
        </w:rPr>
        <w:t>proceed</w:t>
      </w:r>
      <w:r w:rsidR="007533FE">
        <w:rPr>
          <w:sz w:val="24"/>
          <w:szCs w:val="24"/>
        </w:rPr>
        <w:t>.</w:t>
      </w:r>
      <w:r w:rsidR="00126B07">
        <w:rPr>
          <w:sz w:val="24"/>
          <w:szCs w:val="24"/>
        </w:rPr>
        <w:t xml:space="preserve"> (</w:t>
      </w:r>
      <w:r w:rsidR="00AA2D7F">
        <w:rPr>
          <w:sz w:val="24"/>
          <w:szCs w:val="24"/>
        </w:rPr>
        <w:t>Director, Finance,</w:t>
      </w:r>
      <w:r w:rsidR="00126B07">
        <w:rPr>
          <w:sz w:val="24"/>
          <w:szCs w:val="24"/>
        </w:rPr>
        <w:t xml:space="preserve"> extension 1202 or </w:t>
      </w:r>
      <w:r w:rsidR="00AA2D7F">
        <w:rPr>
          <w:sz w:val="24"/>
          <w:szCs w:val="24"/>
        </w:rPr>
        <w:t>Manager, Accounting Operations</w:t>
      </w:r>
      <w:r w:rsidR="00126B07">
        <w:rPr>
          <w:sz w:val="24"/>
          <w:szCs w:val="24"/>
        </w:rPr>
        <w:t>, extension 1041)</w:t>
      </w:r>
    </w:p>
    <w:p w:rsidR="00EC0260" w:rsidRDefault="00EC0260" w:rsidP="00836609">
      <w:pPr>
        <w:rPr>
          <w:b/>
          <w:color w:val="4F6228" w:themeColor="accent3" w:themeShade="80"/>
          <w:sz w:val="28"/>
          <w:szCs w:val="28"/>
        </w:rPr>
      </w:pPr>
    </w:p>
    <w:p w:rsidR="008F59E2" w:rsidRPr="008F59E2" w:rsidRDefault="008F59E2" w:rsidP="00836609">
      <w:pPr>
        <w:rPr>
          <w:b/>
          <w:color w:val="4F6228" w:themeColor="accent3" w:themeShade="80"/>
          <w:sz w:val="28"/>
          <w:szCs w:val="28"/>
        </w:rPr>
      </w:pPr>
      <w:r w:rsidRPr="008F59E2">
        <w:rPr>
          <w:b/>
          <w:color w:val="4F6228" w:themeColor="accent3" w:themeShade="80"/>
          <w:sz w:val="28"/>
          <w:szCs w:val="28"/>
        </w:rPr>
        <w:t>S</w:t>
      </w:r>
      <w:r>
        <w:rPr>
          <w:b/>
          <w:color w:val="4F6228" w:themeColor="accent3" w:themeShade="80"/>
          <w:sz w:val="28"/>
          <w:szCs w:val="28"/>
        </w:rPr>
        <w:t>ub-Delegates:</w:t>
      </w:r>
    </w:p>
    <w:p w:rsidR="00342D98" w:rsidRDefault="00C108A7" w:rsidP="00836609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342D98">
        <w:rPr>
          <w:sz w:val="24"/>
          <w:szCs w:val="24"/>
        </w:rPr>
        <w:t>signing authority</w:t>
      </w:r>
      <w:r>
        <w:rPr>
          <w:sz w:val="24"/>
          <w:szCs w:val="24"/>
        </w:rPr>
        <w:t xml:space="preserve"> operating</w:t>
      </w:r>
      <w:r w:rsidR="00342D98">
        <w:rPr>
          <w:sz w:val="24"/>
          <w:szCs w:val="24"/>
        </w:rPr>
        <w:t xml:space="preserve"> procedure provide</w:t>
      </w:r>
      <w:r>
        <w:rPr>
          <w:sz w:val="24"/>
          <w:szCs w:val="24"/>
        </w:rPr>
        <w:t>s</w:t>
      </w:r>
      <w:r w:rsidR="00342D98">
        <w:rPr>
          <w:sz w:val="24"/>
          <w:szCs w:val="24"/>
        </w:rPr>
        <w:t xml:space="preserve"> the ability for some signing officers to sub-delegate their signing authority during temporary absences, suc</w:t>
      </w:r>
      <w:r w:rsidR="007533FE">
        <w:rPr>
          <w:sz w:val="24"/>
          <w:szCs w:val="24"/>
        </w:rPr>
        <w:t>h as vacations</w:t>
      </w:r>
      <w:r w:rsidR="00893756">
        <w:rPr>
          <w:sz w:val="24"/>
          <w:szCs w:val="24"/>
        </w:rPr>
        <w:t xml:space="preserve"> or</w:t>
      </w:r>
      <w:r w:rsidR="007533FE">
        <w:rPr>
          <w:sz w:val="24"/>
          <w:szCs w:val="24"/>
        </w:rPr>
        <w:t xml:space="preserve"> </w:t>
      </w:r>
      <w:r w:rsidR="007533FE">
        <w:rPr>
          <w:sz w:val="24"/>
          <w:szCs w:val="24"/>
        </w:rPr>
        <w:lastRenderedPageBreak/>
        <w:t>leaves</w:t>
      </w:r>
      <w:r w:rsidR="00342D98">
        <w:rPr>
          <w:sz w:val="24"/>
          <w:szCs w:val="24"/>
        </w:rPr>
        <w:t xml:space="preserve">.  Signing authority for banking and investment transactions cannot be sub-delegated.  The sub-delegation of signing authority for legal documents </w:t>
      </w:r>
      <w:r w:rsidR="00C46D25">
        <w:rPr>
          <w:sz w:val="24"/>
          <w:szCs w:val="24"/>
        </w:rPr>
        <w:t>must be in writing with a specific start and end date</w:t>
      </w:r>
      <w:r w:rsidR="007533FE">
        <w:rPr>
          <w:sz w:val="24"/>
          <w:szCs w:val="24"/>
        </w:rPr>
        <w:t xml:space="preserve"> and may only be provided</w:t>
      </w:r>
      <w:r w:rsidR="000A7D91">
        <w:rPr>
          <w:sz w:val="24"/>
          <w:szCs w:val="24"/>
        </w:rPr>
        <w:t xml:space="preserve"> to those positions set out in A</w:t>
      </w:r>
      <w:r w:rsidR="007533FE">
        <w:rPr>
          <w:sz w:val="24"/>
          <w:szCs w:val="24"/>
        </w:rPr>
        <w:t>ppendix D of the procedure</w:t>
      </w:r>
      <w:r w:rsidR="00EC0260">
        <w:rPr>
          <w:sz w:val="24"/>
          <w:szCs w:val="24"/>
        </w:rPr>
        <w:t xml:space="preserve">, for those other than the President, Vice-Presidents and the Executive Director of Marketing and </w:t>
      </w:r>
      <w:r w:rsidR="00695575">
        <w:rPr>
          <w:sz w:val="24"/>
          <w:szCs w:val="24"/>
        </w:rPr>
        <w:t>Recruitment</w:t>
      </w:r>
      <w:r w:rsidR="00C46D25">
        <w:rPr>
          <w:sz w:val="24"/>
          <w:szCs w:val="24"/>
        </w:rPr>
        <w:t xml:space="preserve">.  </w:t>
      </w:r>
      <w:r w:rsidR="007E47D8">
        <w:rPr>
          <w:sz w:val="24"/>
          <w:szCs w:val="24"/>
        </w:rPr>
        <w:t>When a sub-delegate signs a legal document on behalf of a College signing officer</w:t>
      </w:r>
      <w:r w:rsidR="00126B07">
        <w:rPr>
          <w:sz w:val="24"/>
          <w:szCs w:val="24"/>
        </w:rPr>
        <w:t>,</w:t>
      </w:r>
      <w:r w:rsidR="007E47D8">
        <w:rPr>
          <w:sz w:val="24"/>
          <w:szCs w:val="24"/>
        </w:rPr>
        <w:t xml:space="preserve"> the phrase Delegate for ‘name of specific Signing Officer’, is </w:t>
      </w:r>
      <w:r w:rsidR="009C6634">
        <w:rPr>
          <w:sz w:val="24"/>
          <w:szCs w:val="24"/>
        </w:rPr>
        <w:t xml:space="preserve">also </w:t>
      </w:r>
      <w:r w:rsidR="007E47D8">
        <w:rPr>
          <w:sz w:val="24"/>
          <w:szCs w:val="24"/>
        </w:rPr>
        <w:t xml:space="preserve">to be included. </w:t>
      </w:r>
    </w:p>
    <w:p w:rsidR="008F59E2" w:rsidRPr="008F59E2" w:rsidRDefault="008F59E2" w:rsidP="00836609">
      <w:pPr>
        <w:rPr>
          <w:b/>
          <w:color w:val="4F6228" w:themeColor="accent3" w:themeShade="80"/>
          <w:sz w:val="28"/>
          <w:szCs w:val="28"/>
        </w:rPr>
      </w:pPr>
      <w:r>
        <w:rPr>
          <w:b/>
          <w:color w:val="4F6228" w:themeColor="accent3" w:themeShade="80"/>
          <w:sz w:val="28"/>
          <w:szCs w:val="28"/>
        </w:rPr>
        <w:t>Document/Contract Administrator:</w:t>
      </w:r>
    </w:p>
    <w:p w:rsidR="008F59E2" w:rsidRDefault="008F59E2" w:rsidP="00D715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Document/Contract Administrator is not generally an authorized signing officer.  This employee is </w:t>
      </w:r>
      <w:r w:rsidR="000A7D91">
        <w:rPr>
          <w:sz w:val="24"/>
          <w:szCs w:val="24"/>
        </w:rPr>
        <w:t>in an administrative position</w:t>
      </w:r>
      <w:r w:rsidR="00D715F8">
        <w:rPr>
          <w:sz w:val="24"/>
          <w:szCs w:val="24"/>
        </w:rPr>
        <w:t xml:space="preserve"> within the operating department responsible for the </w:t>
      </w:r>
      <w:r w:rsidR="009C6634">
        <w:rPr>
          <w:sz w:val="24"/>
          <w:szCs w:val="24"/>
        </w:rPr>
        <w:t>legal document</w:t>
      </w:r>
      <w:r w:rsidR="00D715F8">
        <w:rPr>
          <w:sz w:val="24"/>
          <w:szCs w:val="24"/>
        </w:rPr>
        <w:t>.</w:t>
      </w:r>
      <w:r>
        <w:rPr>
          <w:sz w:val="24"/>
          <w:szCs w:val="24"/>
        </w:rPr>
        <w:t xml:space="preserve">  The Document/Contract Administrator is to ensure the policy and procedures are complied with and all required steps are completed prior to provi</w:t>
      </w:r>
      <w:r w:rsidR="000A7D91">
        <w:rPr>
          <w:sz w:val="24"/>
          <w:szCs w:val="24"/>
        </w:rPr>
        <w:t>di</w:t>
      </w:r>
      <w:r>
        <w:rPr>
          <w:sz w:val="24"/>
          <w:szCs w:val="24"/>
        </w:rPr>
        <w:t xml:space="preserve">ng the document to the signing officer for its execution.  A </w:t>
      </w:r>
      <w:r w:rsidRPr="000A7D91">
        <w:rPr>
          <w:sz w:val="24"/>
          <w:szCs w:val="24"/>
        </w:rPr>
        <w:t>flowchart</w:t>
      </w:r>
      <w:r>
        <w:rPr>
          <w:sz w:val="24"/>
          <w:szCs w:val="24"/>
        </w:rPr>
        <w:t xml:space="preserve"> has been developed to set out the process a legal doc</w:t>
      </w:r>
      <w:r w:rsidR="00D93DD2">
        <w:rPr>
          <w:sz w:val="24"/>
          <w:szCs w:val="24"/>
        </w:rPr>
        <w:t>ument is to follow</w:t>
      </w:r>
      <w:r w:rsidR="000A7D91">
        <w:rPr>
          <w:sz w:val="24"/>
          <w:szCs w:val="24"/>
        </w:rPr>
        <w:t xml:space="preserve"> called, </w:t>
      </w:r>
      <w:hyperlink r:id="rId11" w:history="1">
        <w:r w:rsidR="000A7D91" w:rsidRPr="00027B5A">
          <w:rPr>
            <w:rStyle w:val="Hyperlink"/>
            <w:b/>
            <w:i/>
            <w:sz w:val="24"/>
            <w:szCs w:val="24"/>
          </w:rPr>
          <w:t>Legal Document (LD) Process</w:t>
        </w:r>
      </w:hyperlink>
      <w:r w:rsidRPr="007F7498">
        <w:rPr>
          <w:i/>
          <w:sz w:val="24"/>
          <w:szCs w:val="24"/>
        </w:rPr>
        <w:t>.</w:t>
      </w:r>
    </w:p>
    <w:p w:rsidR="003B420E" w:rsidRDefault="003B420E" w:rsidP="00836609">
      <w:pPr>
        <w:rPr>
          <w:sz w:val="24"/>
          <w:szCs w:val="24"/>
        </w:rPr>
      </w:pPr>
      <w:r>
        <w:rPr>
          <w:sz w:val="24"/>
          <w:szCs w:val="24"/>
        </w:rPr>
        <w:t>In summary, the Document/Contract Administrator is responsible for:</w:t>
      </w:r>
    </w:p>
    <w:p w:rsidR="003B420E" w:rsidRDefault="003B420E" w:rsidP="003B420E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Internal and external communication related to all aspects of the legal document</w:t>
      </w:r>
    </w:p>
    <w:p w:rsidR="00D93DD2" w:rsidRDefault="00D93DD2" w:rsidP="003B420E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Thoroughly reviewing the legal document</w:t>
      </w:r>
    </w:p>
    <w:p w:rsidR="003B420E" w:rsidRDefault="003B420E" w:rsidP="003B420E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Completion of the </w:t>
      </w:r>
      <w:hyperlink r:id="rId12" w:history="1">
        <w:r w:rsidRPr="00027B5A">
          <w:rPr>
            <w:rStyle w:val="Hyperlink"/>
            <w:b/>
            <w:i/>
            <w:sz w:val="24"/>
            <w:szCs w:val="24"/>
          </w:rPr>
          <w:t>Document Authorization Form</w:t>
        </w:r>
      </w:hyperlink>
      <w:r>
        <w:rPr>
          <w:sz w:val="24"/>
          <w:szCs w:val="24"/>
        </w:rPr>
        <w:t>, if required (</w:t>
      </w:r>
      <w:r w:rsidR="000A7D91">
        <w:rPr>
          <w:sz w:val="24"/>
          <w:szCs w:val="24"/>
        </w:rPr>
        <w:t>see</w:t>
      </w:r>
      <w:r>
        <w:rPr>
          <w:sz w:val="24"/>
          <w:szCs w:val="24"/>
        </w:rPr>
        <w:t xml:space="preserve"> </w:t>
      </w:r>
      <w:r w:rsidR="000A7D91">
        <w:rPr>
          <w:sz w:val="24"/>
          <w:szCs w:val="24"/>
        </w:rPr>
        <w:t>T</w:t>
      </w:r>
      <w:r>
        <w:rPr>
          <w:sz w:val="24"/>
          <w:szCs w:val="24"/>
        </w:rPr>
        <w:t>able</w:t>
      </w:r>
      <w:r w:rsidR="000A7D91">
        <w:rPr>
          <w:sz w:val="24"/>
          <w:szCs w:val="24"/>
        </w:rPr>
        <w:t xml:space="preserve"> 1 of</w:t>
      </w:r>
      <w:r>
        <w:rPr>
          <w:sz w:val="24"/>
          <w:szCs w:val="24"/>
        </w:rPr>
        <w:t xml:space="preserve"> the form)</w:t>
      </w:r>
    </w:p>
    <w:p w:rsidR="003B420E" w:rsidRDefault="00D93DD2" w:rsidP="003B420E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Ensuring the applicable College departments or positions have reviewed the legal document prior to its submission to the signing officer (</w:t>
      </w:r>
      <w:r w:rsidR="000A7D91">
        <w:rPr>
          <w:sz w:val="24"/>
          <w:szCs w:val="24"/>
        </w:rPr>
        <w:t xml:space="preserve">see the procedure #4-417 OP, Section </w:t>
      </w:r>
      <w:r w:rsidR="001934D0">
        <w:rPr>
          <w:sz w:val="24"/>
          <w:szCs w:val="24"/>
        </w:rPr>
        <w:t>12</w:t>
      </w:r>
      <w:r w:rsidR="000A7D91">
        <w:rPr>
          <w:sz w:val="24"/>
          <w:szCs w:val="24"/>
        </w:rPr>
        <w:t>and Tables 2 and 3 of the form</w:t>
      </w:r>
      <w:r>
        <w:rPr>
          <w:sz w:val="24"/>
          <w:szCs w:val="24"/>
        </w:rPr>
        <w:t>)</w:t>
      </w:r>
    </w:p>
    <w:p w:rsidR="00D93DD2" w:rsidRPr="000A7D91" w:rsidRDefault="00D93DD2" w:rsidP="000A7D91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Ensuring sufficient lead time is available for the review and execution of the legal document </w:t>
      </w:r>
      <w:r w:rsidR="000A7D91">
        <w:rPr>
          <w:sz w:val="24"/>
          <w:szCs w:val="24"/>
        </w:rPr>
        <w:t xml:space="preserve">(see the procedure #4-417 OP, Section </w:t>
      </w:r>
      <w:r w:rsidR="00402967">
        <w:rPr>
          <w:sz w:val="24"/>
          <w:szCs w:val="24"/>
        </w:rPr>
        <w:t>15</w:t>
      </w:r>
      <w:r w:rsidR="000A7D91">
        <w:rPr>
          <w:sz w:val="24"/>
          <w:szCs w:val="24"/>
        </w:rPr>
        <w:t>)</w:t>
      </w:r>
    </w:p>
    <w:p w:rsidR="00D93DD2" w:rsidRDefault="00D93DD2" w:rsidP="003B420E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Obtaining all internal and external signatures required on the legal document</w:t>
      </w:r>
    </w:p>
    <w:p w:rsidR="00D93DD2" w:rsidRDefault="00D93DD2" w:rsidP="003B420E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Providing the fully executed document to the </w:t>
      </w:r>
      <w:r w:rsidR="007533FE">
        <w:rPr>
          <w:sz w:val="24"/>
          <w:szCs w:val="24"/>
        </w:rPr>
        <w:t>filing</w:t>
      </w:r>
      <w:r>
        <w:rPr>
          <w:sz w:val="24"/>
          <w:szCs w:val="24"/>
        </w:rPr>
        <w:t xml:space="preserve"> department as set out on the </w:t>
      </w:r>
      <w:r w:rsidRPr="007F7498">
        <w:rPr>
          <w:i/>
          <w:sz w:val="24"/>
          <w:szCs w:val="24"/>
        </w:rPr>
        <w:t>Document Authorization Form</w:t>
      </w:r>
      <w:r w:rsidR="009C6634">
        <w:rPr>
          <w:sz w:val="24"/>
          <w:szCs w:val="24"/>
        </w:rPr>
        <w:t xml:space="preserve"> tables</w:t>
      </w:r>
    </w:p>
    <w:p w:rsidR="00D93DD2" w:rsidRDefault="00D93DD2" w:rsidP="001A2B5C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Implemen</w:t>
      </w:r>
      <w:r w:rsidR="009C6634">
        <w:rPr>
          <w:sz w:val="24"/>
          <w:szCs w:val="24"/>
        </w:rPr>
        <w:t>ta</w:t>
      </w:r>
      <w:r>
        <w:rPr>
          <w:sz w:val="24"/>
          <w:szCs w:val="24"/>
        </w:rPr>
        <w:t>ti</w:t>
      </w:r>
      <w:r w:rsidR="009C6634">
        <w:rPr>
          <w:sz w:val="24"/>
          <w:szCs w:val="24"/>
        </w:rPr>
        <w:t>o</w:t>
      </w:r>
      <w:r>
        <w:rPr>
          <w:sz w:val="24"/>
          <w:szCs w:val="24"/>
        </w:rPr>
        <w:t>n</w:t>
      </w:r>
      <w:r w:rsidR="009C6634">
        <w:rPr>
          <w:sz w:val="24"/>
          <w:szCs w:val="24"/>
        </w:rPr>
        <w:t xml:space="preserve"> of</w:t>
      </w:r>
      <w:r>
        <w:rPr>
          <w:sz w:val="24"/>
          <w:szCs w:val="24"/>
        </w:rPr>
        <w:t xml:space="preserve"> the </w:t>
      </w:r>
      <w:r w:rsidR="007533FE">
        <w:rPr>
          <w:sz w:val="24"/>
          <w:szCs w:val="24"/>
        </w:rPr>
        <w:t xml:space="preserve">legal document </w:t>
      </w:r>
      <w:r>
        <w:rPr>
          <w:sz w:val="24"/>
          <w:szCs w:val="24"/>
        </w:rPr>
        <w:t xml:space="preserve">to fulfill the requirements </w:t>
      </w:r>
      <w:r w:rsidR="009C6634">
        <w:rPr>
          <w:sz w:val="24"/>
          <w:szCs w:val="24"/>
        </w:rPr>
        <w:t xml:space="preserve">of the College </w:t>
      </w:r>
      <w:r w:rsidR="000A7D91">
        <w:rPr>
          <w:sz w:val="24"/>
          <w:szCs w:val="24"/>
        </w:rPr>
        <w:t xml:space="preserve">(see the procedure #4-417 OP, Section </w:t>
      </w:r>
      <w:r w:rsidR="00402967">
        <w:rPr>
          <w:sz w:val="24"/>
          <w:szCs w:val="24"/>
        </w:rPr>
        <w:t>19</w:t>
      </w:r>
      <w:r w:rsidR="000A7D91">
        <w:rPr>
          <w:sz w:val="24"/>
          <w:szCs w:val="24"/>
        </w:rPr>
        <w:t>)</w:t>
      </w:r>
    </w:p>
    <w:p w:rsidR="00126B07" w:rsidRDefault="00126B07" w:rsidP="00126B07">
      <w:pPr>
        <w:pStyle w:val="ListParagraph"/>
        <w:numPr>
          <w:ilvl w:val="1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Ensuring compliance with the terms and conditions</w:t>
      </w:r>
    </w:p>
    <w:p w:rsidR="00126B07" w:rsidRDefault="00126B07" w:rsidP="00126B07">
      <w:pPr>
        <w:pStyle w:val="ListParagraph"/>
        <w:numPr>
          <w:ilvl w:val="1"/>
          <w:numId w:val="2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Informing and monitoring departments of the College on a timely basis about specific requirements included in the document that relate to their area of responsibility</w:t>
      </w:r>
    </w:p>
    <w:p w:rsidR="00126B07" w:rsidRDefault="00126B07" w:rsidP="00126B07">
      <w:pPr>
        <w:pStyle w:val="ListParagraph"/>
        <w:numPr>
          <w:ilvl w:val="1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Complying with reporting requirements</w:t>
      </w:r>
    </w:p>
    <w:p w:rsidR="00126B07" w:rsidRDefault="00126B07" w:rsidP="00126B07">
      <w:pPr>
        <w:pStyle w:val="ListParagraph"/>
        <w:numPr>
          <w:ilvl w:val="1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Ensuring financial reports are prepared/reviewed by the Finance Department</w:t>
      </w:r>
    </w:p>
    <w:p w:rsidR="00AA2D7F" w:rsidRPr="00DF6982" w:rsidRDefault="00AA2D7F" w:rsidP="00DF6982">
      <w:pPr>
        <w:pStyle w:val="ListParagraph"/>
        <w:numPr>
          <w:ilvl w:val="1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Planning for renewal processes, where applicable and when necessary</w:t>
      </w:r>
    </w:p>
    <w:p w:rsidR="00D93DD2" w:rsidRDefault="00D93DD2" w:rsidP="00836609">
      <w:pPr>
        <w:rPr>
          <w:b/>
          <w:color w:val="4F6228" w:themeColor="accent3" w:themeShade="80"/>
          <w:sz w:val="28"/>
          <w:szCs w:val="28"/>
        </w:rPr>
      </w:pPr>
      <w:r w:rsidRPr="00D93DD2">
        <w:rPr>
          <w:b/>
          <w:color w:val="4F6228" w:themeColor="accent3" w:themeShade="80"/>
          <w:sz w:val="28"/>
          <w:szCs w:val="28"/>
        </w:rPr>
        <w:t>Document</w:t>
      </w:r>
      <w:r>
        <w:rPr>
          <w:b/>
          <w:color w:val="4F6228" w:themeColor="accent3" w:themeShade="80"/>
          <w:sz w:val="28"/>
          <w:szCs w:val="28"/>
        </w:rPr>
        <w:t xml:space="preserve"> Authorization Form</w:t>
      </w:r>
      <w:r w:rsidRPr="00D93DD2">
        <w:rPr>
          <w:b/>
          <w:color w:val="4F6228" w:themeColor="accent3" w:themeShade="80"/>
          <w:sz w:val="28"/>
          <w:szCs w:val="28"/>
        </w:rPr>
        <w:t>:</w:t>
      </w:r>
    </w:p>
    <w:p w:rsidR="00D93DD2" w:rsidRDefault="00C52B4A" w:rsidP="00836609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hyperlink r:id="rId13" w:history="1">
        <w:r w:rsidRPr="00027B5A">
          <w:rPr>
            <w:rStyle w:val="Hyperlink"/>
            <w:i/>
            <w:sz w:val="24"/>
            <w:szCs w:val="24"/>
          </w:rPr>
          <w:t>Document Authorization Form</w:t>
        </w:r>
      </w:hyperlink>
      <w:r>
        <w:rPr>
          <w:sz w:val="24"/>
          <w:szCs w:val="24"/>
        </w:rPr>
        <w:t xml:space="preserve"> includes information that assists the Document/Contract Administrator in carrying out their responsibilities.  The form has tables that set out the following information</w:t>
      </w:r>
      <w:r w:rsidR="002129B0">
        <w:rPr>
          <w:sz w:val="24"/>
          <w:szCs w:val="24"/>
        </w:rPr>
        <w:t xml:space="preserve"> for the more common legal documents</w:t>
      </w:r>
      <w:r>
        <w:rPr>
          <w:sz w:val="24"/>
          <w:szCs w:val="24"/>
        </w:rPr>
        <w:t>:</w:t>
      </w:r>
    </w:p>
    <w:p w:rsidR="00C52B4A" w:rsidRDefault="002129B0" w:rsidP="00C52B4A">
      <w:pPr>
        <w:pStyle w:val="ListParagraph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="00C52B4A">
        <w:rPr>
          <w:sz w:val="24"/>
          <w:szCs w:val="24"/>
        </w:rPr>
        <w:t>hose legal documents that do not require the form</w:t>
      </w:r>
      <w:r w:rsidR="001A2B5C">
        <w:rPr>
          <w:sz w:val="24"/>
          <w:szCs w:val="24"/>
        </w:rPr>
        <w:t xml:space="preserve"> (Table 1)</w:t>
      </w:r>
    </w:p>
    <w:p w:rsidR="00C52B4A" w:rsidRDefault="00C52B4A" w:rsidP="00C52B4A">
      <w:pPr>
        <w:pStyle w:val="ListParagraph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Pr="009C6634">
        <w:rPr>
          <w:b/>
          <w:sz w:val="24"/>
          <w:szCs w:val="24"/>
        </w:rPr>
        <w:t>minimum review</w:t>
      </w:r>
      <w:r w:rsidR="001A2B5C">
        <w:rPr>
          <w:b/>
          <w:sz w:val="24"/>
          <w:szCs w:val="24"/>
        </w:rPr>
        <w:t>er</w:t>
      </w:r>
      <w:r w:rsidRPr="009C6634">
        <w:rPr>
          <w:b/>
          <w:sz w:val="24"/>
          <w:szCs w:val="24"/>
        </w:rPr>
        <w:t>s</w:t>
      </w:r>
      <w:r w:rsidR="001A2B5C">
        <w:rPr>
          <w:sz w:val="24"/>
          <w:szCs w:val="24"/>
        </w:rPr>
        <w:t xml:space="preserve"> require</w:t>
      </w:r>
      <w:r w:rsidR="006714F3">
        <w:rPr>
          <w:sz w:val="24"/>
          <w:szCs w:val="24"/>
        </w:rPr>
        <w:t>d (Table 2 and 3)</w:t>
      </w:r>
      <w:r w:rsidR="001A2B5C">
        <w:rPr>
          <w:sz w:val="24"/>
          <w:szCs w:val="24"/>
        </w:rPr>
        <w:t>, note</w:t>
      </w:r>
      <w:r>
        <w:rPr>
          <w:sz w:val="24"/>
          <w:szCs w:val="24"/>
        </w:rPr>
        <w:t xml:space="preserve"> there could be additional review</w:t>
      </w:r>
      <w:r w:rsidR="001A2B5C">
        <w:rPr>
          <w:sz w:val="24"/>
          <w:szCs w:val="24"/>
        </w:rPr>
        <w:t>er</w:t>
      </w:r>
      <w:r>
        <w:rPr>
          <w:sz w:val="24"/>
          <w:szCs w:val="24"/>
        </w:rPr>
        <w:t>s depending on the content of the legal document</w:t>
      </w:r>
      <w:r w:rsidR="001A2B5C">
        <w:rPr>
          <w:sz w:val="24"/>
          <w:szCs w:val="24"/>
        </w:rPr>
        <w:t xml:space="preserve"> </w:t>
      </w:r>
    </w:p>
    <w:p w:rsidR="00C52B4A" w:rsidRDefault="002129B0" w:rsidP="00C52B4A">
      <w:pPr>
        <w:pStyle w:val="ListParagraph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the department that the fully executed legal document is to be sent</w:t>
      </w:r>
      <w:r w:rsidR="00AA2D7F">
        <w:rPr>
          <w:sz w:val="24"/>
          <w:szCs w:val="24"/>
        </w:rPr>
        <w:t xml:space="preserve"> to</w:t>
      </w:r>
    </w:p>
    <w:p w:rsidR="00E9397B" w:rsidRPr="00E32D0B" w:rsidRDefault="002129B0" w:rsidP="00E32D0B">
      <w:pPr>
        <w:pStyle w:val="ListParagraph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the Primary Signing Officer</w:t>
      </w:r>
      <w:r w:rsidR="00E9397B">
        <w:rPr>
          <w:sz w:val="24"/>
          <w:szCs w:val="24"/>
        </w:rPr>
        <w:t xml:space="preserve"> to execute the legal docum</w:t>
      </w:r>
      <w:r w:rsidR="001A2B5C">
        <w:rPr>
          <w:sz w:val="24"/>
          <w:szCs w:val="24"/>
        </w:rPr>
        <w:t>ent,</w:t>
      </w:r>
      <w:r w:rsidR="00E9397B">
        <w:rPr>
          <w:sz w:val="24"/>
          <w:szCs w:val="24"/>
        </w:rPr>
        <w:t xml:space="preserve"> </w:t>
      </w:r>
      <w:r w:rsidR="001A2B5C">
        <w:rPr>
          <w:sz w:val="24"/>
          <w:szCs w:val="24"/>
        </w:rPr>
        <w:t xml:space="preserve">(note, </w:t>
      </w:r>
      <w:r w:rsidR="00E9397B">
        <w:rPr>
          <w:sz w:val="24"/>
          <w:szCs w:val="24"/>
        </w:rPr>
        <w:t>this position is not necessarily the only position that is authorized to sign the document</w:t>
      </w:r>
      <w:r w:rsidR="001A2B5C">
        <w:rPr>
          <w:sz w:val="24"/>
          <w:szCs w:val="24"/>
        </w:rPr>
        <w:t>)</w:t>
      </w:r>
      <w:r w:rsidR="00E9397B">
        <w:rPr>
          <w:sz w:val="24"/>
          <w:szCs w:val="24"/>
        </w:rPr>
        <w:t xml:space="preserve"> </w:t>
      </w:r>
      <w:r w:rsidR="006714F3">
        <w:rPr>
          <w:sz w:val="24"/>
          <w:szCs w:val="24"/>
        </w:rPr>
        <w:t>A</w:t>
      </w:r>
      <w:r w:rsidR="00E9397B">
        <w:rPr>
          <w:sz w:val="24"/>
          <w:szCs w:val="24"/>
        </w:rPr>
        <w:t>ppendix A of the procedure</w:t>
      </w:r>
      <w:r w:rsidR="001A2B5C">
        <w:rPr>
          <w:sz w:val="24"/>
          <w:szCs w:val="24"/>
        </w:rPr>
        <w:t xml:space="preserve"> #4-417 OP,</w:t>
      </w:r>
      <w:r w:rsidR="00E9397B">
        <w:rPr>
          <w:sz w:val="24"/>
          <w:szCs w:val="24"/>
        </w:rPr>
        <w:t xml:space="preserve"> identifies the complete list of designated signing officers.</w:t>
      </w:r>
    </w:p>
    <w:p w:rsidR="00E32D0B" w:rsidRDefault="00E32D0B" w:rsidP="00836609">
      <w:pPr>
        <w:rPr>
          <w:b/>
          <w:color w:val="4F6228" w:themeColor="accent3" w:themeShade="80"/>
          <w:sz w:val="28"/>
          <w:szCs w:val="28"/>
        </w:rPr>
      </w:pPr>
      <w:r w:rsidRPr="00D93DD2">
        <w:rPr>
          <w:b/>
          <w:color w:val="4F6228" w:themeColor="accent3" w:themeShade="80"/>
          <w:sz w:val="28"/>
          <w:szCs w:val="28"/>
        </w:rPr>
        <w:t>Document</w:t>
      </w:r>
      <w:r>
        <w:rPr>
          <w:b/>
          <w:color w:val="4F6228" w:themeColor="accent3" w:themeShade="80"/>
          <w:sz w:val="28"/>
          <w:szCs w:val="28"/>
        </w:rPr>
        <w:t xml:space="preserve"> Filing Department</w:t>
      </w:r>
      <w:r w:rsidRPr="00D93DD2">
        <w:rPr>
          <w:b/>
          <w:color w:val="4F6228" w:themeColor="accent3" w:themeShade="80"/>
          <w:sz w:val="28"/>
          <w:szCs w:val="28"/>
        </w:rPr>
        <w:t>:</w:t>
      </w:r>
    </w:p>
    <w:p w:rsidR="00E32D0B" w:rsidRDefault="00B706DA" w:rsidP="00836609">
      <w:pPr>
        <w:rPr>
          <w:sz w:val="24"/>
          <w:szCs w:val="24"/>
        </w:rPr>
      </w:pPr>
      <w:r>
        <w:rPr>
          <w:sz w:val="24"/>
          <w:szCs w:val="24"/>
        </w:rPr>
        <w:t>The</w:t>
      </w:r>
      <w:r w:rsidR="009C6634">
        <w:rPr>
          <w:sz w:val="24"/>
          <w:szCs w:val="24"/>
        </w:rPr>
        <w:t xml:space="preserve"> original fully executed legal document is</w:t>
      </w:r>
      <w:r>
        <w:rPr>
          <w:sz w:val="24"/>
          <w:szCs w:val="24"/>
        </w:rPr>
        <w:t xml:space="preserve"> to be tracked and filed by the department </w:t>
      </w:r>
      <w:r w:rsidR="006544CC">
        <w:rPr>
          <w:sz w:val="24"/>
          <w:szCs w:val="24"/>
        </w:rPr>
        <w:t xml:space="preserve">responsible as </w:t>
      </w:r>
      <w:r>
        <w:rPr>
          <w:sz w:val="24"/>
          <w:szCs w:val="24"/>
        </w:rPr>
        <w:t xml:space="preserve">indicated on the </w:t>
      </w:r>
      <w:hyperlink r:id="rId14" w:history="1">
        <w:r w:rsidRPr="00027B5A">
          <w:rPr>
            <w:rStyle w:val="Hyperlink"/>
            <w:b/>
            <w:i/>
            <w:sz w:val="24"/>
            <w:szCs w:val="24"/>
          </w:rPr>
          <w:t>Document Authorization Form</w:t>
        </w:r>
      </w:hyperlink>
      <w:r>
        <w:rPr>
          <w:sz w:val="24"/>
          <w:szCs w:val="24"/>
        </w:rPr>
        <w:t xml:space="preserve">.  </w:t>
      </w:r>
      <w:r w:rsidR="001A2B5C">
        <w:rPr>
          <w:sz w:val="24"/>
          <w:szCs w:val="24"/>
        </w:rPr>
        <w:t xml:space="preserve">The tables on the form provide direction to identify the department responsible for filing the original documents.  </w:t>
      </w:r>
      <w:r>
        <w:rPr>
          <w:sz w:val="24"/>
          <w:szCs w:val="24"/>
        </w:rPr>
        <w:t xml:space="preserve">Each filing department is </w:t>
      </w:r>
      <w:r w:rsidR="006714F3">
        <w:rPr>
          <w:sz w:val="24"/>
          <w:szCs w:val="24"/>
        </w:rPr>
        <w:t>to</w:t>
      </w:r>
      <w:r>
        <w:rPr>
          <w:sz w:val="24"/>
          <w:szCs w:val="24"/>
        </w:rPr>
        <w:t xml:space="preserve"> identify the individual(s) within their department that will </w:t>
      </w:r>
      <w:r w:rsidR="009C6634">
        <w:rPr>
          <w:sz w:val="24"/>
          <w:szCs w:val="24"/>
        </w:rPr>
        <w:t>track and file</w:t>
      </w:r>
      <w:r>
        <w:rPr>
          <w:sz w:val="24"/>
          <w:szCs w:val="24"/>
        </w:rPr>
        <w:t xml:space="preserve"> the legal documents </w:t>
      </w:r>
      <w:r w:rsidR="007533FE">
        <w:rPr>
          <w:sz w:val="24"/>
          <w:szCs w:val="24"/>
        </w:rPr>
        <w:t>and ensur</w:t>
      </w:r>
      <w:r w:rsidR="009C6634">
        <w:rPr>
          <w:sz w:val="24"/>
          <w:szCs w:val="24"/>
        </w:rPr>
        <w:t>e</w:t>
      </w:r>
      <w:r w:rsidR="007533F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they </w:t>
      </w:r>
      <w:r w:rsidR="006544CC">
        <w:rPr>
          <w:sz w:val="24"/>
          <w:szCs w:val="24"/>
        </w:rPr>
        <w:t>are readily available,</w:t>
      </w:r>
      <w:r>
        <w:rPr>
          <w:sz w:val="24"/>
          <w:szCs w:val="24"/>
        </w:rPr>
        <w:t xml:space="preserve"> as required by other areas of the College.  </w:t>
      </w:r>
    </w:p>
    <w:p w:rsidR="00776658" w:rsidRDefault="006544CC" w:rsidP="00836609">
      <w:pPr>
        <w:rPr>
          <w:sz w:val="24"/>
          <w:szCs w:val="24"/>
        </w:rPr>
      </w:pPr>
      <w:r>
        <w:rPr>
          <w:sz w:val="24"/>
          <w:szCs w:val="24"/>
        </w:rPr>
        <w:t>A tracking file is to be developed by each</w:t>
      </w:r>
      <w:r w:rsidR="009C6634">
        <w:rPr>
          <w:sz w:val="24"/>
          <w:szCs w:val="24"/>
        </w:rPr>
        <w:t xml:space="preserve"> filing </w:t>
      </w:r>
      <w:r>
        <w:rPr>
          <w:sz w:val="24"/>
          <w:szCs w:val="24"/>
        </w:rPr>
        <w:t xml:space="preserve">department </w:t>
      </w:r>
      <w:r w:rsidR="006714F3">
        <w:rPr>
          <w:sz w:val="24"/>
          <w:szCs w:val="24"/>
        </w:rPr>
        <w:t>and</w:t>
      </w:r>
      <w:r>
        <w:rPr>
          <w:sz w:val="24"/>
          <w:szCs w:val="24"/>
        </w:rPr>
        <w:t xml:space="preserve"> include the following fields for </w:t>
      </w:r>
      <w:r w:rsidR="007533FE">
        <w:rPr>
          <w:sz w:val="24"/>
          <w:szCs w:val="24"/>
        </w:rPr>
        <w:t>each</w:t>
      </w:r>
      <w:r w:rsidR="009C6634">
        <w:rPr>
          <w:sz w:val="24"/>
          <w:szCs w:val="24"/>
        </w:rPr>
        <w:t xml:space="preserve"> document</w:t>
      </w:r>
      <w:r>
        <w:rPr>
          <w:sz w:val="24"/>
          <w:szCs w:val="24"/>
        </w:rPr>
        <w:t>:</w:t>
      </w:r>
    </w:p>
    <w:p w:rsidR="006544CC" w:rsidRDefault="006544CC" w:rsidP="006544CC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Sequential document tracking number</w:t>
      </w:r>
    </w:p>
    <w:p w:rsidR="006544CC" w:rsidRDefault="006544CC" w:rsidP="006544CC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Description of contract</w:t>
      </w:r>
    </w:p>
    <w:p w:rsidR="006544CC" w:rsidRDefault="006544CC" w:rsidP="006544CC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Parties involved</w:t>
      </w:r>
    </w:p>
    <w:p w:rsidR="006544CC" w:rsidRDefault="006544CC" w:rsidP="006544CC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Date signed</w:t>
      </w:r>
    </w:p>
    <w:p w:rsidR="006544CC" w:rsidRDefault="006544CC" w:rsidP="006544CC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Start date</w:t>
      </w:r>
    </w:p>
    <w:p w:rsidR="006544CC" w:rsidRDefault="006544CC" w:rsidP="006544CC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End date</w:t>
      </w:r>
    </w:p>
    <w:p w:rsidR="00560A3B" w:rsidRDefault="00560A3B" w:rsidP="006544CC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Term of contract in years</w:t>
      </w:r>
    </w:p>
    <w:p w:rsidR="006544CC" w:rsidRDefault="006544CC" w:rsidP="006544CC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Renewal terms, if applicable</w:t>
      </w:r>
    </w:p>
    <w:p w:rsidR="001A2B5C" w:rsidRDefault="001A2B5C" w:rsidP="006544CC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Date renewal notice required, if applicable</w:t>
      </w:r>
    </w:p>
    <w:p w:rsidR="00AA2D7F" w:rsidRDefault="00AA2D7F" w:rsidP="00AA2D7F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Date termination notice required, if applicable</w:t>
      </w:r>
    </w:p>
    <w:p w:rsidR="00560A3B" w:rsidRPr="00AA2D7F" w:rsidRDefault="00560A3B" w:rsidP="00AA2D7F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Total contract value for the full term</w:t>
      </w:r>
    </w:p>
    <w:p w:rsidR="006544CC" w:rsidRDefault="006544CC" w:rsidP="006544CC">
      <w:pPr>
        <w:pStyle w:val="ListParagraph"/>
        <w:numPr>
          <w:ilvl w:val="0"/>
          <w:numId w:val="24"/>
        </w:numPr>
        <w:rPr>
          <w:sz w:val="24"/>
          <w:szCs w:val="24"/>
        </w:rPr>
      </w:pPr>
    </w:p>
    <w:p w:rsidR="007533FE" w:rsidRDefault="006544CC" w:rsidP="007533FE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Document/Contract Administrator’s name, title and department</w:t>
      </w:r>
    </w:p>
    <w:p w:rsidR="00560A3B" w:rsidRPr="007533FE" w:rsidRDefault="00560A3B" w:rsidP="007533FE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Additional notes, if applicable</w:t>
      </w:r>
    </w:p>
    <w:p w:rsidR="007533FE" w:rsidRDefault="007533FE" w:rsidP="007533FE">
      <w:pPr>
        <w:rPr>
          <w:b/>
          <w:color w:val="4F6228" w:themeColor="accent3" w:themeShade="80"/>
          <w:sz w:val="28"/>
          <w:szCs w:val="28"/>
        </w:rPr>
      </w:pPr>
      <w:r>
        <w:rPr>
          <w:b/>
          <w:color w:val="4F6228" w:themeColor="accent3" w:themeShade="80"/>
          <w:sz w:val="28"/>
          <w:szCs w:val="28"/>
        </w:rPr>
        <w:t>Frequently Asked Questions</w:t>
      </w:r>
      <w:r w:rsidRPr="00D93DD2">
        <w:rPr>
          <w:b/>
          <w:color w:val="4F6228" w:themeColor="accent3" w:themeShade="80"/>
          <w:sz w:val="28"/>
          <w:szCs w:val="28"/>
        </w:rPr>
        <w:t>:</w:t>
      </w:r>
    </w:p>
    <w:p w:rsidR="007533FE" w:rsidRDefault="007533FE" w:rsidP="007533FE">
      <w:pPr>
        <w:rPr>
          <w:sz w:val="24"/>
          <w:szCs w:val="24"/>
        </w:rPr>
      </w:pPr>
      <w:r>
        <w:rPr>
          <w:sz w:val="24"/>
          <w:szCs w:val="24"/>
        </w:rPr>
        <w:t xml:space="preserve">An </w:t>
      </w:r>
      <w:hyperlink r:id="rId15" w:history="1">
        <w:r w:rsidRPr="00DF6982">
          <w:rPr>
            <w:rStyle w:val="Hyperlink"/>
            <w:b/>
            <w:i/>
            <w:sz w:val="24"/>
            <w:szCs w:val="24"/>
          </w:rPr>
          <w:t>FAQ</w:t>
        </w:r>
      </w:hyperlink>
      <w:r>
        <w:rPr>
          <w:sz w:val="24"/>
          <w:szCs w:val="24"/>
        </w:rPr>
        <w:t xml:space="preserve"> has been developed and will be modified as required</w:t>
      </w:r>
      <w:r w:rsidR="00DF6982">
        <w:rPr>
          <w:sz w:val="24"/>
          <w:szCs w:val="24"/>
        </w:rPr>
        <w:t>.</w:t>
      </w:r>
    </w:p>
    <w:p w:rsidR="007533FE" w:rsidRPr="007533FE" w:rsidRDefault="007533FE" w:rsidP="007533FE">
      <w:pPr>
        <w:rPr>
          <w:sz w:val="24"/>
          <w:szCs w:val="24"/>
        </w:rPr>
      </w:pPr>
    </w:p>
    <w:sectPr w:rsidR="007533FE" w:rsidRPr="007533FE" w:rsidSect="00B57BD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2AF" w:rsidRDefault="001422AF" w:rsidP="007B38F6">
      <w:pPr>
        <w:spacing w:before="0" w:after="0" w:line="240" w:lineRule="auto"/>
      </w:pPr>
      <w:r>
        <w:separator/>
      </w:r>
    </w:p>
  </w:endnote>
  <w:endnote w:type="continuationSeparator" w:id="0">
    <w:p w:rsidR="001422AF" w:rsidRDefault="001422AF" w:rsidP="007B38F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03B" w:rsidRDefault="00AB50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71811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F6982" w:rsidRDefault="00DF69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75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422AF" w:rsidRDefault="008E0B3A">
    <w:pPr>
      <w:pStyle w:val="Footer"/>
      <w:rPr>
        <w:rFonts w:cstheme="minorHAnsi"/>
        <w:noProof/>
        <w:color w:val="4F6228" w:themeColor="accent3" w:themeShade="80"/>
        <w:sz w:val="16"/>
        <w:szCs w:val="16"/>
      </w:rPr>
    </w:pPr>
    <w:r>
      <w:rPr>
        <w:rFonts w:cstheme="minorHAnsi"/>
        <w:noProof/>
        <w:color w:val="4F6228" w:themeColor="accent3" w:themeShade="80"/>
        <w:sz w:val="16"/>
        <w:szCs w:val="16"/>
      </w:rPr>
      <w:t xml:space="preserve">Last updated </w:t>
    </w:r>
    <w:r w:rsidR="00AB503B">
      <w:rPr>
        <w:rFonts w:cstheme="minorHAnsi"/>
        <w:noProof/>
        <w:color w:val="4F6228" w:themeColor="accent3" w:themeShade="80"/>
        <w:sz w:val="16"/>
        <w:szCs w:val="16"/>
      </w:rPr>
      <w:t>June 3, 2019</w:t>
    </w:r>
  </w:p>
  <w:p w:rsidR="00AB503B" w:rsidRPr="001B3368" w:rsidRDefault="00AB503B">
    <w:pPr>
      <w:pStyle w:val="Footer"/>
      <w:rPr>
        <w:rFonts w:cstheme="minorHAnsi"/>
        <w:noProof/>
        <w:color w:val="4F6228" w:themeColor="accent3" w:themeShade="8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03B" w:rsidRDefault="00AB50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2AF" w:rsidRDefault="001422AF" w:rsidP="007B38F6">
      <w:pPr>
        <w:spacing w:before="0" w:after="0" w:line="240" w:lineRule="auto"/>
      </w:pPr>
      <w:r>
        <w:separator/>
      </w:r>
    </w:p>
  </w:footnote>
  <w:footnote w:type="continuationSeparator" w:id="0">
    <w:p w:rsidR="001422AF" w:rsidRDefault="001422AF" w:rsidP="007B38F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03B" w:rsidRDefault="00AB50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982" w:rsidRDefault="00DF6982">
    <w:pPr>
      <w:pStyle w:val="Header"/>
      <w:jc w:val="center"/>
    </w:pPr>
  </w:p>
  <w:p w:rsidR="00D41166" w:rsidRDefault="00D411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03B" w:rsidRDefault="00AB50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51C5F"/>
    <w:multiLevelType w:val="hybridMultilevel"/>
    <w:tmpl w:val="6FB4B5C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03193"/>
    <w:multiLevelType w:val="hybridMultilevel"/>
    <w:tmpl w:val="1ACA202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DE5F78"/>
    <w:multiLevelType w:val="hybridMultilevel"/>
    <w:tmpl w:val="90C0BAC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A50734"/>
    <w:multiLevelType w:val="multilevel"/>
    <w:tmpl w:val="FDC40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AF42EC"/>
    <w:multiLevelType w:val="hybridMultilevel"/>
    <w:tmpl w:val="FCCA6CFC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FED6DD2"/>
    <w:multiLevelType w:val="hybridMultilevel"/>
    <w:tmpl w:val="ABF67C86"/>
    <w:lvl w:ilvl="0" w:tplc="10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266A64DB"/>
    <w:multiLevelType w:val="hybridMultilevel"/>
    <w:tmpl w:val="D0C0D12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482C3F"/>
    <w:multiLevelType w:val="hybridMultilevel"/>
    <w:tmpl w:val="32F8A61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B516A0"/>
    <w:multiLevelType w:val="hybridMultilevel"/>
    <w:tmpl w:val="00DC716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B547F"/>
    <w:multiLevelType w:val="hybridMultilevel"/>
    <w:tmpl w:val="D54E92F2"/>
    <w:lvl w:ilvl="0" w:tplc="10090011">
      <w:start w:val="1"/>
      <w:numFmt w:val="decimal"/>
      <w:lvlText w:val="%1)"/>
      <w:lvlJc w:val="left"/>
      <w:pPr>
        <w:ind w:left="1440" w:hanging="360"/>
      </w:p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CF305F9"/>
    <w:multiLevelType w:val="hybridMultilevel"/>
    <w:tmpl w:val="8E5CE3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1036C"/>
    <w:multiLevelType w:val="hybridMultilevel"/>
    <w:tmpl w:val="F8989A8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9480780"/>
    <w:multiLevelType w:val="hybridMultilevel"/>
    <w:tmpl w:val="B1082E7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A2B07AC"/>
    <w:multiLevelType w:val="hybridMultilevel"/>
    <w:tmpl w:val="F0C8E1E4"/>
    <w:lvl w:ilvl="0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530B1310"/>
    <w:multiLevelType w:val="hybridMultilevel"/>
    <w:tmpl w:val="23E2F61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3384230"/>
    <w:multiLevelType w:val="hybridMultilevel"/>
    <w:tmpl w:val="F558B4B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FF0AEF"/>
    <w:multiLevelType w:val="hybridMultilevel"/>
    <w:tmpl w:val="4E7C421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B36"/>
    <w:multiLevelType w:val="hybridMultilevel"/>
    <w:tmpl w:val="1090AC3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A867F83"/>
    <w:multiLevelType w:val="hybridMultilevel"/>
    <w:tmpl w:val="4D82F14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8294264"/>
    <w:multiLevelType w:val="hybridMultilevel"/>
    <w:tmpl w:val="76C4D3A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969305C"/>
    <w:multiLevelType w:val="hybridMultilevel"/>
    <w:tmpl w:val="D376E92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BFB54A8"/>
    <w:multiLevelType w:val="hybridMultilevel"/>
    <w:tmpl w:val="007278E6"/>
    <w:lvl w:ilvl="0" w:tplc="10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0BE7864"/>
    <w:multiLevelType w:val="hybridMultilevel"/>
    <w:tmpl w:val="D64A816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232F5"/>
    <w:multiLevelType w:val="hybridMultilevel"/>
    <w:tmpl w:val="3F8C667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A3B69B9"/>
    <w:multiLevelType w:val="hybridMultilevel"/>
    <w:tmpl w:val="4AFAEBB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AB4314F"/>
    <w:multiLevelType w:val="hybridMultilevel"/>
    <w:tmpl w:val="A9CEF1FC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18"/>
  </w:num>
  <w:num w:numId="4">
    <w:abstractNumId w:val="16"/>
  </w:num>
  <w:num w:numId="5">
    <w:abstractNumId w:val="0"/>
  </w:num>
  <w:num w:numId="6">
    <w:abstractNumId w:val="11"/>
  </w:num>
  <w:num w:numId="7">
    <w:abstractNumId w:val="7"/>
  </w:num>
  <w:num w:numId="8">
    <w:abstractNumId w:val="4"/>
  </w:num>
  <w:num w:numId="9">
    <w:abstractNumId w:val="17"/>
  </w:num>
  <w:num w:numId="10">
    <w:abstractNumId w:val="25"/>
  </w:num>
  <w:num w:numId="11">
    <w:abstractNumId w:val="2"/>
  </w:num>
  <w:num w:numId="12">
    <w:abstractNumId w:val="22"/>
  </w:num>
  <w:num w:numId="13">
    <w:abstractNumId w:val="15"/>
  </w:num>
  <w:num w:numId="14">
    <w:abstractNumId w:val="3"/>
  </w:num>
  <w:num w:numId="15">
    <w:abstractNumId w:val="8"/>
  </w:num>
  <w:num w:numId="16">
    <w:abstractNumId w:val="21"/>
  </w:num>
  <w:num w:numId="17">
    <w:abstractNumId w:val="6"/>
  </w:num>
  <w:num w:numId="18">
    <w:abstractNumId w:val="13"/>
  </w:num>
  <w:num w:numId="19">
    <w:abstractNumId w:val="24"/>
  </w:num>
  <w:num w:numId="20">
    <w:abstractNumId w:val="5"/>
  </w:num>
  <w:num w:numId="21">
    <w:abstractNumId w:val="19"/>
  </w:num>
  <w:num w:numId="22">
    <w:abstractNumId w:val="12"/>
  </w:num>
  <w:num w:numId="23">
    <w:abstractNumId w:val="20"/>
  </w:num>
  <w:num w:numId="24">
    <w:abstractNumId w:val="1"/>
  </w:num>
  <w:num w:numId="25">
    <w:abstractNumId w:val="9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1B3"/>
    <w:rsid w:val="00004A97"/>
    <w:rsid w:val="00015408"/>
    <w:rsid w:val="000161A5"/>
    <w:rsid w:val="00027B5A"/>
    <w:rsid w:val="00034CB0"/>
    <w:rsid w:val="0004728F"/>
    <w:rsid w:val="000570B6"/>
    <w:rsid w:val="000638C6"/>
    <w:rsid w:val="00083D02"/>
    <w:rsid w:val="00091632"/>
    <w:rsid w:val="000A7D91"/>
    <w:rsid w:val="000C5097"/>
    <w:rsid w:val="0010572F"/>
    <w:rsid w:val="0011769F"/>
    <w:rsid w:val="001249E4"/>
    <w:rsid w:val="00126B07"/>
    <w:rsid w:val="001422AF"/>
    <w:rsid w:val="00173F8D"/>
    <w:rsid w:val="00186D87"/>
    <w:rsid w:val="00187387"/>
    <w:rsid w:val="001902F2"/>
    <w:rsid w:val="001934D0"/>
    <w:rsid w:val="001A2B5C"/>
    <w:rsid w:val="001A3657"/>
    <w:rsid w:val="001A7213"/>
    <w:rsid w:val="001A7AAA"/>
    <w:rsid w:val="001B3368"/>
    <w:rsid w:val="001B7656"/>
    <w:rsid w:val="001E660A"/>
    <w:rsid w:val="001F0FE7"/>
    <w:rsid w:val="001F3CEA"/>
    <w:rsid w:val="002129B0"/>
    <w:rsid w:val="00254D8D"/>
    <w:rsid w:val="0026691F"/>
    <w:rsid w:val="002E74AA"/>
    <w:rsid w:val="003047DA"/>
    <w:rsid w:val="00314E4C"/>
    <w:rsid w:val="003321DC"/>
    <w:rsid w:val="003329E2"/>
    <w:rsid w:val="00333AD0"/>
    <w:rsid w:val="00340719"/>
    <w:rsid w:val="00342D98"/>
    <w:rsid w:val="00353AFE"/>
    <w:rsid w:val="00355E97"/>
    <w:rsid w:val="00373338"/>
    <w:rsid w:val="003751B8"/>
    <w:rsid w:val="003B420E"/>
    <w:rsid w:val="003B7FC8"/>
    <w:rsid w:val="003E40C5"/>
    <w:rsid w:val="003E73C4"/>
    <w:rsid w:val="00401791"/>
    <w:rsid w:val="00402967"/>
    <w:rsid w:val="00407817"/>
    <w:rsid w:val="00411E1F"/>
    <w:rsid w:val="004134E7"/>
    <w:rsid w:val="00415434"/>
    <w:rsid w:val="0048318F"/>
    <w:rsid w:val="004B22FC"/>
    <w:rsid w:val="004D666E"/>
    <w:rsid w:val="00507545"/>
    <w:rsid w:val="00533600"/>
    <w:rsid w:val="005561CF"/>
    <w:rsid w:val="00556D6B"/>
    <w:rsid w:val="00560A3B"/>
    <w:rsid w:val="00583ACD"/>
    <w:rsid w:val="005B2F2F"/>
    <w:rsid w:val="005C580D"/>
    <w:rsid w:val="005C6D29"/>
    <w:rsid w:val="005D77BD"/>
    <w:rsid w:val="005F6EF4"/>
    <w:rsid w:val="006146C3"/>
    <w:rsid w:val="00621B15"/>
    <w:rsid w:val="00625AFE"/>
    <w:rsid w:val="00636842"/>
    <w:rsid w:val="006455BC"/>
    <w:rsid w:val="006544CC"/>
    <w:rsid w:val="006714F3"/>
    <w:rsid w:val="00683EE1"/>
    <w:rsid w:val="00685A31"/>
    <w:rsid w:val="00692339"/>
    <w:rsid w:val="00695575"/>
    <w:rsid w:val="006966BD"/>
    <w:rsid w:val="006A6852"/>
    <w:rsid w:val="006B2ECD"/>
    <w:rsid w:val="006B2EE3"/>
    <w:rsid w:val="006B51E9"/>
    <w:rsid w:val="006C3533"/>
    <w:rsid w:val="00706182"/>
    <w:rsid w:val="00711647"/>
    <w:rsid w:val="007143EB"/>
    <w:rsid w:val="00743AC2"/>
    <w:rsid w:val="00747B67"/>
    <w:rsid w:val="007533FE"/>
    <w:rsid w:val="00776658"/>
    <w:rsid w:val="0079495D"/>
    <w:rsid w:val="007A3AE7"/>
    <w:rsid w:val="007A4CD9"/>
    <w:rsid w:val="007B38F6"/>
    <w:rsid w:val="007C1789"/>
    <w:rsid w:val="007E47D8"/>
    <w:rsid w:val="007E4A5E"/>
    <w:rsid w:val="007F0297"/>
    <w:rsid w:val="007F7498"/>
    <w:rsid w:val="00816A0C"/>
    <w:rsid w:val="00823D1B"/>
    <w:rsid w:val="008255E9"/>
    <w:rsid w:val="00830A40"/>
    <w:rsid w:val="00836609"/>
    <w:rsid w:val="008444B2"/>
    <w:rsid w:val="0085442E"/>
    <w:rsid w:val="00865A12"/>
    <w:rsid w:val="008829B4"/>
    <w:rsid w:val="00893756"/>
    <w:rsid w:val="008A6EDA"/>
    <w:rsid w:val="008B3B4B"/>
    <w:rsid w:val="008C09C4"/>
    <w:rsid w:val="008C28D1"/>
    <w:rsid w:val="008E0B3A"/>
    <w:rsid w:val="008E60BE"/>
    <w:rsid w:val="008F59E2"/>
    <w:rsid w:val="00902235"/>
    <w:rsid w:val="00913226"/>
    <w:rsid w:val="00915624"/>
    <w:rsid w:val="00952808"/>
    <w:rsid w:val="00980906"/>
    <w:rsid w:val="00992689"/>
    <w:rsid w:val="009C5DB1"/>
    <w:rsid w:val="009C6634"/>
    <w:rsid w:val="00A0112C"/>
    <w:rsid w:val="00A177E1"/>
    <w:rsid w:val="00A30890"/>
    <w:rsid w:val="00A44EE6"/>
    <w:rsid w:val="00A7032F"/>
    <w:rsid w:val="00A72C20"/>
    <w:rsid w:val="00A76913"/>
    <w:rsid w:val="00A82254"/>
    <w:rsid w:val="00A930C7"/>
    <w:rsid w:val="00AA2D7F"/>
    <w:rsid w:val="00AB377C"/>
    <w:rsid w:val="00AB503B"/>
    <w:rsid w:val="00AB7470"/>
    <w:rsid w:val="00AC1D91"/>
    <w:rsid w:val="00AD06AA"/>
    <w:rsid w:val="00AD350F"/>
    <w:rsid w:val="00AF2B35"/>
    <w:rsid w:val="00AF2F07"/>
    <w:rsid w:val="00B06AA7"/>
    <w:rsid w:val="00B201DC"/>
    <w:rsid w:val="00B3733F"/>
    <w:rsid w:val="00B42A98"/>
    <w:rsid w:val="00B533ED"/>
    <w:rsid w:val="00B57BDB"/>
    <w:rsid w:val="00B706DA"/>
    <w:rsid w:val="00BA34EC"/>
    <w:rsid w:val="00BC69CD"/>
    <w:rsid w:val="00BE4F46"/>
    <w:rsid w:val="00BE6ACA"/>
    <w:rsid w:val="00BF19DB"/>
    <w:rsid w:val="00C108A7"/>
    <w:rsid w:val="00C16F87"/>
    <w:rsid w:val="00C2007B"/>
    <w:rsid w:val="00C34E5B"/>
    <w:rsid w:val="00C418BC"/>
    <w:rsid w:val="00C46D25"/>
    <w:rsid w:val="00C50B7F"/>
    <w:rsid w:val="00C52B4A"/>
    <w:rsid w:val="00C9469E"/>
    <w:rsid w:val="00CA0466"/>
    <w:rsid w:val="00CB5878"/>
    <w:rsid w:val="00CD2C60"/>
    <w:rsid w:val="00CD56AD"/>
    <w:rsid w:val="00CF11B3"/>
    <w:rsid w:val="00D013CE"/>
    <w:rsid w:val="00D41166"/>
    <w:rsid w:val="00D45648"/>
    <w:rsid w:val="00D4645D"/>
    <w:rsid w:val="00D63D2C"/>
    <w:rsid w:val="00D6658C"/>
    <w:rsid w:val="00D715F8"/>
    <w:rsid w:val="00D80422"/>
    <w:rsid w:val="00D83493"/>
    <w:rsid w:val="00D933CA"/>
    <w:rsid w:val="00D93DD2"/>
    <w:rsid w:val="00DE1761"/>
    <w:rsid w:val="00DF6982"/>
    <w:rsid w:val="00DF77D2"/>
    <w:rsid w:val="00E109C9"/>
    <w:rsid w:val="00E2358A"/>
    <w:rsid w:val="00E32D0B"/>
    <w:rsid w:val="00E5035D"/>
    <w:rsid w:val="00E8185A"/>
    <w:rsid w:val="00E9397B"/>
    <w:rsid w:val="00EB4880"/>
    <w:rsid w:val="00EC0260"/>
    <w:rsid w:val="00EC772B"/>
    <w:rsid w:val="00ED0567"/>
    <w:rsid w:val="00ED5759"/>
    <w:rsid w:val="00EE1F02"/>
    <w:rsid w:val="00EE1FC3"/>
    <w:rsid w:val="00EF4468"/>
    <w:rsid w:val="00F03C21"/>
    <w:rsid w:val="00F07FC3"/>
    <w:rsid w:val="00F14993"/>
    <w:rsid w:val="00F30F91"/>
    <w:rsid w:val="00F33836"/>
    <w:rsid w:val="00F364AC"/>
    <w:rsid w:val="00F4052C"/>
    <w:rsid w:val="00F43F6B"/>
    <w:rsid w:val="00F71B41"/>
    <w:rsid w:val="00F81DBE"/>
    <w:rsid w:val="00F82370"/>
    <w:rsid w:val="00F94410"/>
    <w:rsid w:val="00F9509B"/>
    <w:rsid w:val="00FA662C"/>
    <w:rsid w:val="00FA79B0"/>
    <w:rsid w:val="00FB152D"/>
    <w:rsid w:val="00FD5C60"/>
    <w:rsid w:val="00FF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  <w15:docId w15:val="{C2D442FE-6AD7-45E9-9A06-20789E507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before="200"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69F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495D"/>
    <w:pPr>
      <w:pBdr>
        <w:top w:val="single" w:sz="24" w:space="0" w:color="4F6228" w:themeColor="accent3" w:themeShade="80"/>
        <w:left w:val="single" w:sz="24" w:space="0" w:color="4F6228" w:themeColor="accent3" w:themeShade="80"/>
        <w:bottom w:val="single" w:sz="24" w:space="0" w:color="4F6228" w:themeColor="accent3" w:themeShade="80"/>
        <w:right w:val="single" w:sz="24" w:space="0" w:color="4F6228" w:themeColor="accent3" w:themeShade="80"/>
      </w:pBdr>
      <w:shd w:val="clear" w:color="auto" w:fill="4F6228" w:themeFill="accent3" w:themeFillShade="80"/>
      <w:spacing w:after="0"/>
      <w:outlineLvl w:val="0"/>
    </w:pPr>
    <w:rPr>
      <w:b/>
      <w:bC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769F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769F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69F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769F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69F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69F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69F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69F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769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42A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42A98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rsid w:val="00E109C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201DC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9495D"/>
    <w:rPr>
      <w:b/>
      <w:bCs/>
      <w:color w:val="FFFFFF" w:themeColor="background1"/>
      <w:spacing w:val="15"/>
      <w:shd w:val="clear" w:color="auto" w:fill="4F6228" w:themeFill="accent3" w:themeFillShade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769F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769F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769F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769F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69F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69F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69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69F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1769F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1769F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1769F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69F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1769F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11769F"/>
    <w:rPr>
      <w:b/>
      <w:bCs/>
    </w:rPr>
  </w:style>
  <w:style w:type="character" w:styleId="Emphasis">
    <w:name w:val="Emphasis"/>
    <w:uiPriority w:val="20"/>
    <w:qFormat/>
    <w:rsid w:val="0011769F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11769F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1769F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11769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1769F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769F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769F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11769F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11769F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11769F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11769F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11769F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769F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rsid w:val="007B38F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8F6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7B38F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8F6"/>
    <w:rPr>
      <w:sz w:val="20"/>
      <w:szCs w:val="20"/>
    </w:rPr>
  </w:style>
  <w:style w:type="table" w:styleId="TableGrid">
    <w:name w:val="Table Grid"/>
    <w:basedOn w:val="TableNormal"/>
    <w:rsid w:val="007F029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86D87"/>
    <w:pPr>
      <w:widowControl w:val="0"/>
      <w:autoSpaceDE w:val="0"/>
      <w:autoSpaceDN w:val="0"/>
      <w:spacing w:before="0" w:after="0" w:line="240" w:lineRule="auto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186D87"/>
    <w:rPr>
      <w:rFonts w:ascii="Arial" w:eastAsia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11450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07520">
              <w:marLeft w:val="72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242256">
              <w:marLeft w:val="72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9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epartment.flemingcollege.ca/budget-services/attachment/291/download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department.flemingcollege.ca/budget-services/attachment/291/download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epartment.flemingcollege.ca/budget-services/attachment/292/downloa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epartment.flemingcollege.ca/budget-services/attachment/293/download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epartment.flemingcollege.ca/hr/attachment/7640/download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department.flemingcollege.ca/hr/attachment/7635/download" TargetMode="External"/><Relationship Id="rId14" Type="http://schemas.openxmlformats.org/officeDocument/2006/relationships/hyperlink" Target="https://department.flemingcollege.ca/budget-services/attachment/291/download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FF719-4731-4D65-ADE3-D3320E858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F669FE72</Template>
  <TotalTime>1</TotalTime>
  <Pages>5</Pages>
  <Words>1272</Words>
  <Characters>7253</Characters>
  <Application>Microsoft Office Word</Application>
  <DocSecurity>4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Sue Sanders</dc:creator>
  <cp:lastModifiedBy>Mark Morden</cp:lastModifiedBy>
  <cp:revision>2</cp:revision>
  <cp:lastPrinted>2019-03-01T22:31:00Z</cp:lastPrinted>
  <dcterms:created xsi:type="dcterms:W3CDTF">2019-06-03T13:11:00Z</dcterms:created>
  <dcterms:modified xsi:type="dcterms:W3CDTF">2019-06-03T13:11:00Z</dcterms:modified>
</cp:coreProperties>
</file>