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tblCellSpacing w:w="0" w:type="dxa"/>
        <w:shd w:val="clear" w:color="auto" w:fill="FFFFFF"/>
        <w:tblCellMar>
          <w:left w:w="0" w:type="dxa"/>
          <w:right w:w="0" w:type="dxa"/>
        </w:tblCellMar>
        <w:tblLook w:val="0000" w:firstRow="0" w:lastRow="0" w:firstColumn="0" w:lastColumn="0" w:noHBand="0" w:noVBand="0"/>
      </w:tblPr>
      <w:tblGrid>
        <w:gridCol w:w="8640"/>
      </w:tblGrid>
      <w:tr w:rsidR="000425DC" w:rsidRPr="00BC0261">
        <w:trPr>
          <w:tblCellSpacing w:w="0" w:type="dxa"/>
        </w:trPr>
        <w:tc>
          <w:tcPr>
            <w:tcW w:w="0" w:type="auto"/>
            <w:shd w:val="clear" w:color="auto" w:fill="FFFFFF"/>
            <w:tcMar>
              <w:top w:w="120" w:type="dxa"/>
              <w:left w:w="120" w:type="dxa"/>
              <w:bottom w:w="120" w:type="dxa"/>
              <w:right w:w="120" w:type="dxa"/>
            </w:tcMar>
          </w:tcPr>
          <w:p w:rsidR="000425DC" w:rsidRPr="00BC0261" w:rsidRDefault="000425DC">
            <w:pPr>
              <w:pStyle w:val="NormalWeb"/>
              <w:rPr>
                <w:rFonts w:ascii="Arial" w:hAnsi="Arial" w:cs="Arial"/>
                <w:b/>
                <w:sz w:val="22"/>
                <w:szCs w:val="22"/>
                <w:u w:val="single"/>
                <w:lang w:val="en-CA"/>
              </w:rPr>
            </w:pPr>
            <w:r w:rsidRPr="00BC0261">
              <w:rPr>
                <w:rFonts w:ascii="Arial" w:hAnsi="Arial" w:cs="Arial"/>
                <w:b/>
                <w:sz w:val="22"/>
                <w:szCs w:val="22"/>
                <w:u w:val="single"/>
                <w:lang w:val="en-CA"/>
              </w:rPr>
              <w:t xml:space="preserve">Vacation </w:t>
            </w:r>
            <w:r w:rsidR="00704ED0" w:rsidRPr="00BC0261">
              <w:rPr>
                <w:rFonts w:ascii="Arial" w:hAnsi="Arial" w:cs="Arial"/>
                <w:b/>
                <w:sz w:val="22"/>
                <w:szCs w:val="22"/>
                <w:u w:val="single"/>
                <w:lang w:val="en-CA"/>
              </w:rPr>
              <w:t>for Support Staff</w:t>
            </w:r>
          </w:p>
          <w:p w:rsidR="000425DC" w:rsidRPr="00BC0261" w:rsidRDefault="000425DC">
            <w:pPr>
              <w:pStyle w:val="NormalWeb"/>
              <w:rPr>
                <w:rFonts w:ascii="Arial" w:hAnsi="Arial" w:cs="Arial"/>
                <w:sz w:val="22"/>
                <w:szCs w:val="22"/>
                <w:lang w:val="en-CA"/>
              </w:rPr>
            </w:pPr>
            <w:r w:rsidRPr="00BC0261">
              <w:rPr>
                <w:rFonts w:ascii="Arial" w:hAnsi="Arial" w:cs="Arial"/>
                <w:sz w:val="22"/>
                <w:szCs w:val="22"/>
                <w:lang w:val="en-CA"/>
              </w:rPr>
              <w:t>Generally speaking, vacation credits must be earned before they can be used by the employee.  All support staff employees who have completed the years of continuous service as specified below as of June 30th of each year, shall be granted vacation with pay according to the following table.</w:t>
            </w:r>
          </w:p>
          <w:p w:rsidR="000425DC" w:rsidRPr="00BC0261" w:rsidRDefault="000425DC">
            <w:pPr>
              <w:pStyle w:val="NormalWeb"/>
              <w:rPr>
                <w:rFonts w:ascii="Arial" w:hAnsi="Arial" w:cs="Arial"/>
                <w:sz w:val="22"/>
                <w:szCs w:val="22"/>
                <w:lang w:val="en-CA"/>
              </w:rPr>
            </w:pPr>
            <w:r w:rsidRPr="00BC0261">
              <w:rPr>
                <w:rFonts w:ascii="Arial" w:hAnsi="Arial" w:cs="Arial"/>
                <w:sz w:val="22"/>
                <w:szCs w:val="22"/>
                <w:lang w:val="en-CA"/>
              </w:rPr>
              <w:t>In determining the period of active service, only the employee's service in the support staff bargaining unit shall apply.  In addition, should an employee have less than one (1) year's service, they shall receive a lesser vacation with pay on a pro-rated basis.</w:t>
            </w:r>
          </w:p>
          <w:tbl>
            <w:tblPr>
              <w:tblW w:w="5070" w:type="dxa"/>
              <w:jc w:val="center"/>
              <w:tblCellSpacing w:w="0" w:type="dxa"/>
              <w:tblCellMar>
                <w:left w:w="0" w:type="dxa"/>
                <w:right w:w="0" w:type="dxa"/>
              </w:tblCellMar>
              <w:tblLook w:val="0000" w:firstRow="0" w:lastRow="0" w:firstColumn="0" w:lastColumn="0" w:noHBand="0" w:noVBand="0"/>
            </w:tblPr>
            <w:tblGrid>
              <w:gridCol w:w="2535"/>
              <w:gridCol w:w="2535"/>
            </w:tblGrid>
            <w:tr w:rsidR="000425DC" w:rsidRPr="00BC0261">
              <w:trPr>
                <w:trHeight w:val="285"/>
                <w:tblCellSpacing w:w="0" w:type="dxa"/>
                <w:jc w:val="center"/>
              </w:trPr>
              <w:tc>
                <w:tcPr>
                  <w:tcW w:w="2535" w:type="dxa"/>
                  <w:shd w:val="clear" w:color="auto" w:fill="auto"/>
                  <w:tcMar>
                    <w:top w:w="120" w:type="dxa"/>
                    <w:left w:w="120" w:type="dxa"/>
                    <w:bottom w:w="120" w:type="dxa"/>
                    <w:right w:w="120" w:type="dxa"/>
                  </w:tcMar>
                  <w:vAlign w:val="center"/>
                </w:tcPr>
                <w:p w:rsidR="000425DC" w:rsidRPr="00BC0261" w:rsidRDefault="000425DC">
                  <w:pPr>
                    <w:jc w:val="center"/>
                    <w:rPr>
                      <w:rFonts w:ascii="Arial" w:hAnsi="Arial" w:cs="Arial"/>
                      <w:sz w:val="22"/>
                      <w:szCs w:val="22"/>
                    </w:rPr>
                  </w:pPr>
                  <w:r w:rsidRPr="00BC0261">
                    <w:rPr>
                      <w:rFonts w:ascii="Arial" w:hAnsi="Arial" w:cs="Arial"/>
                      <w:sz w:val="22"/>
                      <w:szCs w:val="22"/>
                    </w:rPr>
                    <w:t>Years of Service</w:t>
                  </w:r>
                </w:p>
              </w:tc>
              <w:tc>
                <w:tcPr>
                  <w:tcW w:w="2535" w:type="dxa"/>
                  <w:shd w:val="clear" w:color="auto" w:fill="auto"/>
                  <w:tcMar>
                    <w:top w:w="120" w:type="dxa"/>
                    <w:left w:w="120" w:type="dxa"/>
                    <w:bottom w:w="120" w:type="dxa"/>
                    <w:right w:w="120" w:type="dxa"/>
                  </w:tcMar>
                  <w:vAlign w:val="center"/>
                </w:tcPr>
                <w:p w:rsidR="000425DC" w:rsidRPr="00BC0261" w:rsidRDefault="000425DC">
                  <w:pPr>
                    <w:jc w:val="center"/>
                    <w:rPr>
                      <w:rFonts w:ascii="Arial" w:hAnsi="Arial" w:cs="Arial"/>
                      <w:sz w:val="22"/>
                      <w:szCs w:val="22"/>
                    </w:rPr>
                  </w:pPr>
                  <w:r w:rsidRPr="00BC0261">
                    <w:rPr>
                      <w:rFonts w:ascii="Arial" w:hAnsi="Arial" w:cs="Arial"/>
                      <w:sz w:val="22"/>
                      <w:szCs w:val="22"/>
                    </w:rPr>
                    <w:t>Vacation Entitlement</w:t>
                  </w:r>
                </w:p>
              </w:tc>
            </w:tr>
            <w:tr w:rsidR="000425DC" w:rsidRPr="00BC0261">
              <w:trPr>
                <w:trHeight w:val="285"/>
                <w:tblCellSpacing w:w="0" w:type="dxa"/>
                <w:jc w:val="center"/>
              </w:trPr>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1 to 6</w:t>
                  </w:r>
                </w:p>
              </w:tc>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15 working days</w:t>
                  </w:r>
                </w:p>
              </w:tc>
            </w:tr>
            <w:tr w:rsidR="000425DC" w:rsidRPr="00BC0261">
              <w:trPr>
                <w:trHeight w:val="240"/>
                <w:tblCellSpacing w:w="0" w:type="dxa"/>
                <w:jc w:val="center"/>
              </w:trPr>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7</w:t>
                  </w:r>
                </w:p>
              </w:tc>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17 working days</w:t>
                  </w:r>
                </w:p>
              </w:tc>
            </w:tr>
            <w:tr w:rsidR="000425DC" w:rsidRPr="00BC0261">
              <w:trPr>
                <w:trHeight w:val="285"/>
                <w:tblCellSpacing w:w="0" w:type="dxa"/>
                <w:jc w:val="center"/>
              </w:trPr>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8</w:t>
                  </w:r>
                </w:p>
              </w:tc>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18 working days</w:t>
                  </w:r>
                </w:p>
              </w:tc>
            </w:tr>
            <w:tr w:rsidR="000425DC" w:rsidRPr="00BC0261">
              <w:trPr>
                <w:trHeight w:val="285"/>
                <w:tblCellSpacing w:w="0" w:type="dxa"/>
                <w:jc w:val="center"/>
              </w:trPr>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9</w:t>
                  </w:r>
                </w:p>
              </w:tc>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20 working days</w:t>
                  </w:r>
                </w:p>
              </w:tc>
            </w:tr>
            <w:tr w:rsidR="000425DC" w:rsidRPr="00BC0261">
              <w:trPr>
                <w:trHeight w:val="285"/>
                <w:tblCellSpacing w:w="0" w:type="dxa"/>
                <w:jc w:val="center"/>
              </w:trPr>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10</w:t>
                  </w:r>
                </w:p>
              </w:tc>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20 working days</w:t>
                  </w:r>
                </w:p>
              </w:tc>
            </w:tr>
            <w:tr w:rsidR="000425DC" w:rsidRPr="00BC0261">
              <w:trPr>
                <w:trHeight w:val="285"/>
                <w:tblCellSpacing w:w="0" w:type="dxa"/>
                <w:jc w:val="center"/>
              </w:trPr>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11</w:t>
                  </w:r>
                </w:p>
              </w:tc>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21 working days</w:t>
                  </w:r>
                </w:p>
              </w:tc>
            </w:tr>
            <w:tr w:rsidR="000425DC" w:rsidRPr="00BC0261">
              <w:trPr>
                <w:trHeight w:val="285"/>
                <w:tblCellSpacing w:w="0" w:type="dxa"/>
                <w:jc w:val="center"/>
              </w:trPr>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12</w:t>
                  </w:r>
                </w:p>
              </w:tc>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22 working days</w:t>
                  </w:r>
                </w:p>
              </w:tc>
            </w:tr>
            <w:tr w:rsidR="000425DC" w:rsidRPr="00BC0261">
              <w:trPr>
                <w:trHeight w:val="285"/>
                <w:tblCellSpacing w:w="0" w:type="dxa"/>
                <w:jc w:val="center"/>
              </w:trPr>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13</w:t>
                  </w:r>
                </w:p>
              </w:tc>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23 working days</w:t>
                  </w:r>
                </w:p>
              </w:tc>
            </w:tr>
            <w:tr w:rsidR="000425DC" w:rsidRPr="00BC0261">
              <w:trPr>
                <w:trHeight w:val="285"/>
                <w:tblCellSpacing w:w="0" w:type="dxa"/>
                <w:jc w:val="center"/>
              </w:trPr>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14</w:t>
                  </w:r>
                </w:p>
              </w:tc>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24 working days</w:t>
                  </w:r>
                </w:p>
              </w:tc>
            </w:tr>
            <w:tr w:rsidR="000425DC" w:rsidRPr="00BC0261">
              <w:trPr>
                <w:trHeight w:val="285"/>
                <w:tblCellSpacing w:w="0" w:type="dxa"/>
                <w:jc w:val="center"/>
              </w:trPr>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15</w:t>
                  </w:r>
                </w:p>
              </w:tc>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25 working days</w:t>
                  </w:r>
                </w:p>
              </w:tc>
            </w:tr>
            <w:tr w:rsidR="000425DC" w:rsidRPr="00BC0261">
              <w:trPr>
                <w:trHeight w:val="285"/>
                <w:tblCellSpacing w:w="0" w:type="dxa"/>
                <w:jc w:val="center"/>
              </w:trPr>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16</w:t>
                  </w:r>
                </w:p>
              </w:tc>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26 working days</w:t>
                  </w:r>
                </w:p>
              </w:tc>
            </w:tr>
            <w:tr w:rsidR="000425DC" w:rsidRPr="00BC0261">
              <w:trPr>
                <w:trHeight w:val="285"/>
                <w:tblCellSpacing w:w="0" w:type="dxa"/>
                <w:jc w:val="center"/>
              </w:trPr>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17</w:t>
                  </w:r>
                </w:p>
              </w:tc>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26 working days</w:t>
                  </w:r>
                </w:p>
              </w:tc>
            </w:tr>
            <w:tr w:rsidR="000425DC" w:rsidRPr="00BC0261">
              <w:trPr>
                <w:trHeight w:val="285"/>
                <w:tblCellSpacing w:w="0" w:type="dxa"/>
                <w:jc w:val="center"/>
              </w:trPr>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18</w:t>
                  </w:r>
                </w:p>
              </w:tc>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26 working days</w:t>
                  </w:r>
                </w:p>
              </w:tc>
            </w:tr>
            <w:tr w:rsidR="000425DC" w:rsidRPr="00BC0261">
              <w:trPr>
                <w:trHeight w:val="285"/>
                <w:tblCellSpacing w:w="0" w:type="dxa"/>
                <w:jc w:val="center"/>
              </w:trPr>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19</w:t>
                  </w:r>
                </w:p>
              </w:tc>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27 working days</w:t>
                  </w:r>
                </w:p>
              </w:tc>
            </w:tr>
            <w:tr w:rsidR="000425DC" w:rsidRPr="00BC0261">
              <w:trPr>
                <w:trHeight w:val="285"/>
                <w:tblCellSpacing w:w="0" w:type="dxa"/>
                <w:jc w:val="center"/>
              </w:trPr>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20</w:t>
                  </w:r>
                </w:p>
              </w:tc>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27 working days</w:t>
                  </w:r>
                </w:p>
              </w:tc>
            </w:tr>
            <w:tr w:rsidR="000425DC" w:rsidRPr="00BC0261">
              <w:trPr>
                <w:trHeight w:val="285"/>
                <w:tblCellSpacing w:w="0" w:type="dxa"/>
                <w:jc w:val="center"/>
              </w:trPr>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21</w:t>
                  </w:r>
                </w:p>
              </w:tc>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28 working days</w:t>
                  </w:r>
                </w:p>
              </w:tc>
            </w:tr>
            <w:tr w:rsidR="000425DC" w:rsidRPr="00BC0261">
              <w:trPr>
                <w:trHeight w:val="285"/>
                <w:tblCellSpacing w:w="0" w:type="dxa"/>
                <w:jc w:val="center"/>
              </w:trPr>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22</w:t>
                  </w:r>
                </w:p>
              </w:tc>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28 working days</w:t>
                  </w:r>
                </w:p>
              </w:tc>
            </w:tr>
            <w:tr w:rsidR="000425DC" w:rsidRPr="00BC0261">
              <w:trPr>
                <w:trHeight w:val="285"/>
                <w:tblCellSpacing w:w="0" w:type="dxa"/>
                <w:jc w:val="center"/>
              </w:trPr>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23</w:t>
                  </w:r>
                </w:p>
              </w:tc>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29 working days</w:t>
                  </w:r>
                </w:p>
              </w:tc>
            </w:tr>
            <w:tr w:rsidR="000425DC" w:rsidRPr="00BC0261">
              <w:trPr>
                <w:trHeight w:val="300"/>
                <w:tblCellSpacing w:w="0" w:type="dxa"/>
                <w:jc w:val="center"/>
              </w:trPr>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lastRenderedPageBreak/>
                    <w:t>24</w:t>
                  </w:r>
                </w:p>
              </w:tc>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29 working days</w:t>
                  </w:r>
                </w:p>
              </w:tc>
            </w:tr>
            <w:tr w:rsidR="000425DC" w:rsidRPr="00BC0261">
              <w:trPr>
                <w:trHeight w:val="300"/>
                <w:tblCellSpacing w:w="0" w:type="dxa"/>
                <w:jc w:val="center"/>
              </w:trPr>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25 or more</w:t>
                  </w:r>
                </w:p>
              </w:tc>
              <w:tc>
                <w:tcPr>
                  <w:tcW w:w="2535" w:type="dxa"/>
                  <w:tcMar>
                    <w:top w:w="120" w:type="dxa"/>
                    <w:left w:w="120" w:type="dxa"/>
                    <w:bottom w:w="120" w:type="dxa"/>
                    <w:right w:w="120" w:type="dxa"/>
                  </w:tcMar>
                  <w:vAlign w:val="center"/>
                </w:tcPr>
                <w:p w:rsidR="000425DC" w:rsidRPr="00BC0261" w:rsidRDefault="000425DC" w:rsidP="007B542C">
                  <w:pPr>
                    <w:jc w:val="center"/>
                    <w:rPr>
                      <w:rFonts w:ascii="Arial" w:hAnsi="Arial" w:cs="Arial"/>
                      <w:sz w:val="22"/>
                      <w:szCs w:val="22"/>
                    </w:rPr>
                  </w:pPr>
                  <w:r w:rsidRPr="00BC0261">
                    <w:rPr>
                      <w:rFonts w:ascii="Arial" w:hAnsi="Arial" w:cs="Arial"/>
                      <w:sz w:val="22"/>
                      <w:szCs w:val="22"/>
                    </w:rPr>
                    <w:t>30 working days</w:t>
                  </w:r>
                </w:p>
              </w:tc>
            </w:tr>
          </w:tbl>
          <w:p w:rsidR="000425DC" w:rsidRPr="00BC0261" w:rsidRDefault="000425DC">
            <w:pPr>
              <w:pStyle w:val="NormalWeb"/>
              <w:rPr>
                <w:rFonts w:ascii="Arial" w:hAnsi="Arial" w:cs="Arial"/>
                <w:sz w:val="22"/>
                <w:szCs w:val="22"/>
                <w:lang w:val="en-CA"/>
              </w:rPr>
            </w:pPr>
            <w:r w:rsidRPr="00BC0261">
              <w:rPr>
                <w:rFonts w:ascii="Arial" w:hAnsi="Arial" w:cs="Arial"/>
                <w:sz w:val="22"/>
                <w:szCs w:val="22"/>
                <w:lang w:val="en-CA"/>
              </w:rPr>
              <w:t>Scheduling of Vacation</w:t>
            </w:r>
          </w:p>
          <w:p w:rsidR="000425DC" w:rsidRPr="00BC0261" w:rsidRDefault="000425DC">
            <w:pPr>
              <w:pStyle w:val="NormalWeb"/>
              <w:rPr>
                <w:rFonts w:ascii="Arial" w:hAnsi="Arial" w:cs="Arial"/>
                <w:sz w:val="22"/>
                <w:szCs w:val="22"/>
                <w:lang w:val="en-CA"/>
              </w:rPr>
            </w:pPr>
            <w:r w:rsidRPr="00BC0261">
              <w:rPr>
                <w:rFonts w:ascii="Arial" w:hAnsi="Arial" w:cs="Arial"/>
                <w:sz w:val="22"/>
                <w:szCs w:val="22"/>
                <w:lang w:val="en-CA"/>
              </w:rPr>
              <w:t>All vacation is scheduled by the College, in an effort to best accommodate employee needs and operational requirements.  As per Article 11.5, employees must put forth vacation requests no later than March 1 of the current vacation year.  The manager will then confirm or deny these requests in writing no later than March 15.</w:t>
            </w:r>
          </w:p>
          <w:p w:rsidR="000425DC" w:rsidRPr="00BC0261" w:rsidRDefault="000425DC">
            <w:pPr>
              <w:pStyle w:val="NormalWeb"/>
              <w:rPr>
                <w:rFonts w:ascii="Arial" w:hAnsi="Arial" w:cs="Arial"/>
                <w:sz w:val="22"/>
                <w:szCs w:val="22"/>
                <w:lang w:val="en-CA"/>
              </w:rPr>
            </w:pPr>
            <w:r w:rsidRPr="00BC0261">
              <w:rPr>
                <w:rFonts w:ascii="Arial" w:hAnsi="Arial" w:cs="Arial"/>
                <w:sz w:val="22"/>
                <w:szCs w:val="22"/>
                <w:lang w:val="en-CA"/>
              </w:rPr>
              <w:t>Carry-Over</w:t>
            </w:r>
            <w:bookmarkStart w:id="0" w:name="_GoBack"/>
            <w:bookmarkEnd w:id="0"/>
          </w:p>
          <w:p w:rsidR="000425DC" w:rsidRPr="00BC0261" w:rsidRDefault="000425DC">
            <w:pPr>
              <w:pStyle w:val="NormalWeb"/>
              <w:rPr>
                <w:rFonts w:ascii="Arial" w:hAnsi="Arial" w:cs="Arial"/>
                <w:sz w:val="22"/>
                <w:szCs w:val="22"/>
                <w:lang w:val="en-CA"/>
              </w:rPr>
            </w:pPr>
            <w:r w:rsidRPr="00BC0261">
              <w:rPr>
                <w:rFonts w:ascii="Arial" w:hAnsi="Arial" w:cs="Arial"/>
                <w:sz w:val="22"/>
                <w:szCs w:val="22"/>
                <w:lang w:val="en-CA"/>
              </w:rPr>
              <w:t>In accordance with Article 11.6 of the Collective Agreement, an employee may carry over up to three (3) weeks, or fifteen (15) working days, of vacation to the immediately following vacation year subject to agreement on scheduling of the carry-over week(s) in the following vacation year at a time that is satisfactory to the College.</w:t>
            </w:r>
          </w:p>
          <w:p w:rsidR="000425DC" w:rsidRPr="00BC0261" w:rsidRDefault="000425DC">
            <w:pPr>
              <w:pStyle w:val="NormalWeb"/>
              <w:rPr>
                <w:rFonts w:ascii="Arial" w:hAnsi="Arial" w:cs="Arial"/>
                <w:sz w:val="22"/>
                <w:szCs w:val="22"/>
                <w:lang w:val="en-CA"/>
              </w:rPr>
            </w:pPr>
            <w:r w:rsidRPr="00BC0261">
              <w:rPr>
                <w:rFonts w:ascii="Arial" w:hAnsi="Arial" w:cs="Arial"/>
                <w:sz w:val="22"/>
                <w:szCs w:val="22"/>
                <w:lang w:val="en-CA"/>
              </w:rPr>
              <w:t xml:space="preserve">If an employee requests that vacation days be rescheduled as a result of in-patient hospital treatment and the College is unable to reschedule in that vacation year, the employee may apply </w:t>
            </w:r>
            <w:r w:rsidRPr="00BC0261">
              <w:rPr>
                <w:rFonts w:ascii="Arial" w:hAnsi="Arial" w:cs="Arial"/>
                <w:i/>
                <w:iCs/>
                <w:sz w:val="22"/>
                <w:szCs w:val="22"/>
                <w:lang w:val="en-CA"/>
              </w:rPr>
              <w:t>in writing</w:t>
            </w:r>
            <w:r w:rsidRPr="00BC0261">
              <w:rPr>
                <w:rFonts w:ascii="Arial" w:hAnsi="Arial" w:cs="Arial"/>
                <w:sz w:val="22"/>
                <w:szCs w:val="22"/>
                <w:lang w:val="en-CA"/>
              </w:rPr>
              <w:t xml:space="preserve"> to carry these days over in excess of the maximum.</w:t>
            </w:r>
          </w:p>
          <w:p w:rsidR="000425DC" w:rsidRPr="00BC0261" w:rsidRDefault="000425DC">
            <w:pPr>
              <w:pStyle w:val="NormalWeb"/>
              <w:rPr>
                <w:rFonts w:ascii="Arial" w:hAnsi="Arial" w:cs="Arial"/>
                <w:sz w:val="22"/>
                <w:szCs w:val="22"/>
                <w:lang w:val="en-CA"/>
              </w:rPr>
            </w:pPr>
            <w:r w:rsidRPr="00BC0261">
              <w:rPr>
                <w:rFonts w:ascii="Arial" w:hAnsi="Arial" w:cs="Arial"/>
                <w:sz w:val="22"/>
                <w:szCs w:val="22"/>
                <w:lang w:val="en-CA"/>
              </w:rPr>
              <w:t> </w:t>
            </w:r>
          </w:p>
        </w:tc>
      </w:tr>
    </w:tbl>
    <w:p w:rsidR="00C9023C" w:rsidRPr="00BC0261" w:rsidRDefault="00C9023C">
      <w:pPr>
        <w:rPr>
          <w:rFonts w:ascii="Arial" w:hAnsi="Arial" w:cs="Arial"/>
          <w:sz w:val="22"/>
          <w:szCs w:val="22"/>
        </w:rPr>
      </w:pPr>
    </w:p>
    <w:sectPr w:rsidR="00C9023C" w:rsidRPr="00BC0261" w:rsidSect="00BC0261">
      <w:headerReference w:type="even" r:id="rId7"/>
      <w:headerReference w:type="default" r:id="rId8"/>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3DB" w:rsidRDefault="004E23DB">
      <w:r>
        <w:separator/>
      </w:r>
    </w:p>
  </w:endnote>
  <w:endnote w:type="continuationSeparator" w:id="0">
    <w:p w:rsidR="004E23DB" w:rsidRDefault="004E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3DB" w:rsidRDefault="004E23DB">
      <w:r>
        <w:separator/>
      </w:r>
    </w:p>
  </w:footnote>
  <w:footnote w:type="continuationSeparator" w:id="0">
    <w:p w:rsidR="004E23DB" w:rsidRDefault="004E2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61" w:rsidRDefault="00BC0261" w:rsidP="004E23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0261" w:rsidRDefault="00BC0261" w:rsidP="00BC026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61" w:rsidRDefault="00BC0261" w:rsidP="004E23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542C">
      <w:rPr>
        <w:rStyle w:val="PageNumber"/>
        <w:noProof/>
      </w:rPr>
      <w:t>2</w:t>
    </w:r>
    <w:r>
      <w:rPr>
        <w:rStyle w:val="PageNumber"/>
      </w:rPr>
      <w:fldChar w:fldCharType="end"/>
    </w:r>
  </w:p>
  <w:p w:rsidR="00BC0261" w:rsidRDefault="00BC0261" w:rsidP="00BC026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DC"/>
    <w:rsid w:val="000425DC"/>
    <w:rsid w:val="000F09F5"/>
    <w:rsid w:val="001A628F"/>
    <w:rsid w:val="002865DA"/>
    <w:rsid w:val="002F53C2"/>
    <w:rsid w:val="00411028"/>
    <w:rsid w:val="004E23DB"/>
    <w:rsid w:val="00544D2B"/>
    <w:rsid w:val="0059518D"/>
    <w:rsid w:val="00670842"/>
    <w:rsid w:val="00677B3A"/>
    <w:rsid w:val="006C7E28"/>
    <w:rsid w:val="00704ED0"/>
    <w:rsid w:val="00717C1B"/>
    <w:rsid w:val="00751E97"/>
    <w:rsid w:val="007B542C"/>
    <w:rsid w:val="00842D82"/>
    <w:rsid w:val="008F3F19"/>
    <w:rsid w:val="00A72E18"/>
    <w:rsid w:val="00AE0F5D"/>
    <w:rsid w:val="00BC0261"/>
    <w:rsid w:val="00C902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425DC"/>
    <w:pPr>
      <w:spacing w:before="100" w:beforeAutospacing="1" w:after="100" w:afterAutospacing="1"/>
    </w:pPr>
    <w:rPr>
      <w:lang w:val="en-US"/>
    </w:rPr>
  </w:style>
  <w:style w:type="character" w:styleId="Hyperlink">
    <w:name w:val="Hyperlink"/>
    <w:basedOn w:val="DefaultParagraphFont"/>
    <w:rsid w:val="000425DC"/>
    <w:rPr>
      <w:color w:val="0000FF"/>
      <w:u w:val="single"/>
    </w:rPr>
  </w:style>
  <w:style w:type="character" w:styleId="Emphasis">
    <w:name w:val="Emphasis"/>
    <w:basedOn w:val="DefaultParagraphFont"/>
    <w:qFormat/>
    <w:rsid w:val="000425DC"/>
    <w:rPr>
      <w:i/>
      <w:iCs/>
    </w:rPr>
  </w:style>
  <w:style w:type="character" w:styleId="Strong">
    <w:name w:val="Strong"/>
    <w:basedOn w:val="DefaultParagraphFont"/>
    <w:qFormat/>
    <w:rsid w:val="000425DC"/>
    <w:rPr>
      <w:b/>
      <w:bCs/>
    </w:rPr>
  </w:style>
  <w:style w:type="paragraph" w:styleId="BalloonText">
    <w:name w:val="Balloon Text"/>
    <w:basedOn w:val="Normal"/>
    <w:semiHidden/>
    <w:rsid w:val="00544D2B"/>
    <w:rPr>
      <w:rFonts w:ascii="Tahoma" w:hAnsi="Tahoma" w:cs="Tahoma"/>
      <w:sz w:val="16"/>
      <w:szCs w:val="16"/>
    </w:rPr>
  </w:style>
  <w:style w:type="paragraph" w:styleId="Header">
    <w:name w:val="header"/>
    <w:basedOn w:val="Normal"/>
    <w:rsid w:val="00BC0261"/>
    <w:pPr>
      <w:tabs>
        <w:tab w:val="center" w:pos="4320"/>
        <w:tab w:val="right" w:pos="8640"/>
      </w:tabs>
    </w:pPr>
  </w:style>
  <w:style w:type="character" w:styleId="PageNumber">
    <w:name w:val="page number"/>
    <w:basedOn w:val="DefaultParagraphFont"/>
    <w:rsid w:val="00BC02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425DC"/>
    <w:pPr>
      <w:spacing w:before="100" w:beforeAutospacing="1" w:after="100" w:afterAutospacing="1"/>
    </w:pPr>
    <w:rPr>
      <w:lang w:val="en-US"/>
    </w:rPr>
  </w:style>
  <w:style w:type="character" w:styleId="Hyperlink">
    <w:name w:val="Hyperlink"/>
    <w:basedOn w:val="DefaultParagraphFont"/>
    <w:rsid w:val="000425DC"/>
    <w:rPr>
      <w:color w:val="0000FF"/>
      <w:u w:val="single"/>
    </w:rPr>
  </w:style>
  <w:style w:type="character" w:styleId="Emphasis">
    <w:name w:val="Emphasis"/>
    <w:basedOn w:val="DefaultParagraphFont"/>
    <w:qFormat/>
    <w:rsid w:val="000425DC"/>
    <w:rPr>
      <w:i/>
      <w:iCs/>
    </w:rPr>
  </w:style>
  <w:style w:type="character" w:styleId="Strong">
    <w:name w:val="Strong"/>
    <w:basedOn w:val="DefaultParagraphFont"/>
    <w:qFormat/>
    <w:rsid w:val="000425DC"/>
    <w:rPr>
      <w:b/>
      <w:bCs/>
    </w:rPr>
  </w:style>
  <w:style w:type="paragraph" w:styleId="BalloonText">
    <w:name w:val="Balloon Text"/>
    <w:basedOn w:val="Normal"/>
    <w:semiHidden/>
    <w:rsid w:val="00544D2B"/>
    <w:rPr>
      <w:rFonts w:ascii="Tahoma" w:hAnsi="Tahoma" w:cs="Tahoma"/>
      <w:sz w:val="16"/>
      <w:szCs w:val="16"/>
    </w:rPr>
  </w:style>
  <w:style w:type="paragraph" w:styleId="Header">
    <w:name w:val="header"/>
    <w:basedOn w:val="Normal"/>
    <w:rsid w:val="00BC0261"/>
    <w:pPr>
      <w:tabs>
        <w:tab w:val="center" w:pos="4320"/>
        <w:tab w:val="right" w:pos="8640"/>
      </w:tabs>
    </w:pPr>
  </w:style>
  <w:style w:type="character" w:styleId="PageNumber">
    <w:name w:val="page number"/>
    <w:basedOn w:val="DefaultParagraphFont"/>
    <w:rsid w:val="00BC0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152536">
      <w:bodyDiv w:val="1"/>
      <w:marLeft w:val="0"/>
      <w:marRight w:val="0"/>
      <w:marTop w:val="0"/>
      <w:marBottom w:val="0"/>
      <w:divBdr>
        <w:top w:val="none" w:sz="0" w:space="0" w:color="auto"/>
        <w:left w:val="none" w:sz="0" w:space="0" w:color="auto"/>
        <w:bottom w:val="none" w:sz="0" w:space="0" w:color="auto"/>
        <w:right w:val="none" w:sz="0" w:space="0" w:color="auto"/>
      </w:divBdr>
      <w:divsChild>
        <w:div w:id="1529102157">
          <w:marLeft w:val="0"/>
          <w:marRight w:val="0"/>
          <w:marTop w:val="0"/>
          <w:marBottom w:val="0"/>
          <w:divBdr>
            <w:top w:val="none" w:sz="0" w:space="0" w:color="auto"/>
            <w:left w:val="none" w:sz="0" w:space="0" w:color="auto"/>
            <w:bottom w:val="none" w:sz="0" w:space="0" w:color="auto"/>
            <w:right w:val="none" w:sz="0" w:space="0" w:color="auto"/>
          </w:divBdr>
          <w:divsChild>
            <w:div w:id="571503877">
              <w:marLeft w:val="0"/>
              <w:marRight w:val="0"/>
              <w:marTop w:val="0"/>
              <w:marBottom w:val="0"/>
              <w:divBdr>
                <w:top w:val="none" w:sz="0" w:space="0" w:color="auto"/>
                <w:left w:val="none" w:sz="0" w:space="0" w:color="auto"/>
                <w:bottom w:val="none" w:sz="0" w:space="0" w:color="auto"/>
                <w:right w:val="none" w:sz="0" w:space="0" w:color="auto"/>
              </w:divBdr>
              <w:divsChild>
                <w:div w:id="21397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E507C054</Template>
  <TotalTime>1</TotalTime>
  <Pages>2</Pages>
  <Words>295</Words>
  <Characters>1684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Vacation Entitlements</vt:lpstr>
    </vt:vector>
  </TitlesOfParts>
  <Company>Sir Sandford Fleming College</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Vacation Entitlements</dc:title>
  <dc:creator>ITS</dc:creator>
  <cp:lastModifiedBy>Michelle Bozec</cp:lastModifiedBy>
  <cp:revision>2</cp:revision>
  <cp:lastPrinted>2010-04-29T14:52:00Z</cp:lastPrinted>
  <dcterms:created xsi:type="dcterms:W3CDTF">2014-01-27T20:35:00Z</dcterms:created>
  <dcterms:modified xsi:type="dcterms:W3CDTF">2014-01-27T20:35:00Z</dcterms:modified>
</cp:coreProperties>
</file>