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F2" w:rsidRDefault="002818F2" w:rsidP="00373D5B">
      <w:pPr>
        <w:tabs>
          <w:tab w:val="center" w:pos="4680"/>
        </w:tabs>
        <w:jc w:val="right"/>
        <w:rPr>
          <w:rFonts w:ascii="Segoe UI" w:hAnsi="Segoe UI" w:cs="Segoe UI"/>
          <w:smallCaps/>
        </w:rPr>
      </w:pPr>
    </w:p>
    <w:p w:rsidR="002818F2" w:rsidRDefault="007A4706" w:rsidP="00373D5B">
      <w:pPr>
        <w:tabs>
          <w:tab w:val="center" w:pos="4680"/>
        </w:tabs>
        <w:jc w:val="right"/>
        <w:rPr>
          <w:rFonts w:ascii="Segoe UI" w:hAnsi="Segoe UI" w:cs="Segoe UI"/>
          <w:smallCaps/>
        </w:rPr>
      </w:pPr>
      <w:r w:rsidRPr="008D5860">
        <w:rPr>
          <w:rFonts w:ascii="Segoe UI" w:hAnsi="Segoe UI" w:cs="Segoe UI"/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2E41920C" wp14:editId="248CAF00">
            <wp:simplePos x="0" y="0"/>
            <wp:positionH relativeFrom="column">
              <wp:posOffset>5356018</wp:posOffset>
            </wp:positionH>
            <wp:positionV relativeFrom="paragraph">
              <wp:posOffset>15240</wp:posOffset>
            </wp:positionV>
            <wp:extent cx="1565274" cy="54224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99"/>
                    <a:stretch/>
                  </pic:blipFill>
                  <pic:spPr bwMode="auto">
                    <a:xfrm>
                      <a:off x="0" y="0"/>
                      <a:ext cx="1565274" cy="54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8F2" w:rsidRDefault="002818F2" w:rsidP="00373D5B">
      <w:pPr>
        <w:tabs>
          <w:tab w:val="center" w:pos="4680"/>
        </w:tabs>
        <w:jc w:val="right"/>
        <w:rPr>
          <w:rFonts w:ascii="Segoe UI" w:hAnsi="Segoe UI" w:cs="Segoe UI"/>
          <w:smallCaps/>
        </w:rPr>
      </w:pPr>
    </w:p>
    <w:p w:rsidR="00233A93" w:rsidRPr="008D5860" w:rsidRDefault="00233A93" w:rsidP="00373D5B">
      <w:pPr>
        <w:tabs>
          <w:tab w:val="center" w:pos="4680"/>
        </w:tabs>
        <w:jc w:val="right"/>
        <w:rPr>
          <w:rFonts w:ascii="Segoe UI" w:hAnsi="Segoe UI" w:cs="Segoe UI"/>
          <w:smallCaps/>
        </w:rPr>
      </w:pPr>
    </w:p>
    <w:p w:rsidR="00494111" w:rsidRPr="00A04BC6" w:rsidRDefault="00494111" w:rsidP="00494111">
      <w:pPr>
        <w:tabs>
          <w:tab w:val="center" w:pos="4680"/>
        </w:tabs>
        <w:rPr>
          <w:rFonts w:ascii="Tw Cen MT" w:hAnsi="Tw Cen MT" w:cs="Segoe UI"/>
          <w:smallCaps/>
          <w:sz w:val="12"/>
          <w:szCs w:val="12"/>
        </w:rPr>
      </w:pPr>
    </w:p>
    <w:p w:rsidR="000D2749" w:rsidRPr="008D5860" w:rsidRDefault="00233A93" w:rsidP="002205AA">
      <w:pPr>
        <w:pBdr>
          <w:bottom w:val="single" w:sz="18" w:space="1" w:color="auto"/>
        </w:pBdr>
        <w:shd w:val="clear" w:color="auto" w:fill="C2DBD9" w:themeFill="accent3" w:themeFillShade="E6"/>
        <w:tabs>
          <w:tab w:val="center" w:pos="4680"/>
        </w:tabs>
        <w:rPr>
          <w:rFonts w:ascii="Tw Cen MT" w:hAnsi="Tw Cen MT" w:cs="Segoe UI"/>
          <w:smallCaps/>
          <w:sz w:val="36"/>
          <w:szCs w:val="36"/>
        </w:rPr>
      </w:pPr>
      <w:r w:rsidRPr="008D5860">
        <w:rPr>
          <w:rFonts w:ascii="Tw Cen MT" w:hAnsi="Tw Cen MT" w:cs="Segoe UI"/>
          <w:smallCaps/>
          <w:sz w:val="36"/>
          <w:szCs w:val="36"/>
        </w:rPr>
        <w:t>EXECUTIVE SUMMARY FOR PROGRAM REVIEW</w:t>
      </w:r>
    </w:p>
    <w:p w:rsidR="008D5860" w:rsidRPr="007A4706" w:rsidRDefault="008D5860" w:rsidP="00233A93">
      <w:pPr>
        <w:rPr>
          <w:rFonts w:ascii="Segoe UI" w:hAnsi="Segoe UI" w:cs="Segoe UI"/>
          <w:i/>
          <w:sz w:val="16"/>
          <w:szCs w:val="16"/>
        </w:rPr>
      </w:pPr>
    </w:p>
    <w:p w:rsidR="000D2749" w:rsidRDefault="00233A93" w:rsidP="00C84D56">
      <w:pPr>
        <w:pBdr>
          <w:bottom w:val="single" w:sz="6" w:space="1" w:color="auto"/>
        </w:pBdr>
        <w:shd w:val="clear" w:color="auto" w:fill="F2F2F2" w:themeFill="background1" w:themeFillShade="F2"/>
        <w:rPr>
          <w:rFonts w:ascii="Segoe UI" w:hAnsi="Segoe UI" w:cs="Segoe UI"/>
          <w:i/>
          <w:sz w:val="22"/>
          <w:szCs w:val="22"/>
        </w:rPr>
      </w:pPr>
      <w:r w:rsidRPr="008D5860">
        <w:rPr>
          <w:rFonts w:ascii="Segoe UI" w:hAnsi="Segoe UI" w:cs="Segoe UI"/>
          <w:i/>
          <w:sz w:val="22"/>
          <w:szCs w:val="22"/>
        </w:rPr>
        <w:t xml:space="preserve">The Executive Summary will be presented to </w:t>
      </w:r>
      <w:r w:rsidR="00494111" w:rsidRPr="008D5860">
        <w:rPr>
          <w:rFonts w:ascii="Segoe UI" w:hAnsi="Segoe UI" w:cs="Segoe UI"/>
          <w:i/>
          <w:sz w:val="22"/>
          <w:szCs w:val="22"/>
        </w:rPr>
        <w:t>Fleming College’s</w:t>
      </w:r>
      <w:r w:rsidRPr="008D5860">
        <w:rPr>
          <w:rFonts w:ascii="Segoe UI" w:hAnsi="Segoe UI" w:cs="Segoe UI"/>
          <w:i/>
          <w:sz w:val="22"/>
          <w:szCs w:val="22"/>
        </w:rPr>
        <w:t xml:space="preserve"> </w:t>
      </w:r>
      <w:r w:rsidR="00494111" w:rsidRPr="008D5860">
        <w:rPr>
          <w:rFonts w:ascii="Segoe UI" w:hAnsi="Segoe UI" w:cs="Segoe UI"/>
          <w:i/>
          <w:sz w:val="22"/>
          <w:szCs w:val="22"/>
        </w:rPr>
        <w:t>Academic Council</w:t>
      </w:r>
      <w:r w:rsidR="00502B70" w:rsidRPr="008D5860">
        <w:rPr>
          <w:rFonts w:ascii="Segoe UI" w:hAnsi="Segoe UI" w:cs="Segoe UI"/>
          <w:i/>
          <w:sz w:val="22"/>
          <w:szCs w:val="22"/>
        </w:rPr>
        <w:t xml:space="preserve"> and Executive Leadership Team</w:t>
      </w:r>
      <w:r w:rsidR="00494111" w:rsidRPr="008D5860">
        <w:rPr>
          <w:rFonts w:ascii="Segoe UI" w:hAnsi="Segoe UI" w:cs="Segoe UI"/>
          <w:i/>
          <w:sz w:val="22"/>
          <w:szCs w:val="22"/>
        </w:rPr>
        <w:t xml:space="preserve"> </w:t>
      </w:r>
      <w:r w:rsidRPr="008D5860">
        <w:rPr>
          <w:rFonts w:ascii="Segoe UI" w:hAnsi="Segoe UI" w:cs="Segoe UI"/>
          <w:i/>
          <w:sz w:val="22"/>
          <w:szCs w:val="22"/>
        </w:rPr>
        <w:t>for information and feedback.</w:t>
      </w:r>
      <w:r w:rsidR="00494111" w:rsidRPr="008D5860">
        <w:rPr>
          <w:rFonts w:ascii="Segoe UI" w:hAnsi="Segoe UI" w:cs="Segoe UI"/>
          <w:i/>
          <w:sz w:val="22"/>
          <w:szCs w:val="22"/>
        </w:rPr>
        <w:t xml:space="preserve"> The Executive Summary will also be provided</w:t>
      </w:r>
      <w:r w:rsidR="00F076E3">
        <w:rPr>
          <w:rFonts w:ascii="Segoe UI" w:hAnsi="Segoe UI" w:cs="Segoe UI"/>
          <w:i/>
          <w:sz w:val="22"/>
          <w:szCs w:val="22"/>
        </w:rPr>
        <w:t xml:space="preserve"> </w:t>
      </w:r>
      <w:r w:rsidR="00494111" w:rsidRPr="008D5860">
        <w:rPr>
          <w:rFonts w:ascii="Segoe UI" w:hAnsi="Segoe UI" w:cs="Segoe UI"/>
          <w:i/>
          <w:sz w:val="22"/>
          <w:szCs w:val="22"/>
        </w:rPr>
        <w:t xml:space="preserve">to Fleming College’s Board of Governors. </w:t>
      </w:r>
    </w:p>
    <w:p w:rsidR="000D2749" w:rsidRDefault="000D2749" w:rsidP="000D2749">
      <w:pPr>
        <w:tabs>
          <w:tab w:val="center" w:pos="4680"/>
        </w:tabs>
        <w:rPr>
          <w:rFonts w:ascii="Segoe UI" w:hAnsi="Segoe UI" w:cs="Segoe UI"/>
          <w:i/>
          <w:sz w:val="22"/>
          <w:szCs w:val="22"/>
        </w:rPr>
      </w:pPr>
    </w:p>
    <w:p w:rsidR="005243B5" w:rsidRPr="008D5860" w:rsidRDefault="005243B5" w:rsidP="000D2749">
      <w:pPr>
        <w:tabs>
          <w:tab w:val="center" w:pos="4680"/>
        </w:tabs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7"/>
        <w:gridCol w:w="8791"/>
      </w:tblGrid>
      <w:tr w:rsidR="008D5860" w:rsidRPr="008D5860" w:rsidTr="005243B5">
        <w:trPr>
          <w:trHeight w:val="311"/>
        </w:trPr>
        <w:tc>
          <w:tcPr>
            <w:tcW w:w="1977" w:type="dxa"/>
          </w:tcPr>
          <w:p w:rsidR="008D5860" w:rsidRPr="008D5860" w:rsidRDefault="008D5860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8D5860">
              <w:rPr>
                <w:rFonts w:ascii="Segoe UI" w:hAnsi="Segoe UI" w:cs="Segoe UI"/>
                <w:sz w:val="22"/>
                <w:szCs w:val="22"/>
              </w:rPr>
              <w:t>Subject:</w:t>
            </w:r>
          </w:p>
        </w:tc>
        <w:tc>
          <w:tcPr>
            <w:tcW w:w="8791" w:type="dxa"/>
          </w:tcPr>
          <w:p w:rsidR="008D5860" w:rsidRPr="005243B5" w:rsidRDefault="00672353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Theme="minorEastAsia" w:hAnsi="Segoe UI" w:cs="Segoe UI" w:hint="eastAsia"/>
                <w:sz w:val="22"/>
                <w:szCs w:val="22"/>
                <w:lang w:eastAsia="ko-KR"/>
              </w:rPr>
              <w:t xml:space="preserve">School of Trades and Technology, </w:t>
            </w:r>
            <w:r w:rsidR="005243B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8D5860" w:rsidRPr="005243B5">
              <w:rPr>
                <w:rFonts w:ascii="Segoe UI" w:hAnsi="Segoe UI" w:cs="Segoe UI"/>
                <w:sz w:val="22"/>
                <w:szCs w:val="22"/>
              </w:rPr>
              <w:t xml:space="preserve">Program Review Report </w:t>
            </w:r>
          </w:p>
        </w:tc>
      </w:tr>
      <w:tr w:rsidR="000D2749" w:rsidRPr="008D5860" w:rsidTr="005243B5">
        <w:tc>
          <w:tcPr>
            <w:tcW w:w="1977" w:type="dxa"/>
          </w:tcPr>
          <w:p w:rsidR="000D2749" w:rsidRPr="008D5860" w:rsidRDefault="005243B5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Program Name:</w:t>
            </w:r>
          </w:p>
        </w:tc>
        <w:tc>
          <w:tcPr>
            <w:tcW w:w="8791" w:type="dxa"/>
          </w:tcPr>
          <w:p w:rsidR="000D2749" w:rsidRPr="00672353" w:rsidRDefault="00672353" w:rsidP="005243B5">
            <w:pPr>
              <w:tabs>
                <w:tab w:val="center" w:pos="4680"/>
              </w:tabs>
              <w:rPr>
                <w:rFonts w:ascii="Segoe UI" w:eastAsiaTheme="minorEastAsia" w:hAnsi="Segoe UI" w:cs="Segoe UI"/>
                <w:sz w:val="22"/>
                <w:szCs w:val="22"/>
                <w:lang w:eastAsia="ko-KR"/>
              </w:rPr>
            </w:pPr>
            <w:r>
              <w:rPr>
                <w:rFonts w:ascii="Segoe UI" w:eastAsiaTheme="minorEastAsia" w:hAnsi="Segoe UI" w:cs="Segoe UI" w:hint="eastAsia"/>
                <w:sz w:val="22"/>
                <w:szCs w:val="22"/>
                <w:lang w:eastAsia="ko-KR"/>
              </w:rPr>
              <w:t>Electrical Techniques and Electrical Engineering Technician</w:t>
            </w:r>
          </w:p>
        </w:tc>
      </w:tr>
      <w:tr w:rsidR="005243B5" w:rsidRPr="008D5860" w:rsidTr="005243B5">
        <w:tc>
          <w:tcPr>
            <w:tcW w:w="1977" w:type="dxa"/>
          </w:tcPr>
          <w:p w:rsidR="005243B5" w:rsidRPr="008D5860" w:rsidRDefault="005243B5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Presented By:</w:t>
            </w:r>
          </w:p>
        </w:tc>
        <w:tc>
          <w:tcPr>
            <w:tcW w:w="8791" w:type="dxa"/>
          </w:tcPr>
          <w:p w:rsidR="005243B5" w:rsidRPr="00672353" w:rsidRDefault="00672353" w:rsidP="00233A93">
            <w:pPr>
              <w:tabs>
                <w:tab w:val="center" w:pos="4680"/>
              </w:tabs>
              <w:rPr>
                <w:rFonts w:ascii="Segoe UI" w:eastAsiaTheme="minorEastAsia" w:hAnsi="Segoe UI" w:cs="Segoe UI"/>
                <w:sz w:val="22"/>
                <w:szCs w:val="22"/>
                <w:lang w:eastAsia="ko-KR"/>
              </w:rPr>
            </w:pPr>
            <w:r>
              <w:rPr>
                <w:rFonts w:ascii="Segoe UI" w:eastAsiaTheme="minorEastAsia" w:hAnsi="Segoe UI" w:cs="Segoe UI" w:hint="eastAsia"/>
                <w:sz w:val="22"/>
                <w:szCs w:val="22"/>
                <w:lang w:eastAsia="ko-KR"/>
              </w:rPr>
              <w:t>Maxine Mann</w:t>
            </w:r>
          </w:p>
        </w:tc>
      </w:tr>
      <w:tr w:rsidR="000D2749" w:rsidRPr="008D5860" w:rsidTr="005243B5">
        <w:tc>
          <w:tcPr>
            <w:tcW w:w="1977" w:type="dxa"/>
          </w:tcPr>
          <w:p w:rsidR="000D2749" w:rsidRPr="008D5860" w:rsidRDefault="000D2749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8D5860">
              <w:rPr>
                <w:rFonts w:ascii="Segoe UI" w:hAnsi="Segoe UI" w:cs="Segoe UI"/>
                <w:sz w:val="22"/>
                <w:szCs w:val="22"/>
              </w:rPr>
              <w:t>Action:</w:t>
            </w:r>
          </w:p>
        </w:tc>
        <w:tc>
          <w:tcPr>
            <w:tcW w:w="8791" w:type="dxa"/>
          </w:tcPr>
          <w:p w:rsidR="000D2749" w:rsidRPr="008D5860" w:rsidRDefault="000D2749" w:rsidP="00233A93">
            <w:pPr>
              <w:tabs>
                <w:tab w:val="center" w:pos="4680"/>
              </w:tabs>
              <w:rPr>
                <w:rFonts w:ascii="Segoe UI" w:hAnsi="Segoe UI" w:cs="Segoe UI"/>
                <w:smallCaps/>
                <w:sz w:val="22"/>
                <w:szCs w:val="22"/>
              </w:rPr>
            </w:pPr>
            <w:r w:rsidRPr="008D5860">
              <w:rPr>
                <w:rFonts w:ascii="Segoe UI" w:hAnsi="Segoe UI" w:cs="Segoe UI"/>
                <w:sz w:val="22"/>
                <w:szCs w:val="22"/>
              </w:rPr>
              <w:t xml:space="preserve">For Discussion / Information  </w:t>
            </w:r>
          </w:p>
        </w:tc>
      </w:tr>
    </w:tbl>
    <w:p w:rsidR="008D5860" w:rsidRPr="008D5860" w:rsidRDefault="008D5860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0D2749" w:rsidRPr="008D5860" w:rsidRDefault="000D2749" w:rsidP="007861A9">
      <w:pPr>
        <w:shd w:val="pct10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SOURCE</w:t>
      </w:r>
    </w:p>
    <w:p w:rsidR="00C84D56" w:rsidRDefault="00C84D56" w:rsidP="00C84D56">
      <w:pPr>
        <w:pStyle w:val="ListParagraph"/>
        <w:numPr>
          <w:ilvl w:val="0"/>
          <w:numId w:val="5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Fleming College’s </w:t>
      </w:r>
      <w:r w:rsidRPr="00C84D56">
        <w:rPr>
          <w:rFonts w:ascii="Segoe UI" w:hAnsi="Segoe UI" w:cs="Segoe UI"/>
          <w:sz w:val="22"/>
          <w:szCs w:val="22"/>
        </w:rPr>
        <w:t>Curriculum Renewal and Program Review</w:t>
      </w:r>
      <w:r>
        <w:rPr>
          <w:rFonts w:ascii="Segoe UI" w:hAnsi="Segoe UI" w:cs="Segoe UI"/>
          <w:sz w:val="22"/>
          <w:szCs w:val="22"/>
        </w:rPr>
        <w:t xml:space="preserve"> (College Policy 2-207)</w:t>
      </w:r>
    </w:p>
    <w:p w:rsidR="00C84D56" w:rsidRPr="00C84D56" w:rsidRDefault="00C84D56" w:rsidP="00C84D56">
      <w:pPr>
        <w:pStyle w:val="ListParagraph"/>
        <w:numPr>
          <w:ilvl w:val="0"/>
          <w:numId w:val="5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Fleming College’s</w:t>
      </w:r>
      <w:r w:rsidRPr="008D5860">
        <w:rPr>
          <w:rFonts w:ascii="Segoe UI" w:hAnsi="Segoe UI" w:cs="Segoe UI"/>
          <w:sz w:val="22"/>
          <w:szCs w:val="22"/>
        </w:rPr>
        <w:t xml:space="preserve"> Quality Assura</w:t>
      </w:r>
      <w:r>
        <w:rPr>
          <w:rFonts w:ascii="Segoe UI" w:hAnsi="Segoe UI" w:cs="Segoe UI"/>
          <w:sz w:val="22"/>
          <w:szCs w:val="22"/>
        </w:rPr>
        <w:t>nce Policy (College Policy 2-213</w:t>
      </w:r>
      <w:r w:rsidRPr="008D5860">
        <w:rPr>
          <w:rFonts w:ascii="Segoe UI" w:hAnsi="Segoe UI" w:cs="Segoe UI"/>
          <w:sz w:val="22"/>
          <w:szCs w:val="22"/>
        </w:rPr>
        <w:t>)</w:t>
      </w:r>
    </w:p>
    <w:p w:rsidR="000D2749" w:rsidRDefault="00502B70" w:rsidP="00EB410E">
      <w:pPr>
        <w:pStyle w:val="ListParagraph"/>
        <w:numPr>
          <w:ilvl w:val="0"/>
          <w:numId w:val="5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Board of Gove</w:t>
      </w:r>
      <w:r w:rsidR="008D5860" w:rsidRPr="008D5860">
        <w:rPr>
          <w:rFonts w:ascii="Segoe UI" w:hAnsi="Segoe UI" w:cs="Segoe UI"/>
          <w:sz w:val="22"/>
          <w:szCs w:val="22"/>
        </w:rPr>
        <w:t>rnors By</w:t>
      </w:r>
      <w:r w:rsidR="008D5860">
        <w:rPr>
          <w:rFonts w:ascii="Segoe UI" w:hAnsi="Segoe UI" w:cs="Segoe UI"/>
          <w:sz w:val="22"/>
          <w:szCs w:val="22"/>
        </w:rPr>
        <w:t>-</w:t>
      </w:r>
      <w:r w:rsidR="00C84D56">
        <w:rPr>
          <w:rFonts w:ascii="Segoe UI" w:hAnsi="Segoe UI" w:cs="Segoe UI"/>
          <w:sz w:val="22"/>
          <w:szCs w:val="22"/>
        </w:rPr>
        <w:t>law (1-102 - reference section 39.6</w:t>
      </w:r>
      <w:r w:rsidR="008D5860" w:rsidRPr="008D5860">
        <w:rPr>
          <w:rFonts w:ascii="Segoe UI" w:hAnsi="Segoe UI" w:cs="Segoe UI"/>
          <w:sz w:val="22"/>
          <w:szCs w:val="22"/>
        </w:rPr>
        <w:t>)</w:t>
      </w:r>
    </w:p>
    <w:p w:rsidR="008D5860" w:rsidRPr="008D5860" w:rsidRDefault="008D5860" w:rsidP="008D5860">
      <w:pPr>
        <w:pStyle w:val="ListParagraph"/>
        <w:numPr>
          <w:ilvl w:val="0"/>
          <w:numId w:val="5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Academic Council Terms of Reference </w:t>
      </w:r>
      <w:r>
        <w:rPr>
          <w:rFonts w:ascii="Segoe UI" w:hAnsi="Segoe UI" w:cs="Segoe UI"/>
          <w:sz w:val="22"/>
          <w:szCs w:val="22"/>
        </w:rPr>
        <w:t>(</w:t>
      </w:r>
      <w:r w:rsidRPr="008D5860">
        <w:rPr>
          <w:rFonts w:ascii="Segoe UI" w:hAnsi="Segoe UI" w:cs="Segoe UI"/>
          <w:sz w:val="22"/>
          <w:szCs w:val="22"/>
        </w:rPr>
        <w:t>https://department.flemingcollege.ca/vpa/academic-council/terms-of-reference/</w:t>
      </w:r>
      <w:r>
        <w:rPr>
          <w:rFonts w:ascii="Segoe UI" w:hAnsi="Segoe UI" w:cs="Segoe UI"/>
          <w:sz w:val="22"/>
          <w:szCs w:val="22"/>
        </w:rPr>
        <w:t>)</w:t>
      </w:r>
    </w:p>
    <w:p w:rsidR="008D5860" w:rsidRPr="008D5860" w:rsidRDefault="008D5860" w:rsidP="008D5860">
      <w:p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</w:p>
    <w:p w:rsidR="008D5860" w:rsidRPr="008D5860" w:rsidRDefault="008D5860" w:rsidP="008D5860">
      <w:p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Reference </w:t>
      </w:r>
      <w:r w:rsidRPr="008D5860">
        <w:rPr>
          <w:rFonts w:ascii="Segoe UI" w:hAnsi="Segoe UI" w:cs="Segoe UI"/>
          <w:sz w:val="22"/>
          <w:szCs w:val="22"/>
        </w:rPr>
        <w:t>Documents</w:t>
      </w:r>
    </w:p>
    <w:p w:rsidR="008D5860" w:rsidRPr="008D5860" w:rsidRDefault="008D5860" w:rsidP="008D5860">
      <w:pPr>
        <w:pStyle w:val="ListParagraph"/>
        <w:numPr>
          <w:ilvl w:val="0"/>
          <w:numId w:val="6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Ministry of Training Colleges and Universities: Minister’s Binding Policy Directive, Framework for</w:t>
      </w:r>
    </w:p>
    <w:p w:rsidR="008D5860" w:rsidRPr="008D5860" w:rsidRDefault="008D5860" w:rsidP="008D5860">
      <w:pPr>
        <w:pStyle w:val="ListParagraph"/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Programs of Instruction http://www.accc.ca/ftp/es-ce/MTCUCollegeFramework.pdf</w:t>
      </w:r>
    </w:p>
    <w:p w:rsidR="008D5860" w:rsidRPr="008D5860" w:rsidRDefault="008D5860" w:rsidP="008D5860">
      <w:pPr>
        <w:pStyle w:val="ListParagraph"/>
        <w:numPr>
          <w:ilvl w:val="0"/>
          <w:numId w:val="6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Guidelines for the Program Review and Curriculum Renewal process and templates are located on the Centre for Learning and Teaching Website. http://flemingclt.ca</w:t>
      </w:r>
    </w:p>
    <w:p w:rsidR="008D5860" w:rsidRPr="008D5860" w:rsidRDefault="008D5860" w:rsidP="008D5860">
      <w:pPr>
        <w:pStyle w:val="ListParagraph"/>
        <w:numPr>
          <w:ilvl w:val="0"/>
          <w:numId w:val="6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Ontario College Quality Assurance Service - http://www.ocqas.org</w:t>
      </w:r>
      <w:r w:rsidRPr="008D5860">
        <w:rPr>
          <w:rFonts w:ascii="Segoe UI" w:hAnsi="Segoe UI" w:cs="Segoe UI"/>
          <w:sz w:val="22"/>
          <w:szCs w:val="22"/>
        </w:rPr>
        <w:cr/>
      </w:r>
    </w:p>
    <w:p w:rsidR="008D5860" w:rsidRPr="008D5860" w:rsidRDefault="008D5860" w:rsidP="008D5860">
      <w:p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</w:p>
    <w:p w:rsidR="000D2749" w:rsidRPr="008D5860" w:rsidRDefault="000D2749" w:rsidP="007861A9">
      <w:pPr>
        <w:shd w:val="pct10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BACKGROUND </w:t>
      </w:r>
    </w:p>
    <w:p w:rsidR="000D2749" w:rsidRPr="008D5860" w:rsidRDefault="000D2749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Flemin</w:t>
      </w:r>
      <w:r w:rsidR="00233A93" w:rsidRPr="008D5860">
        <w:rPr>
          <w:rFonts w:ascii="Segoe UI" w:hAnsi="Segoe UI" w:cs="Segoe UI"/>
          <w:sz w:val="22"/>
          <w:szCs w:val="22"/>
        </w:rPr>
        <w:t>g’s quality assurance process includes a two-staged process that includes</w:t>
      </w:r>
      <w:r w:rsidRPr="008D5860">
        <w:rPr>
          <w:rFonts w:ascii="Segoe UI" w:hAnsi="Segoe UI" w:cs="Segoe UI"/>
          <w:sz w:val="22"/>
          <w:szCs w:val="22"/>
        </w:rPr>
        <w:t>:  Curriculum Renewal (</w:t>
      </w:r>
      <w:r w:rsidR="00233A93" w:rsidRPr="008D5860">
        <w:rPr>
          <w:rFonts w:ascii="Segoe UI" w:hAnsi="Segoe UI" w:cs="Segoe UI"/>
          <w:sz w:val="22"/>
          <w:szCs w:val="22"/>
        </w:rPr>
        <w:t xml:space="preserve">conducted </w:t>
      </w:r>
      <w:r w:rsidRPr="008D5860">
        <w:rPr>
          <w:rFonts w:ascii="Segoe UI" w:hAnsi="Segoe UI" w:cs="Segoe UI"/>
          <w:sz w:val="22"/>
          <w:szCs w:val="22"/>
        </w:rPr>
        <w:t>annual</w:t>
      </w:r>
      <w:r w:rsidR="00233A93" w:rsidRPr="008D5860">
        <w:rPr>
          <w:rFonts w:ascii="Segoe UI" w:hAnsi="Segoe UI" w:cs="Segoe UI"/>
          <w:sz w:val="22"/>
          <w:szCs w:val="22"/>
        </w:rPr>
        <w:t>ly</w:t>
      </w:r>
      <w:r w:rsidRPr="008D5860">
        <w:rPr>
          <w:rFonts w:ascii="Segoe UI" w:hAnsi="Segoe UI" w:cs="Segoe UI"/>
          <w:sz w:val="22"/>
          <w:szCs w:val="22"/>
        </w:rPr>
        <w:t>) and Program Review (</w:t>
      </w:r>
      <w:r w:rsidR="00233A93" w:rsidRPr="008D5860">
        <w:rPr>
          <w:rFonts w:ascii="Segoe UI" w:hAnsi="Segoe UI" w:cs="Segoe UI"/>
          <w:sz w:val="22"/>
          <w:szCs w:val="22"/>
        </w:rPr>
        <w:t xml:space="preserve">conducted </w:t>
      </w:r>
      <w:r w:rsidRPr="008D5860">
        <w:rPr>
          <w:rFonts w:ascii="Segoe UI" w:hAnsi="Segoe UI" w:cs="Segoe UI"/>
          <w:sz w:val="22"/>
          <w:szCs w:val="22"/>
        </w:rPr>
        <w:t>every five years)</w:t>
      </w:r>
      <w:r w:rsidR="00233A93" w:rsidRPr="008D5860">
        <w:rPr>
          <w:rFonts w:ascii="Segoe UI" w:hAnsi="Segoe UI" w:cs="Segoe UI"/>
          <w:sz w:val="22"/>
          <w:szCs w:val="22"/>
        </w:rPr>
        <w:t>.  T</w:t>
      </w:r>
      <w:r w:rsidRPr="008D5860">
        <w:rPr>
          <w:rFonts w:ascii="Segoe UI" w:hAnsi="Segoe UI" w:cs="Segoe UI"/>
          <w:sz w:val="22"/>
          <w:szCs w:val="22"/>
        </w:rPr>
        <w:t xml:space="preserve">hese two internal processes are integrated so there is an </w:t>
      </w:r>
      <w:r w:rsidRPr="008D5860">
        <w:rPr>
          <w:rFonts w:ascii="Segoe UI" w:hAnsi="Segoe UI" w:cs="Segoe UI"/>
          <w:i/>
          <w:sz w:val="22"/>
          <w:szCs w:val="22"/>
        </w:rPr>
        <w:t>ongoing</w:t>
      </w:r>
      <w:r w:rsidRPr="008D5860">
        <w:rPr>
          <w:rFonts w:ascii="Segoe UI" w:hAnsi="Segoe UI" w:cs="Segoe UI"/>
          <w:sz w:val="22"/>
          <w:szCs w:val="22"/>
        </w:rPr>
        <w:t xml:space="preserve"> focus on curriculum quality.</w:t>
      </w:r>
    </w:p>
    <w:p w:rsidR="000D2749" w:rsidRPr="008D5860" w:rsidRDefault="000D2749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0D2749" w:rsidRPr="008D5860" w:rsidRDefault="000D2749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The Program Review process is characterized by both depth and breadth of analysis.  </w:t>
      </w:r>
      <w:r w:rsidR="00233A93" w:rsidRPr="008D5860">
        <w:rPr>
          <w:rFonts w:ascii="Segoe UI" w:hAnsi="Segoe UI" w:cs="Segoe UI"/>
          <w:sz w:val="22"/>
          <w:szCs w:val="22"/>
        </w:rPr>
        <w:t>Program da</w:t>
      </w:r>
      <w:r w:rsidRPr="008D5860">
        <w:rPr>
          <w:rFonts w:ascii="Segoe UI" w:hAnsi="Segoe UI" w:cs="Segoe UI"/>
          <w:sz w:val="22"/>
          <w:szCs w:val="22"/>
        </w:rPr>
        <w:t xml:space="preserve">ta is collated, reviewed and assessed against given criteria, providing a measure of both the vitality and viability of each program.  </w:t>
      </w:r>
      <w:r w:rsidR="00DF00A7" w:rsidRPr="008D5860">
        <w:rPr>
          <w:rFonts w:ascii="Segoe UI" w:hAnsi="Segoe UI" w:cs="Segoe UI"/>
          <w:sz w:val="22"/>
          <w:szCs w:val="22"/>
        </w:rPr>
        <w:t>Based on this analysis, l</w:t>
      </w:r>
      <w:r w:rsidRPr="008D5860">
        <w:rPr>
          <w:rFonts w:ascii="Segoe UI" w:hAnsi="Segoe UI" w:cs="Segoe UI"/>
          <w:sz w:val="22"/>
          <w:szCs w:val="22"/>
        </w:rPr>
        <w:t>ong-term plans are then created to guide continuous curriculum improvement and build on the cumulative outcomes of annual curriculum renewal.  At the end of this process, a Program Review Panel (convened by the Dean) is charged with the responsibility of making recommendations concerning program viability as well as suggesting program/curriculum revisions.</w:t>
      </w:r>
    </w:p>
    <w:p w:rsidR="00DF00A7" w:rsidRPr="008D5860" w:rsidRDefault="00DF00A7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DF00A7" w:rsidRPr="008D5860" w:rsidRDefault="00DF00A7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In adhering to the mandate of the </w:t>
      </w:r>
      <w:r w:rsidR="00494111" w:rsidRPr="008D5860">
        <w:rPr>
          <w:rFonts w:ascii="Segoe UI" w:hAnsi="Segoe UI" w:cs="Segoe UI"/>
          <w:sz w:val="22"/>
          <w:szCs w:val="22"/>
        </w:rPr>
        <w:t xml:space="preserve">Academic Council </w:t>
      </w:r>
      <w:r w:rsidRPr="008D5860">
        <w:rPr>
          <w:rFonts w:ascii="Segoe UI" w:hAnsi="Segoe UI" w:cs="Segoe UI"/>
          <w:sz w:val="22"/>
          <w:szCs w:val="22"/>
        </w:rPr>
        <w:t xml:space="preserve">to receive reviews of existing programs of instruction, the Executive Summary </w:t>
      </w:r>
      <w:r w:rsidR="00373D5B" w:rsidRPr="008D5860">
        <w:rPr>
          <w:rFonts w:ascii="Segoe UI" w:hAnsi="Segoe UI" w:cs="Segoe UI"/>
          <w:sz w:val="22"/>
          <w:szCs w:val="22"/>
        </w:rPr>
        <w:t>for</w:t>
      </w:r>
      <w:r w:rsidR="00513C50">
        <w:rPr>
          <w:rFonts w:ascii="Segoe UI" w:hAnsi="Segoe UI" w:cs="Segoe UI"/>
          <w:sz w:val="22"/>
          <w:szCs w:val="22"/>
        </w:rPr>
        <w:t xml:space="preserve"> the School of </w:t>
      </w:r>
      <w:r w:rsidR="00672353">
        <w:rPr>
          <w:rFonts w:ascii="Segoe UI" w:eastAsiaTheme="minorEastAsia" w:hAnsi="Segoe UI" w:cs="Segoe UI" w:hint="eastAsia"/>
          <w:sz w:val="22"/>
          <w:szCs w:val="22"/>
          <w:lang w:eastAsia="ko-KR"/>
        </w:rPr>
        <w:t>Trades and Technology</w:t>
      </w:r>
      <w:r w:rsidRPr="008D5860">
        <w:rPr>
          <w:rFonts w:ascii="Segoe UI" w:hAnsi="Segoe UI" w:cs="Segoe UI"/>
          <w:sz w:val="22"/>
          <w:szCs w:val="22"/>
        </w:rPr>
        <w:t xml:space="preserve"> is hereby provided, for the </w:t>
      </w:r>
      <w:r w:rsidR="00494111" w:rsidRPr="008D5860">
        <w:rPr>
          <w:rFonts w:ascii="Segoe UI" w:hAnsi="Segoe UI" w:cs="Segoe UI"/>
          <w:sz w:val="22"/>
          <w:szCs w:val="22"/>
        </w:rPr>
        <w:t>Council’s</w:t>
      </w:r>
      <w:r w:rsidRPr="008D5860">
        <w:rPr>
          <w:rFonts w:ascii="Segoe UI" w:hAnsi="Segoe UI" w:cs="Segoe UI"/>
          <w:sz w:val="22"/>
          <w:szCs w:val="22"/>
        </w:rPr>
        <w:t xml:space="preserve"> information.</w:t>
      </w:r>
    </w:p>
    <w:p w:rsidR="008D5860" w:rsidRPr="008D5860" w:rsidRDefault="008D5860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0D2749" w:rsidRPr="008D5860" w:rsidRDefault="00233A93" w:rsidP="007861A9">
      <w:pPr>
        <w:shd w:val="pct10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lastRenderedPageBreak/>
        <w:t>PROGRAM STRENGTHS</w:t>
      </w:r>
    </w:p>
    <w:p w:rsidR="000D2749" w:rsidRPr="002B3EE8" w:rsidRDefault="00672353" w:rsidP="002B3EE8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2B3EE8">
        <w:rPr>
          <w:rFonts w:ascii="Segoe UI" w:eastAsiaTheme="minorEastAsia" w:hAnsi="Segoe UI" w:cs="Segoe UI" w:hint="eastAsia"/>
          <w:sz w:val="22"/>
          <w:szCs w:val="22"/>
          <w:lang w:eastAsia="ko-KR"/>
        </w:rPr>
        <w:t>Complete safety certifications in WHIMIS, Fall Arrest, Confined Spaces, and Basic First Aid/CPR</w:t>
      </w:r>
    </w:p>
    <w:p w:rsidR="00672353" w:rsidRPr="002B3EE8" w:rsidRDefault="00672353" w:rsidP="002B3EE8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2B3EE8">
        <w:rPr>
          <w:rFonts w:ascii="Segoe UI" w:eastAsiaTheme="minorEastAsia" w:hAnsi="Segoe UI" w:cs="Segoe UI" w:hint="eastAsia"/>
          <w:sz w:val="22"/>
          <w:szCs w:val="22"/>
          <w:lang w:eastAsia="ko-KR"/>
        </w:rPr>
        <w:t>Use the correct techniques for various electrical installations (Hands on Job)</w:t>
      </w:r>
    </w:p>
    <w:p w:rsidR="009524D9" w:rsidRPr="00693CFE" w:rsidRDefault="009524D9" w:rsidP="000D2749">
      <w:pPr>
        <w:tabs>
          <w:tab w:val="left" w:pos="-144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</w:p>
    <w:p w:rsidR="00233A93" w:rsidRPr="008D5860" w:rsidRDefault="00233A93" w:rsidP="007861A9">
      <w:pPr>
        <w:shd w:val="pct10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PROGRAM CHALLENGES</w:t>
      </w:r>
    </w:p>
    <w:p w:rsidR="00672353" w:rsidRPr="002B3EE8" w:rsidRDefault="00672353" w:rsidP="002B3EE8">
      <w:pPr>
        <w:pStyle w:val="ListParagraph"/>
        <w:numPr>
          <w:ilvl w:val="0"/>
          <w:numId w:val="8"/>
        </w:numPr>
        <w:tabs>
          <w:tab w:val="left" w:pos="-144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2B3EE8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Math skills of </w:t>
      </w:r>
      <w:r w:rsidRPr="002B3EE8">
        <w:rPr>
          <w:rFonts w:ascii="Segoe UI" w:eastAsiaTheme="minorEastAsia" w:hAnsi="Segoe UI" w:cs="Segoe UI"/>
          <w:sz w:val="22"/>
          <w:szCs w:val="22"/>
          <w:lang w:eastAsia="ko-KR"/>
        </w:rPr>
        <w:t>student</w:t>
      </w:r>
      <w:r w:rsidRPr="002B3EE8">
        <w:rPr>
          <w:rFonts w:ascii="Segoe UI" w:eastAsiaTheme="minorEastAsia" w:hAnsi="Segoe UI" w:cs="Segoe UI" w:hint="eastAsia"/>
          <w:sz w:val="22"/>
          <w:szCs w:val="22"/>
          <w:lang w:eastAsia="ko-KR"/>
        </w:rPr>
        <w:t>s need work</w:t>
      </w:r>
    </w:p>
    <w:p w:rsidR="00672353" w:rsidRPr="002B3EE8" w:rsidRDefault="00672353" w:rsidP="002B3EE8">
      <w:pPr>
        <w:pStyle w:val="ListParagraph"/>
        <w:numPr>
          <w:ilvl w:val="0"/>
          <w:numId w:val="8"/>
        </w:numPr>
        <w:tabs>
          <w:tab w:val="left" w:pos="-144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2B3EE8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Need to have updated laboratory </w:t>
      </w:r>
      <w:r w:rsidRPr="002B3EE8">
        <w:rPr>
          <w:rFonts w:ascii="Segoe UI" w:eastAsiaTheme="minorEastAsia" w:hAnsi="Segoe UI" w:cs="Segoe UI"/>
          <w:sz w:val="22"/>
          <w:szCs w:val="22"/>
          <w:lang w:eastAsia="ko-KR"/>
        </w:rPr>
        <w:t>equipment</w:t>
      </w:r>
      <w:r w:rsidRPr="002B3EE8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(Budget Issues) </w:t>
      </w:r>
    </w:p>
    <w:p w:rsidR="009524D9" w:rsidRPr="00693CFE" w:rsidRDefault="009524D9" w:rsidP="000D2749">
      <w:pPr>
        <w:tabs>
          <w:tab w:val="left" w:pos="-144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</w:p>
    <w:p w:rsidR="009524D9" w:rsidRPr="008D5860" w:rsidRDefault="005022EF" w:rsidP="005022EF">
      <w:pPr>
        <w:shd w:val="clear" w:color="auto" w:fill="D9D9D9" w:themeFill="background1" w:themeFillShade="D9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KPI RESULTS</w:t>
      </w: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4140"/>
        <w:gridCol w:w="746"/>
        <w:gridCol w:w="746"/>
        <w:gridCol w:w="746"/>
        <w:gridCol w:w="650"/>
        <w:gridCol w:w="746"/>
        <w:gridCol w:w="746"/>
        <w:gridCol w:w="941"/>
      </w:tblGrid>
      <w:tr w:rsidR="00672353" w:rsidRPr="00672353" w:rsidTr="001B43DE">
        <w:trPr>
          <w:trHeight w:val="435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57364" w:rsidP="0067235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color w:val="FF0000"/>
                <w:sz w:val="22"/>
                <w:szCs w:val="22"/>
                <w:lang w:eastAsia="ja-JP"/>
              </w:rPr>
              <w:t>Student satisfaction in Red highlighted.</w:t>
            </w:r>
          </w:p>
        </w:tc>
        <w:tc>
          <w:tcPr>
            <w:tcW w:w="5321" w:type="dxa"/>
            <w:gridSpan w:val="7"/>
            <w:tcBorders>
              <w:top w:val="single" w:sz="4" w:space="0" w:color="1F497D"/>
              <w:left w:val="single" w:sz="4" w:space="0" w:color="1F497D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67235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KPI Score (%)</w:t>
            </w:r>
          </w:p>
        </w:tc>
      </w:tr>
      <w:tr w:rsidR="00672353" w:rsidRPr="00672353" w:rsidTr="001B43DE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672353" w:rsidRPr="00672353" w:rsidRDefault="00672353" w:rsidP="00672353">
            <w:pPr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  <w:t>Review Year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366092" w:fill="366092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  <w:t>KPI1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366092" w:fill="366092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  <w:t>KPI2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366092" w:fill="366092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  <w:t>KPI3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366092" w:fill="366092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  <w:t>KP4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366092" w:fill="366092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0"/>
                <w:szCs w:val="20"/>
                <w:lang w:eastAsia="ja-JP"/>
              </w:rPr>
              <w:t>KPI8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366092" w:fill="366092"/>
            <w:noWrap/>
            <w:vAlign w:val="bottom"/>
            <w:hideMark/>
          </w:tcPr>
          <w:p w:rsidR="00672353" w:rsidRPr="00657364" w:rsidRDefault="00672353" w:rsidP="00672353">
            <w:pPr>
              <w:rPr>
                <w:rFonts w:ascii="Calibri" w:hAnsi="Calibri"/>
                <w:b/>
                <w:color w:val="FF0000"/>
                <w:sz w:val="20"/>
                <w:szCs w:val="20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0"/>
                <w:szCs w:val="20"/>
                <w:lang w:eastAsia="ja-JP"/>
              </w:rPr>
              <w:t>KPI9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F497D"/>
            </w:tcBorders>
            <w:shd w:val="clear" w:color="366092" w:fill="366092"/>
            <w:noWrap/>
            <w:vAlign w:val="bottom"/>
            <w:hideMark/>
          </w:tcPr>
          <w:p w:rsidR="00672353" w:rsidRPr="00672353" w:rsidRDefault="00672353" w:rsidP="00672353">
            <w:pPr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0"/>
                <w:szCs w:val="20"/>
                <w:lang w:eastAsia="ja-JP"/>
              </w:rPr>
              <w:t>KPI11</w:t>
            </w:r>
          </w:p>
        </w:tc>
      </w:tr>
      <w:tr w:rsidR="00672353" w:rsidRPr="00672353" w:rsidTr="001B43DE">
        <w:trPr>
          <w:trHeight w:val="300"/>
          <w:jc w:val="center"/>
        </w:trPr>
        <w:tc>
          <w:tcPr>
            <w:tcW w:w="4140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95B3D7" w:fill="95B3D7"/>
            <w:noWrap/>
            <w:vAlign w:val="bottom"/>
            <w:hideMark/>
          </w:tcPr>
          <w:p w:rsidR="00672353" w:rsidRPr="00672353" w:rsidRDefault="00672353" w:rsidP="00672353">
            <w:pPr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  <w:t>Electrical Techniques</w:t>
            </w:r>
          </w:p>
        </w:tc>
        <w:tc>
          <w:tcPr>
            <w:tcW w:w="746" w:type="dxa"/>
            <w:tcBorders>
              <w:top w:val="single" w:sz="4" w:space="0" w:color="1F497D"/>
              <w:left w:val="single" w:sz="4" w:space="0" w:color="1F497D"/>
              <w:bottom w:val="single" w:sz="4" w:space="0" w:color="DCE6F1"/>
              <w:right w:val="nil"/>
            </w:tcBorders>
            <w:shd w:val="clear" w:color="95B3D7" w:fill="95B3D7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  <w:t>50</w:t>
            </w:r>
          </w:p>
        </w:tc>
        <w:tc>
          <w:tcPr>
            <w:tcW w:w="746" w:type="dxa"/>
            <w:tcBorders>
              <w:top w:val="single" w:sz="4" w:space="0" w:color="1F497D"/>
              <w:left w:val="nil"/>
              <w:bottom w:val="single" w:sz="4" w:space="0" w:color="DCE6F1"/>
              <w:right w:val="nil"/>
            </w:tcBorders>
            <w:shd w:val="clear" w:color="95B3D7" w:fill="95B3D7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  <w:t>83</w:t>
            </w:r>
          </w:p>
        </w:tc>
        <w:tc>
          <w:tcPr>
            <w:tcW w:w="746" w:type="dxa"/>
            <w:tcBorders>
              <w:top w:val="single" w:sz="4" w:space="0" w:color="1F497D"/>
              <w:left w:val="nil"/>
              <w:bottom w:val="single" w:sz="4" w:space="0" w:color="DCE6F1"/>
              <w:right w:val="nil"/>
            </w:tcBorders>
            <w:shd w:val="clear" w:color="95B3D7" w:fill="95B3D7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  <w:t>30</w:t>
            </w:r>
          </w:p>
        </w:tc>
        <w:tc>
          <w:tcPr>
            <w:tcW w:w="650" w:type="dxa"/>
            <w:tcBorders>
              <w:top w:val="single" w:sz="4" w:space="0" w:color="1F497D"/>
              <w:left w:val="nil"/>
              <w:bottom w:val="single" w:sz="4" w:space="0" w:color="DCE6F1"/>
              <w:right w:val="nil"/>
            </w:tcBorders>
            <w:shd w:val="clear" w:color="95B3D7" w:fill="95B3D7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  <w:t>79</w:t>
            </w:r>
          </w:p>
        </w:tc>
        <w:tc>
          <w:tcPr>
            <w:tcW w:w="746" w:type="dxa"/>
            <w:tcBorders>
              <w:top w:val="single" w:sz="4" w:space="0" w:color="1F497D"/>
              <w:left w:val="nil"/>
              <w:bottom w:val="single" w:sz="4" w:space="0" w:color="DCE6F1"/>
              <w:right w:val="nil"/>
            </w:tcBorders>
            <w:shd w:val="clear" w:color="95B3D7" w:fill="95B3D7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53</w:t>
            </w:r>
          </w:p>
        </w:tc>
        <w:tc>
          <w:tcPr>
            <w:tcW w:w="746" w:type="dxa"/>
            <w:tcBorders>
              <w:top w:val="single" w:sz="4" w:space="0" w:color="1F497D"/>
              <w:left w:val="nil"/>
              <w:bottom w:val="single" w:sz="4" w:space="0" w:color="DCE6F1"/>
              <w:right w:val="nil"/>
            </w:tcBorders>
            <w:shd w:val="clear" w:color="95B3D7" w:fill="95B3D7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48</w:t>
            </w:r>
          </w:p>
        </w:tc>
        <w:tc>
          <w:tcPr>
            <w:tcW w:w="941" w:type="dxa"/>
            <w:tcBorders>
              <w:top w:val="single" w:sz="4" w:space="0" w:color="1F497D"/>
              <w:left w:val="nil"/>
              <w:bottom w:val="single" w:sz="4" w:space="0" w:color="DCE6F1"/>
              <w:right w:val="single" w:sz="4" w:space="0" w:color="1F497D"/>
            </w:tcBorders>
            <w:shd w:val="clear" w:color="95B3D7" w:fill="95B3D7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FFFFFF"/>
                <w:sz w:val="22"/>
                <w:szCs w:val="22"/>
                <w:lang w:eastAsia="ja-JP"/>
              </w:rPr>
              <w:t>72</w:t>
            </w:r>
          </w:p>
        </w:tc>
      </w:tr>
      <w:tr w:rsidR="00672353" w:rsidRPr="00672353" w:rsidTr="001B43DE">
        <w:trPr>
          <w:trHeight w:val="300"/>
          <w:jc w:val="center"/>
        </w:trPr>
        <w:tc>
          <w:tcPr>
            <w:tcW w:w="41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2011</w:t>
            </w:r>
          </w:p>
        </w:tc>
        <w:tc>
          <w:tcPr>
            <w:tcW w:w="746" w:type="dxa"/>
            <w:tcBorders>
              <w:top w:val="single" w:sz="4" w:space="0" w:color="DCE6F1"/>
              <w:left w:val="single" w:sz="4" w:space="0" w:color="1F497D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40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76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65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74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38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35</w:t>
            </w:r>
          </w:p>
        </w:tc>
        <w:tc>
          <w:tcPr>
            <w:tcW w:w="941" w:type="dxa"/>
            <w:tcBorders>
              <w:top w:val="single" w:sz="4" w:space="0" w:color="DCE6F1"/>
              <w:left w:val="nil"/>
              <w:bottom w:val="single" w:sz="4" w:space="0" w:color="DCE6F1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68</w:t>
            </w:r>
          </w:p>
        </w:tc>
      </w:tr>
      <w:tr w:rsidR="00672353" w:rsidRPr="00672353" w:rsidTr="001B43DE">
        <w:trPr>
          <w:trHeight w:val="300"/>
          <w:jc w:val="center"/>
        </w:trPr>
        <w:tc>
          <w:tcPr>
            <w:tcW w:w="414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2012</w:t>
            </w:r>
          </w:p>
        </w:tc>
        <w:tc>
          <w:tcPr>
            <w:tcW w:w="746" w:type="dxa"/>
            <w:tcBorders>
              <w:top w:val="single" w:sz="4" w:space="0" w:color="366092"/>
              <w:left w:val="single" w:sz="4" w:space="0" w:color="1F497D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51</w:t>
            </w:r>
          </w:p>
        </w:tc>
        <w:tc>
          <w:tcPr>
            <w:tcW w:w="7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88</w:t>
            </w:r>
          </w:p>
        </w:tc>
        <w:tc>
          <w:tcPr>
            <w:tcW w:w="7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32</w:t>
            </w:r>
          </w:p>
        </w:tc>
        <w:tc>
          <w:tcPr>
            <w:tcW w:w="65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83</w:t>
            </w:r>
          </w:p>
        </w:tc>
        <w:tc>
          <w:tcPr>
            <w:tcW w:w="7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78</w:t>
            </w:r>
          </w:p>
        </w:tc>
        <w:tc>
          <w:tcPr>
            <w:tcW w:w="7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67</w:t>
            </w:r>
          </w:p>
        </w:tc>
        <w:tc>
          <w:tcPr>
            <w:tcW w:w="941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82</w:t>
            </w:r>
          </w:p>
        </w:tc>
      </w:tr>
      <w:tr w:rsidR="00672353" w:rsidRPr="00672353" w:rsidTr="001B43DE">
        <w:trPr>
          <w:trHeight w:val="300"/>
          <w:jc w:val="center"/>
        </w:trPr>
        <w:tc>
          <w:tcPr>
            <w:tcW w:w="41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2013</w:t>
            </w:r>
          </w:p>
        </w:tc>
        <w:tc>
          <w:tcPr>
            <w:tcW w:w="746" w:type="dxa"/>
            <w:tcBorders>
              <w:top w:val="single" w:sz="4" w:space="0" w:color="DCE6F1"/>
              <w:left w:val="single" w:sz="4" w:space="0" w:color="1F497D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47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81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33</w:t>
            </w:r>
          </w:p>
        </w:tc>
        <w:tc>
          <w:tcPr>
            <w:tcW w:w="65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74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40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31</w:t>
            </w:r>
          </w:p>
        </w:tc>
        <w:tc>
          <w:tcPr>
            <w:tcW w:w="941" w:type="dxa"/>
            <w:tcBorders>
              <w:top w:val="single" w:sz="4" w:space="0" w:color="DCE6F1"/>
              <w:left w:val="nil"/>
              <w:bottom w:val="single" w:sz="4" w:space="0" w:color="DCE6F1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72</w:t>
            </w:r>
          </w:p>
        </w:tc>
      </w:tr>
      <w:tr w:rsidR="00672353" w:rsidRPr="00672353" w:rsidTr="001B43DE">
        <w:trPr>
          <w:trHeight w:val="300"/>
          <w:jc w:val="center"/>
        </w:trPr>
        <w:tc>
          <w:tcPr>
            <w:tcW w:w="414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2014</w:t>
            </w:r>
          </w:p>
        </w:tc>
        <w:tc>
          <w:tcPr>
            <w:tcW w:w="746" w:type="dxa"/>
            <w:tcBorders>
              <w:top w:val="single" w:sz="4" w:space="0" w:color="366092"/>
              <w:left w:val="single" w:sz="4" w:space="0" w:color="1F497D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55</w:t>
            </w:r>
          </w:p>
        </w:tc>
        <w:tc>
          <w:tcPr>
            <w:tcW w:w="7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86</w:t>
            </w:r>
          </w:p>
        </w:tc>
        <w:tc>
          <w:tcPr>
            <w:tcW w:w="7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21</w:t>
            </w:r>
          </w:p>
        </w:tc>
        <w:tc>
          <w:tcPr>
            <w:tcW w:w="65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72</w:t>
            </w:r>
          </w:p>
        </w:tc>
        <w:tc>
          <w:tcPr>
            <w:tcW w:w="7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61</w:t>
            </w:r>
          </w:p>
        </w:tc>
        <w:tc>
          <w:tcPr>
            <w:tcW w:w="7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54</w:t>
            </w:r>
          </w:p>
        </w:tc>
        <w:tc>
          <w:tcPr>
            <w:tcW w:w="941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63</w:t>
            </w:r>
          </w:p>
        </w:tc>
      </w:tr>
      <w:tr w:rsidR="00672353" w:rsidRPr="00672353" w:rsidTr="001B43DE">
        <w:trPr>
          <w:trHeight w:val="300"/>
          <w:jc w:val="center"/>
        </w:trPr>
        <w:tc>
          <w:tcPr>
            <w:tcW w:w="41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2015</w:t>
            </w:r>
          </w:p>
        </w:tc>
        <w:tc>
          <w:tcPr>
            <w:tcW w:w="746" w:type="dxa"/>
            <w:tcBorders>
              <w:top w:val="single" w:sz="4" w:space="0" w:color="DCE6F1"/>
              <w:left w:val="single" w:sz="4" w:space="0" w:color="1F497D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55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86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57</w:t>
            </w:r>
          </w:p>
        </w:tc>
        <w:tc>
          <w:tcPr>
            <w:tcW w:w="65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89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49</w:t>
            </w:r>
          </w:p>
        </w:tc>
        <w:tc>
          <w:tcPr>
            <w:tcW w:w="746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672353" w:rsidRPr="00657364" w:rsidRDefault="00672353" w:rsidP="00672353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</w:pPr>
            <w:r w:rsidRPr="00657364">
              <w:rPr>
                <w:rFonts w:ascii="Calibri" w:hAnsi="Calibri"/>
                <w:b/>
                <w:color w:val="FF0000"/>
                <w:sz w:val="22"/>
                <w:szCs w:val="22"/>
                <w:lang w:eastAsia="ja-JP"/>
              </w:rPr>
              <w:t>55</w:t>
            </w:r>
          </w:p>
        </w:tc>
        <w:tc>
          <w:tcPr>
            <w:tcW w:w="941" w:type="dxa"/>
            <w:tcBorders>
              <w:top w:val="single" w:sz="4" w:space="0" w:color="DCE6F1"/>
              <w:left w:val="nil"/>
              <w:bottom w:val="single" w:sz="4" w:space="0" w:color="DCE6F1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:rsidR="00672353" w:rsidRPr="00672353" w:rsidRDefault="00672353" w:rsidP="0067235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67235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76</w:t>
            </w:r>
          </w:p>
        </w:tc>
      </w:tr>
    </w:tbl>
    <w:p w:rsidR="005022EF" w:rsidRDefault="00CB1285" w:rsidP="001B43DE">
      <w:pPr>
        <w:tabs>
          <w:tab w:val="left" w:pos="-1440"/>
        </w:tabs>
        <w:jc w:val="center"/>
        <w:rPr>
          <w:rFonts w:ascii="Segoe UI" w:eastAsiaTheme="minorEastAsia" w:hAnsi="Segoe UI" w:cs="Segoe UI"/>
          <w:sz w:val="22"/>
          <w:szCs w:val="22"/>
          <w:lang w:eastAsia="ko-KR"/>
        </w:rPr>
      </w:pPr>
      <w:r>
        <w:rPr>
          <w:noProof/>
          <w:lang w:eastAsia="ja-JP"/>
        </w:rPr>
        <w:drawing>
          <wp:inline distT="0" distB="0" distL="0" distR="0" wp14:anchorId="629C3433" wp14:editId="567F5ACA">
            <wp:extent cx="5600700" cy="26955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43DE" w:rsidRPr="002C79C7" w:rsidRDefault="001B43DE" w:rsidP="001B43DE">
      <w:pPr>
        <w:tabs>
          <w:tab w:val="left" w:pos="-1440"/>
        </w:tabs>
        <w:jc w:val="center"/>
        <w:rPr>
          <w:rFonts w:ascii="Segoe UI" w:eastAsiaTheme="minorEastAsia" w:hAnsi="Segoe UI" w:cs="Segoe UI"/>
          <w:sz w:val="22"/>
          <w:szCs w:val="22"/>
          <w:lang w:eastAsia="ko-KR"/>
        </w:rPr>
      </w:pPr>
      <w:r>
        <w:rPr>
          <w:noProof/>
          <w:lang w:eastAsia="ja-JP"/>
        </w:rPr>
        <w:drawing>
          <wp:inline distT="0" distB="0" distL="0" distR="0" wp14:anchorId="17D90CBE" wp14:editId="607F33A6">
            <wp:extent cx="5581650" cy="265747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D2749" w:rsidRPr="008D5860" w:rsidRDefault="00233A93" w:rsidP="007861A9">
      <w:pPr>
        <w:shd w:val="pct12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lastRenderedPageBreak/>
        <w:t xml:space="preserve">SUMMARY OF </w:t>
      </w:r>
      <w:r w:rsidR="000D2749" w:rsidRPr="008D5860">
        <w:rPr>
          <w:rFonts w:ascii="Segoe UI" w:hAnsi="Segoe UI" w:cs="Segoe UI"/>
          <w:sz w:val="22"/>
          <w:szCs w:val="22"/>
        </w:rPr>
        <w:t>RECOMMENDATION</w:t>
      </w:r>
      <w:r w:rsidRPr="008D5860">
        <w:rPr>
          <w:rFonts w:ascii="Segoe UI" w:hAnsi="Segoe UI" w:cs="Segoe UI"/>
          <w:sz w:val="22"/>
          <w:szCs w:val="22"/>
        </w:rPr>
        <w:t>S</w:t>
      </w: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A </w:t>
      </w:r>
      <w:r w:rsidRPr="008D5860">
        <w:rPr>
          <w:rFonts w:ascii="Segoe UI" w:hAnsi="Segoe UI" w:cs="Segoe UI"/>
          <w:sz w:val="22"/>
          <w:szCs w:val="22"/>
          <w:u w:val="single"/>
        </w:rPr>
        <w:t>summary</w:t>
      </w:r>
      <w:r w:rsidRPr="008D5860">
        <w:rPr>
          <w:rFonts w:ascii="Segoe UI" w:hAnsi="Segoe UI" w:cs="Segoe UI"/>
          <w:sz w:val="22"/>
          <w:szCs w:val="22"/>
        </w:rPr>
        <w:t xml:space="preserve"> of the recommendations contained within the full report.        </w:t>
      </w: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i/>
          <w:sz w:val="22"/>
          <w:szCs w:val="22"/>
        </w:rPr>
      </w:pPr>
      <w:r w:rsidRPr="008D5860">
        <w:rPr>
          <w:rFonts w:ascii="Segoe UI" w:hAnsi="Segoe UI" w:cs="Segoe UI"/>
          <w:i/>
          <w:sz w:val="22"/>
          <w:szCs w:val="22"/>
          <w:u w:val="single"/>
        </w:rPr>
        <w:t>NOTE</w:t>
      </w:r>
      <w:r w:rsidRPr="008D5860">
        <w:rPr>
          <w:rFonts w:ascii="Segoe UI" w:hAnsi="Segoe UI" w:cs="Segoe UI"/>
          <w:i/>
          <w:sz w:val="22"/>
          <w:szCs w:val="22"/>
        </w:rPr>
        <w:t xml:space="preserve">:  Recommendations should clearly differentiate between those strategies that </w:t>
      </w:r>
      <w:r w:rsidRPr="008D5860">
        <w:rPr>
          <w:rFonts w:ascii="Segoe UI" w:hAnsi="Segoe UI" w:cs="Segoe UI"/>
          <w:i/>
          <w:sz w:val="22"/>
          <w:szCs w:val="22"/>
          <w:u w:val="single"/>
        </w:rPr>
        <w:t>build upon strengths</w:t>
      </w:r>
      <w:r w:rsidRPr="008D5860">
        <w:rPr>
          <w:rFonts w:ascii="Segoe UI" w:hAnsi="Segoe UI" w:cs="Segoe UI"/>
          <w:i/>
          <w:sz w:val="22"/>
          <w:szCs w:val="22"/>
        </w:rPr>
        <w:t xml:space="preserve"> versus those developed to </w:t>
      </w:r>
      <w:r w:rsidRPr="008D5860">
        <w:rPr>
          <w:rFonts w:ascii="Segoe UI" w:hAnsi="Segoe UI" w:cs="Segoe UI"/>
          <w:i/>
          <w:sz w:val="22"/>
          <w:szCs w:val="22"/>
          <w:u w:val="single"/>
        </w:rPr>
        <w:t>address any gaps</w:t>
      </w:r>
      <w:r w:rsidRPr="008D5860">
        <w:rPr>
          <w:rFonts w:ascii="Segoe UI" w:hAnsi="Segoe UI" w:cs="Segoe UI"/>
          <w:i/>
          <w:sz w:val="22"/>
          <w:szCs w:val="22"/>
        </w:rPr>
        <w:t xml:space="preserve"> that may exist</w:t>
      </w: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  <w:u w:val="single"/>
        </w:rPr>
        <w:t>Recommendations Building on Program Strengths</w:t>
      </w:r>
      <w:r w:rsidRPr="008D5860">
        <w:rPr>
          <w:rFonts w:ascii="Segoe UI" w:hAnsi="Segoe UI" w:cs="Segoe UI"/>
          <w:sz w:val="22"/>
          <w:szCs w:val="22"/>
        </w:rPr>
        <w:t>:</w:t>
      </w: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</w:p>
    <w:p w:rsidR="00EB5128" w:rsidRPr="008D5860" w:rsidRDefault="002C79C7" w:rsidP="00EB5128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rFonts w:ascii="Segoe UI" w:hAnsi="Segoe UI" w:cs="Segoe UI"/>
          <w:sz w:val="22"/>
          <w:szCs w:val="22"/>
        </w:rPr>
      </w:pPr>
      <w:r>
        <w:rPr>
          <w:rFonts w:ascii="Segoe UI" w:eastAsiaTheme="minorEastAsia" w:hAnsi="Segoe UI" w:cs="Segoe UI" w:hint="eastAsia"/>
          <w:sz w:val="22"/>
          <w:szCs w:val="22"/>
          <w:lang w:eastAsia="ko-KR"/>
        </w:rPr>
        <w:t>Setting up University Transfer Program (3</w:t>
      </w:r>
      <w:r w:rsidRPr="002C79C7">
        <w:rPr>
          <w:rFonts w:ascii="Segoe UI" w:eastAsiaTheme="minorEastAsia" w:hAnsi="Segoe UI" w:cs="Segoe UI" w:hint="eastAsia"/>
          <w:sz w:val="22"/>
          <w:szCs w:val="22"/>
          <w:vertAlign w:val="superscript"/>
          <w:lang w:eastAsia="ko-KR"/>
        </w:rPr>
        <w:t>rd</w:t>
      </w:r>
      <w:r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year</w:t>
      </w:r>
      <w:r w:rsidR="006A058A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to UOIT</w:t>
      </w:r>
      <w:r>
        <w:rPr>
          <w:rFonts w:ascii="Segoe UI" w:eastAsiaTheme="minorEastAsia" w:hAnsi="Segoe UI" w:cs="Segoe UI" w:hint="eastAsia"/>
          <w:sz w:val="22"/>
          <w:szCs w:val="22"/>
          <w:lang w:eastAsia="ko-KR"/>
        </w:rPr>
        <w:t>)</w:t>
      </w:r>
    </w:p>
    <w:p w:rsidR="00EB5128" w:rsidRPr="002C79C7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>2)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ab/>
      </w:r>
      <w:r w:rsidR="00657364">
        <w:rPr>
          <w:rFonts w:ascii="Segoe UI" w:eastAsiaTheme="minorEastAsia" w:hAnsi="Segoe UI" w:cs="Segoe UI"/>
          <w:sz w:val="22"/>
          <w:szCs w:val="22"/>
          <w:lang w:eastAsia="ko-KR"/>
        </w:rPr>
        <w:t>Math Modification Program</w:t>
      </w:r>
    </w:p>
    <w:p w:rsidR="00EB5128" w:rsidRPr="002C79C7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>3)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ab/>
        <w:t>Setting up CODA Program</w:t>
      </w: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  <w:u w:val="single"/>
        </w:rPr>
        <w:t>Recommendations Developed to Address Gaps Identified</w:t>
      </w:r>
      <w:r w:rsidRPr="008D5860">
        <w:rPr>
          <w:rFonts w:ascii="Segoe UI" w:hAnsi="Segoe UI" w:cs="Segoe UI"/>
          <w:sz w:val="22"/>
          <w:szCs w:val="22"/>
        </w:rPr>
        <w:t>:</w:t>
      </w: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</w:p>
    <w:p w:rsidR="00EB5128" w:rsidRPr="002C79C7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>1)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ab/>
      </w:r>
      <w:r w:rsidR="00657364">
        <w:rPr>
          <w:rFonts w:ascii="Segoe UI" w:eastAsiaTheme="minorEastAsia" w:hAnsi="Segoe UI" w:cs="Segoe UI" w:hint="eastAsia"/>
          <w:sz w:val="22"/>
          <w:szCs w:val="22"/>
          <w:lang w:eastAsia="ko-KR"/>
        </w:rPr>
        <w:t>Provide Co-Op Program</w:t>
      </w:r>
    </w:p>
    <w:p w:rsidR="00657364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>2)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ab/>
      </w:r>
      <w:r w:rsidR="00310167">
        <w:rPr>
          <w:rFonts w:ascii="Segoe UI" w:eastAsiaTheme="minorEastAsia" w:hAnsi="Segoe UI" w:cs="Segoe UI" w:hint="eastAsia"/>
          <w:sz w:val="22"/>
          <w:szCs w:val="22"/>
          <w:lang w:eastAsia="ko-KR"/>
        </w:rPr>
        <w:t>Revision of curriculum to allow for different lear</w:t>
      </w:r>
      <w:r w:rsidR="00657364">
        <w:rPr>
          <w:rFonts w:ascii="Segoe UI" w:eastAsiaTheme="minorEastAsia" w:hAnsi="Segoe UI" w:cs="Segoe UI" w:hint="eastAsia"/>
          <w:sz w:val="22"/>
          <w:szCs w:val="22"/>
          <w:lang w:eastAsia="ko-KR"/>
        </w:rPr>
        <w:t>ning styles and desired results</w:t>
      </w:r>
      <w:r w:rsidR="00657364">
        <w:rPr>
          <w:rFonts w:ascii="Segoe UI" w:eastAsiaTheme="minorEastAsia" w:hAnsi="Segoe UI" w:cs="Segoe UI"/>
          <w:sz w:val="22"/>
          <w:szCs w:val="22"/>
          <w:lang w:eastAsia="ko-KR"/>
        </w:rPr>
        <w:t xml:space="preserve">; </w:t>
      </w:r>
    </w:p>
    <w:p w:rsidR="00EB5128" w:rsidRPr="002C79C7" w:rsidRDefault="00657364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>
        <w:rPr>
          <w:rFonts w:ascii="Segoe UI" w:eastAsiaTheme="minorEastAsia" w:hAnsi="Segoe UI" w:cs="Segoe UI"/>
          <w:sz w:val="22"/>
          <w:szCs w:val="22"/>
          <w:lang w:eastAsia="ko-KR"/>
        </w:rPr>
        <w:tab/>
      </w:r>
      <w:r w:rsidRPr="00657364">
        <w:rPr>
          <w:rFonts w:ascii="Segoe UI" w:eastAsiaTheme="minorEastAsia" w:hAnsi="Segoe UI" w:cs="Segoe UI"/>
          <w:sz w:val="22"/>
          <w:szCs w:val="22"/>
          <w:lang w:eastAsia="ko-KR"/>
        </w:rPr>
        <w:sym w:font="Wingdings" w:char="F0E0"/>
      </w:r>
      <w:r>
        <w:rPr>
          <w:rFonts w:ascii="Segoe UI" w:eastAsiaTheme="minorEastAsia" w:hAnsi="Segoe UI" w:cs="Segoe UI"/>
          <w:sz w:val="22"/>
          <w:szCs w:val="22"/>
          <w:lang w:eastAsia="ko-KR"/>
        </w:rPr>
        <w:t xml:space="preserve"> Reduce 3</w:t>
      </w:r>
      <w:r w:rsidRPr="00657364">
        <w:rPr>
          <w:rFonts w:ascii="Segoe UI" w:eastAsiaTheme="minorEastAsia" w:hAnsi="Segoe UI" w:cs="Segoe UI"/>
          <w:sz w:val="22"/>
          <w:szCs w:val="22"/>
          <w:vertAlign w:val="superscript"/>
          <w:lang w:eastAsia="ko-KR"/>
        </w:rPr>
        <w:t>rd</w:t>
      </w:r>
      <w:r>
        <w:rPr>
          <w:rFonts w:ascii="Segoe UI" w:eastAsiaTheme="minorEastAsia" w:hAnsi="Segoe UI" w:cs="Segoe UI"/>
          <w:sz w:val="22"/>
          <w:szCs w:val="22"/>
          <w:lang w:eastAsia="ko-KR"/>
        </w:rPr>
        <w:t xml:space="preserve"> semester work load</w:t>
      </w:r>
    </w:p>
    <w:p w:rsidR="00657364" w:rsidRDefault="00EB5128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>3)</w:t>
      </w:r>
      <w:r w:rsidR="00310167">
        <w:rPr>
          <w:rFonts w:ascii="Segoe UI" w:eastAsiaTheme="minorEastAsia" w:hAnsi="Segoe UI" w:cs="Segoe UI" w:hint="eastAsia"/>
          <w:sz w:val="22"/>
          <w:szCs w:val="22"/>
          <w:lang w:eastAsia="ko-KR"/>
        </w:rPr>
        <w:tab/>
      </w:r>
      <w:r w:rsidR="00657364">
        <w:rPr>
          <w:rFonts w:ascii="Segoe UI" w:eastAsiaTheme="minorEastAsia" w:hAnsi="Segoe UI" w:cs="Segoe UI"/>
          <w:sz w:val="22"/>
          <w:szCs w:val="22"/>
          <w:lang w:eastAsia="ko-KR"/>
        </w:rPr>
        <w:t xml:space="preserve">KPI Improvement Strategy: </w:t>
      </w:r>
    </w:p>
    <w:p w:rsidR="00657364" w:rsidRDefault="00657364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>
        <w:rPr>
          <w:rFonts w:ascii="Segoe UI" w:eastAsiaTheme="minorEastAsia" w:hAnsi="Segoe UI" w:cs="Segoe UI"/>
          <w:sz w:val="22"/>
          <w:szCs w:val="22"/>
          <w:lang w:eastAsia="ko-KR"/>
        </w:rPr>
        <w:tab/>
      </w:r>
      <w:r w:rsidRPr="00657364">
        <w:rPr>
          <w:rFonts w:ascii="Segoe UI" w:eastAsiaTheme="minorEastAsia" w:hAnsi="Segoe UI" w:cs="Segoe UI"/>
          <w:sz w:val="22"/>
          <w:szCs w:val="22"/>
          <w:lang w:eastAsia="ko-KR"/>
        </w:rPr>
        <w:sym w:font="Wingdings" w:char="F0E0"/>
      </w:r>
      <w:r>
        <w:rPr>
          <w:rFonts w:ascii="Segoe UI" w:eastAsiaTheme="minorEastAsia" w:hAnsi="Segoe UI" w:cs="Segoe UI"/>
          <w:sz w:val="22"/>
          <w:szCs w:val="22"/>
          <w:lang w:eastAsia="ko-KR"/>
        </w:rPr>
        <w:t>All equipment should be up-to-dated,</w:t>
      </w:r>
    </w:p>
    <w:p w:rsidR="009524D9" w:rsidRDefault="00657364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>
        <w:rPr>
          <w:rFonts w:ascii="Segoe UI" w:eastAsiaTheme="minorEastAsia" w:hAnsi="Segoe UI" w:cs="Segoe UI"/>
          <w:sz w:val="22"/>
          <w:szCs w:val="22"/>
          <w:lang w:eastAsia="ko-KR"/>
        </w:rPr>
        <w:tab/>
      </w:r>
      <w:r w:rsidRPr="00657364">
        <w:rPr>
          <w:rFonts w:ascii="Segoe UI" w:eastAsiaTheme="minorEastAsia" w:hAnsi="Segoe UI" w:cs="Segoe UI"/>
          <w:sz w:val="22"/>
          <w:szCs w:val="22"/>
          <w:lang w:eastAsia="ko-KR"/>
        </w:rPr>
        <w:sym w:font="Wingdings" w:char="F0E0"/>
      </w:r>
      <w:r>
        <w:rPr>
          <w:rFonts w:ascii="Segoe UI" w:eastAsiaTheme="minorEastAsia" w:hAnsi="Segoe UI" w:cs="Segoe UI"/>
          <w:sz w:val="22"/>
          <w:szCs w:val="22"/>
          <w:lang w:eastAsia="ko-KR"/>
        </w:rPr>
        <w:t>Evaluate Section Size (Tech support required if more than 20 students)</w:t>
      </w:r>
    </w:p>
    <w:p w:rsidR="00270A74" w:rsidRPr="00310167" w:rsidRDefault="00270A74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</w:p>
    <w:p w:rsidR="009524D9" w:rsidRPr="002C79C7" w:rsidRDefault="00233A93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 xml:space="preserve">Program Review Panel </w:t>
      </w:r>
      <w:r w:rsidR="009524D9" w:rsidRPr="008D5860">
        <w:rPr>
          <w:rFonts w:ascii="Segoe UI" w:hAnsi="Segoe UI" w:cs="Segoe UI"/>
          <w:sz w:val="22"/>
          <w:szCs w:val="22"/>
        </w:rPr>
        <w:t>Meeting Date:</w:t>
      </w:r>
      <w:r w:rsidR="00601F8F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 May 11, May 25, June 08 and June 24</w:t>
      </w:r>
      <w:bookmarkStart w:id="0" w:name="_GoBack"/>
      <w:bookmarkEnd w:id="0"/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>, 2015</w:t>
      </w:r>
    </w:p>
    <w:p w:rsidR="005022EF" w:rsidRPr="008D5860" w:rsidRDefault="005022EF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</w:p>
    <w:p w:rsidR="009524D9" w:rsidRPr="002C79C7" w:rsidRDefault="009524D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>Program Review Panel Participants: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</w:t>
      </w:r>
    </w:p>
    <w:p w:rsidR="00C54829" w:rsidRPr="008D5860" w:rsidRDefault="00C5482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ab/>
      </w:r>
    </w:p>
    <w:p w:rsidR="005022EF" w:rsidRPr="002C79C7" w:rsidRDefault="00C5482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ab/>
        <w:t>Dean: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</w:t>
      </w:r>
      <w:r w:rsidR="002C79C7" w:rsidRPr="005253D4">
        <w:rPr>
          <w:rFonts w:ascii="Segoe UI" w:eastAsiaTheme="minorEastAsia" w:hAnsi="Segoe UI" w:cs="Segoe UI" w:hint="eastAsia"/>
          <w:color w:val="4C817D" w:themeColor="accent2" w:themeShade="80"/>
          <w:sz w:val="22"/>
          <w:szCs w:val="22"/>
          <w:lang w:eastAsia="ko-KR"/>
        </w:rPr>
        <w:t>Maxine Mann</w:t>
      </w:r>
    </w:p>
    <w:p w:rsidR="00C54829" w:rsidRPr="002C79C7" w:rsidRDefault="00C5482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ab/>
        <w:t>Program Co-ordinator: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</w:t>
      </w:r>
      <w:r w:rsidR="002C79C7" w:rsidRPr="005253D4">
        <w:rPr>
          <w:rFonts w:ascii="Segoe UI" w:eastAsiaTheme="minorEastAsia" w:hAnsi="Segoe UI" w:cs="Segoe UI" w:hint="eastAsia"/>
          <w:color w:val="4C817D" w:themeColor="accent2" w:themeShade="80"/>
          <w:sz w:val="22"/>
          <w:szCs w:val="22"/>
          <w:lang w:eastAsia="ko-KR"/>
        </w:rPr>
        <w:t>David Choi</w:t>
      </w:r>
    </w:p>
    <w:p w:rsidR="00C54829" w:rsidRPr="002C79C7" w:rsidRDefault="00C5482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ab/>
        <w:t>Academic Lead: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</w:t>
      </w:r>
      <w:r w:rsidR="002C79C7" w:rsidRPr="005253D4">
        <w:rPr>
          <w:rFonts w:ascii="Segoe UI" w:eastAsiaTheme="minorEastAsia" w:hAnsi="Segoe UI" w:cs="Segoe UI" w:hint="eastAsia"/>
          <w:color w:val="4C817D" w:themeColor="accent2" w:themeShade="80"/>
          <w:sz w:val="22"/>
          <w:szCs w:val="22"/>
          <w:lang w:eastAsia="ko-KR"/>
        </w:rPr>
        <w:t>David Choi</w:t>
      </w:r>
    </w:p>
    <w:p w:rsidR="00C54829" w:rsidRPr="005253D4" w:rsidRDefault="00C5482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color w:val="4C817D" w:themeColor="accent2" w:themeShade="80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ab/>
        <w:t>Curriculum Consultant: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</w:t>
      </w:r>
      <w:r w:rsidR="002C79C7" w:rsidRPr="005253D4">
        <w:rPr>
          <w:rFonts w:ascii="Segoe UI" w:eastAsiaTheme="minorEastAsia" w:hAnsi="Segoe UI" w:cs="Segoe UI"/>
          <w:color w:val="4C817D" w:themeColor="accent2" w:themeShade="80"/>
          <w:sz w:val="22"/>
          <w:szCs w:val="22"/>
          <w:lang w:eastAsia="ko-KR"/>
        </w:rPr>
        <w:t>Kari Draker-Fortis</w:t>
      </w:r>
    </w:p>
    <w:p w:rsidR="00C54829" w:rsidRPr="005253D4" w:rsidRDefault="00C5482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color w:val="4C817D" w:themeColor="accent2" w:themeShade="80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ab/>
        <w:t>Program Faculty/Support (max</w:t>
      </w:r>
      <w:r w:rsidR="001759A2" w:rsidRPr="008D5860">
        <w:rPr>
          <w:rFonts w:ascii="Segoe UI" w:hAnsi="Segoe UI" w:cs="Segoe UI"/>
          <w:sz w:val="22"/>
          <w:szCs w:val="22"/>
        </w:rPr>
        <w:t>imum</w:t>
      </w:r>
      <w:r w:rsidRPr="008D5860">
        <w:rPr>
          <w:rFonts w:ascii="Segoe UI" w:hAnsi="Segoe UI" w:cs="Segoe UI"/>
          <w:sz w:val="22"/>
          <w:szCs w:val="22"/>
        </w:rPr>
        <w:t xml:space="preserve"> 4</w:t>
      </w:r>
      <w:proofErr w:type="gramStart"/>
      <w:r w:rsidRPr="008D5860">
        <w:rPr>
          <w:rFonts w:ascii="Segoe UI" w:hAnsi="Segoe UI" w:cs="Segoe UI"/>
          <w:sz w:val="22"/>
          <w:szCs w:val="22"/>
        </w:rPr>
        <w:t>) :</w:t>
      </w:r>
      <w:proofErr w:type="gramEnd"/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 </w:t>
      </w:r>
      <w:r w:rsidR="002C79C7" w:rsidRPr="005253D4">
        <w:rPr>
          <w:rFonts w:ascii="Segoe UI" w:eastAsiaTheme="minorEastAsia" w:hAnsi="Segoe UI" w:cs="Segoe UI" w:hint="eastAsia"/>
          <w:color w:val="4C817D" w:themeColor="accent2" w:themeShade="80"/>
          <w:sz w:val="22"/>
          <w:szCs w:val="22"/>
          <w:lang w:eastAsia="ko-KR"/>
        </w:rPr>
        <w:t>David Choi, Spencer Craig, Xiang Li, Blane Bell, Hans Forster</w:t>
      </w:r>
    </w:p>
    <w:p w:rsidR="00EB5128" w:rsidRPr="002C79C7" w:rsidRDefault="001759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eastAsiaTheme="minorEastAsia" w:hAnsi="Segoe UI" w:cs="Segoe UI"/>
          <w:sz w:val="22"/>
          <w:szCs w:val="22"/>
          <w:lang w:eastAsia="ko-KR"/>
        </w:rPr>
      </w:pPr>
      <w:r w:rsidRPr="008D5860">
        <w:rPr>
          <w:rFonts w:ascii="Segoe UI" w:hAnsi="Segoe UI" w:cs="Segoe UI"/>
          <w:sz w:val="22"/>
          <w:szCs w:val="22"/>
        </w:rPr>
        <w:tab/>
        <w:t xml:space="preserve">External Members (minimum </w:t>
      </w:r>
      <w:r w:rsidR="00EE1E53">
        <w:rPr>
          <w:rFonts w:ascii="Segoe UI" w:hAnsi="Segoe UI" w:cs="Segoe UI"/>
          <w:sz w:val="22"/>
          <w:szCs w:val="22"/>
        </w:rPr>
        <w:t>3)</w:t>
      </w:r>
      <w:r w:rsidR="002C79C7">
        <w:rPr>
          <w:rFonts w:ascii="Segoe UI" w:eastAsiaTheme="minorEastAsia" w:hAnsi="Segoe UI" w:cs="Segoe UI" w:hint="eastAsia"/>
          <w:sz w:val="22"/>
          <w:szCs w:val="22"/>
          <w:lang w:eastAsia="ko-KR"/>
        </w:rPr>
        <w:t xml:space="preserve">: </w:t>
      </w:r>
      <w:r w:rsidR="00704D16" w:rsidRPr="005253D4">
        <w:rPr>
          <w:rFonts w:ascii="Segoe UI" w:eastAsiaTheme="minorEastAsia" w:hAnsi="Segoe UI" w:cs="Segoe UI"/>
          <w:color w:val="4C817D" w:themeColor="accent2" w:themeShade="80"/>
          <w:sz w:val="22"/>
          <w:szCs w:val="22"/>
          <w:lang w:eastAsia="ko-KR"/>
        </w:rPr>
        <w:t xml:space="preserve">Soobia Siddiqui </w:t>
      </w:r>
      <w:r w:rsidR="002C79C7" w:rsidRPr="005253D4">
        <w:rPr>
          <w:rFonts w:ascii="Segoe UI" w:eastAsiaTheme="minorEastAsia" w:hAnsi="Segoe UI" w:cs="Segoe UI" w:hint="eastAsia"/>
          <w:color w:val="4C817D" w:themeColor="accent2" w:themeShade="80"/>
          <w:sz w:val="22"/>
          <w:szCs w:val="22"/>
          <w:lang w:eastAsia="ko-KR"/>
        </w:rPr>
        <w:t>(Math</w:t>
      </w:r>
      <w:proofErr w:type="gramStart"/>
      <w:r w:rsidR="002C79C7" w:rsidRPr="005253D4">
        <w:rPr>
          <w:rFonts w:ascii="Segoe UI" w:eastAsiaTheme="minorEastAsia" w:hAnsi="Segoe UI" w:cs="Segoe UI" w:hint="eastAsia"/>
          <w:color w:val="4C817D" w:themeColor="accent2" w:themeShade="80"/>
          <w:sz w:val="22"/>
          <w:szCs w:val="22"/>
          <w:lang w:eastAsia="ko-KR"/>
        </w:rPr>
        <w:t>) ,</w:t>
      </w:r>
      <w:proofErr w:type="gramEnd"/>
      <w:r w:rsidR="002C79C7" w:rsidRPr="005253D4">
        <w:rPr>
          <w:rFonts w:ascii="Segoe UI" w:eastAsiaTheme="minorEastAsia" w:hAnsi="Segoe UI" w:cs="Segoe UI" w:hint="eastAsia"/>
          <w:color w:val="4C817D" w:themeColor="accent2" w:themeShade="80"/>
          <w:sz w:val="22"/>
          <w:szCs w:val="22"/>
          <w:lang w:eastAsia="ko-KR"/>
        </w:rPr>
        <w:t xml:space="preserve"> Clive </w:t>
      </w:r>
      <w:r w:rsidR="00704D16" w:rsidRPr="005253D4">
        <w:rPr>
          <w:rFonts w:ascii="Segoe UI" w:eastAsiaTheme="minorEastAsia" w:hAnsi="Segoe UI" w:cs="Segoe UI" w:hint="eastAsia"/>
          <w:color w:val="4C817D" w:themeColor="accent2" w:themeShade="80"/>
          <w:sz w:val="22"/>
          <w:szCs w:val="22"/>
          <w:lang w:eastAsia="ko-KR"/>
        </w:rPr>
        <w:t xml:space="preserve">Russell </w:t>
      </w:r>
      <w:r w:rsidR="002C79C7" w:rsidRPr="005253D4">
        <w:rPr>
          <w:rFonts w:ascii="Segoe UI" w:eastAsiaTheme="minorEastAsia" w:hAnsi="Segoe UI" w:cs="Segoe UI" w:hint="eastAsia"/>
          <w:color w:val="4C817D" w:themeColor="accent2" w:themeShade="80"/>
          <w:sz w:val="22"/>
          <w:szCs w:val="22"/>
          <w:lang w:eastAsia="ko-KR"/>
        </w:rPr>
        <w:t>(Math)</w:t>
      </w:r>
    </w:p>
    <w:sectPr w:rsidR="00EB5128" w:rsidRPr="002C79C7" w:rsidSect="008D5860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A8" w:rsidRDefault="00371BA8" w:rsidP="00373D5B">
      <w:r>
        <w:separator/>
      </w:r>
    </w:p>
  </w:endnote>
  <w:endnote w:type="continuationSeparator" w:id="0">
    <w:p w:rsidR="00371BA8" w:rsidRDefault="00371BA8" w:rsidP="0037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05016"/>
      <w:docPartObj>
        <w:docPartGallery w:val="Page Numbers (Bottom of Page)"/>
        <w:docPartUnique/>
      </w:docPartObj>
    </w:sdtPr>
    <w:sdtEndPr/>
    <w:sdtContent>
      <w:p w:rsidR="00373D5B" w:rsidRDefault="00A04B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F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3D5B" w:rsidRDefault="00373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A8" w:rsidRDefault="00371BA8" w:rsidP="00373D5B">
      <w:r>
        <w:separator/>
      </w:r>
    </w:p>
  </w:footnote>
  <w:footnote w:type="continuationSeparator" w:id="0">
    <w:p w:rsidR="00371BA8" w:rsidRDefault="00371BA8" w:rsidP="0037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149"/>
    <w:multiLevelType w:val="hybridMultilevel"/>
    <w:tmpl w:val="FF0C3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258AB"/>
    <w:multiLevelType w:val="hybridMultilevel"/>
    <w:tmpl w:val="E6B66F62"/>
    <w:lvl w:ilvl="0" w:tplc="4D60C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A6190"/>
    <w:multiLevelType w:val="hybridMultilevel"/>
    <w:tmpl w:val="18C80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A0F16"/>
    <w:multiLevelType w:val="hybridMultilevel"/>
    <w:tmpl w:val="F3FE1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97C9B"/>
    <w:multiLevelType w:val="hybridMultilevel"/>
    <w:tmpl w:val="36F4A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764B2"/>
    <w:multiLevelType w:val="hybridMultilevel"/>
    <w:tmpl w:val="15966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B2F89"/>
    <w:multiLevelType w:val="hybridMultilevel"/>
    <w:tmpl w:val="A07677BC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2D0FA5"/>
    <w:multiLevelType w:val="hybridMultilevel"/>
    <w:tmpl w:val="C6C89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13A8D"/>
    <w:multiLevelType w:val="hybridMultilevel"/>
    <w:tmpl w:val="EAB4B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49"/>
    <w:rsid w:val="000D2749"/>
    <w:rsid w:val="00146DCB"/>
    <w:rsid w:val="001759A2"/>
    <w:rsid w:val="001B43DE"/>
    <w:rsid w:val="002205AA"/>
    <w:rsid w:val="00233A93"/>
    <w:rsid w:val="00243E58"/>
    <w:rsid w:val="00270A74"/>
    <w:rsid w:val="002818F2"/>
    <w:rsid w:val="002B3EE8"/>
    <w:rsid w:val="002C79C7"/>
    <w:rsid w:val="00310167"/>
    <w:rsid w:val="0031640B"/>
    <w:rsid w:val="00370B5B"/>
    <w:rsid w:val="00371BA8"/>
    <w:rsid w:val="00372474"/>
    <w:rsid w:val="00373D5B"/>
    <w:rsid w:val="004509EC"/>
    <w:rsid w:val="00494111"/>
    <w:rsid w:val="005022EF"/>
    <w:rsid w:val="00502B70"/>
    <w:rsid w:val="00513C50"/>
    <w:rsid w:val="005243B5"/>
    <w:rsid w:val="005253D4"/>
    <w:rsid w:val="005A7284"/>
    <w:rsid w:val="00601F8F"/>
    <w:rsid w:val="00657364"/>
    <w:rsid w:val="00672353"/>
    <w:rsid w:val="00693CFE"/>
    <w:rsid w:val="006A058A"/>
    <w:rsid w:val="00704D16"/>
    <w:rsid w:val="007861A9"/>
    <w:rsid w:val="007A4706"/>
    <w:rsid w:val="008448C4"/>
    <w:rsid w:val="00864913"/>
    <w:rsid w:val="00882951"/>
    <w:rsid w:val="008D5860"/>
    <w:rsid w:val="008E0961"/>
    <w:rsid w:val="00923D95"/>
    <w:rsid w:val="009524D9"/>
    <w:rsid w:val="009F0F77"/>
    <w:rsid w:val="00A04BC6"/>
    <w:rsid w:val="00AF0023"/>
    <w:rsid w:val="00C00B55"/>
    <w:rsid w:val="00C172B9"/>
    <w:rsid w:val="00C54829"/>
    <w:rsid w:val="00C84D56"/>
    <w:rsid w:val="00CB1285"/>
    <w:rsid w:val="00DB49ED"/>
    <w:rsid w:val="00DF00A7"/>
    <w:rsid w:val="00E35C66"/>
    <w:rsid w:val="00EB0302"/>
    <w:rsid w:val="00EB5128"/>
    <w:rsid w:val="00EE1E53"/>
    <w:rsid w:val="00F076E3"/>
    <w:rsid w:val="00F8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5B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373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D5B"/>
    <w:rPr>
      <w:rFonts w:ascii="Arial" w:eastAsia="Times New Roman" w:hAnsi="Arial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73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5B"/>
    <w:rPr>
      <w:rFonts w:ascii="Arial" w:eastAsia="Times New Roman" w:hAnsi="Arial" w:cs="Times New Roman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5B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373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D5B"/>
    <w:rPr>
      <w:rFonts w:ascii="Arial" w:eastAsia="Times New Roman" w:hAnsi="Arial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73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5B"/>
    <w:rPr>
      <w:rFonts w:ascii="Arial" w:eastAsia="Times New Roman" w:hAnsi="Arial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[EE_KPI ProgramReview_2011-2014.xlsx]Sheet10!PivotTable6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CA"/>
              <a:t>KPI8: Student Satisfaction with Learning Experience</a:t>
            </a:r>
          </a:p>
        </c:rich>
      </c:tx>
      <c:overlay val="0"/>
    </c:title>
    <c:autoTitleDeleted val="0"/>
    <c:pivotFmts>
      <c:pivotFmt>
        <c:idx val="0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Sheet10!$B$1</c:f>
              <c:strCache>
                <c:ptCount val="1"/>
                <c:pt idx="0">
                  <c:v>Program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Sheet10!$A$2:$A$7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Electrical Eng Technician</c:v>
                  </c:pt>
                </c:lvl>
              </c:multiLvlStrCache>
            </c:multiLvlStrRef>
          </c:cat>
          <c:val>
            <c:numRef>
              <c:f>Sheet10!$B$2:$B$7</c:f>
              <c:numCache>
                <c:formatCode>0</c:formatCode>
                <c:ptCount val="4"/>
                <c:pt idx="0">
                  <c:v>32.200000000000003</c:v>
                </c:pt>
                <c:pt idx="1">
                  <c:v>61.7</c:v>
                </c:pt>
                <c:pt idx="2">
                  <c:v>39.5</c:v>
                </c:pt>
                <c:pt idx="3">
                  <c:v>64.23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Sheet10!$C$1</c:f>
              <c:strCache>
                <c:ptCount val="1"/>
                <c:pt idx="0">
                  <c:v>MCU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Sheet10!$A$2:$A$7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Electrical Eng Technician</c:v>
                  </c:pt>
                </c:lvl>
              </c:multiLvlStrCache>
            </c:multiLvlStrRef>
          </c:cat>
          <c:val>
            <c:numRef>
              <c:f>Sheet10!$C$2:$C$7</c:f>
              <c:numCache>
                <c:formatCode>0</c:formatCode>
                <c:ptCount val="4"/>
                <c:pt idx="0">
                  <c:v>70.03</c:v>
                </c:pt>
                <c:pt idx="1">
                  <c:v>73.87</c:v>
                </c:pt>
                <c:pt idx="2">
                  <c:v>75.69</c:v>
                </c:pt>
                <c:pt idx="3">
                  <c:v>73.3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Sheet10!$D$1</c:f>
              <c:strCache>
                <c:ptCount val="1"/>
                <c:pt idx="0">
                  <c:v>College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Sheet10!$A$2:$A$7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Electrical Eng Technician</c:v>
                  </c:pt>
                </c:lvl>
              </c:multiLvlStrCache>
            </c:multiLvlStrRef>
          </c:cat>
          <c:val>
            <c:numRef>
              <c:f>Sheet10!$D$2:$D$7</c:f>
              <c:numCache>
                <c:formatCode>0</c:formatCode>
                <c:ptCount val="4"/>
                <c:pt idx="0">
                  <c:v>81.41</c:v>
                </c:pt>
                <c:pt idx="1">
                  <c:v>82.06</c:v>
                </c:pt>
                <c:pt idx="2">
                  <c:v>80.819999999999993</c:v>
                </c:pt>
                <c:pt idx="3">
                  <c:v>82.58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9486336"/>
        <c:axId val="128315392"/>
      </c:lineChart>
      <c:catAx>
        <c:axId val="119486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315392"/>
        <c:crosses val="autoZero"/>
        <c:auto val="1"/>
        <c:lblAlgn val="ctr"/>
        <c:lblOffset val="100"/>
        <c:noMultiLvlLbl val="0"/>
      </c:catAx>
      <c:valAx>
        <c:axId val="1283153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CA"/>
                  <a:t>% Satisfied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1194863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[EE_KPI ProgramReview_2011-2014.xlsx]Sheet11!PivotTable7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CA"/>
              <a:t>KPI9: Student Satisfaction with Teachers</a:t>
            </a:r>
          </a:p>
        </c:rich>
      </c:tx>
      <c:overlay val="0"/>
    </c:title>
    <c:autoTitleDeleted val="0"/>
    <c:pivotFmts>
      <c:pivotFmt>
        <c:idx val="0"/>
      </c:pivotFmt>
      <c:pivotFmt>
        <c:idx val="1"/>
      </c:pivotFmt>
      <c:pivotFmt>
        <c:idx val="2"/>
      </c:pivotFmt>
      <c:pivotFmt>
        <c:idx val="3"/>
      </c:pivotFmt>
      <c:pivotFmt>
        <c:idx val="4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Sheet11!$B$1</c:f>
              <c:strCache>
                <c:ptCount val="1"/>
                <c:pt idx="0">
                  <c:v>Program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Sheet11!$A$2:$A$7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Electrical Eng Technician</c:v>
                  </c:pt>
                </c:lvl>
              </c:multiLvlStrCache>
            </c:multiLvlStrRef>
          </c:cat>
          <c:val>
            <c:numRef>
              <c:f>Sheet11!$B$2:$B$7</c:f>
              <c:numCache>
                <c:formatCode>0</c:formatCode>
                <c:ptCount val="4"/>
                <c:pt idx="0">
                  <c:v>28.57</c:v>
                </c:pt>
                <c:pt idx="1">
                  <c:v>50.32</c:v>
                </c:pt>
                <c:pt idx="2">
                  <c:v>36.75</c:v>
                </c:pt>
                <c:pt idx="3">
                  <c:v>54.73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Sheet11!$C$1</c:f>
              <c:strCache>
                <c:ptCount val="1"/>
                <c:pt idx="0">
                  <c:v>MCU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Sheet11!$A$2:$A$7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Electrical Eng Technician</c:v>
                  </c:pt>
                </c:lvl>
              </c:multiLvlStrCache>
            </c:multiLvlStrRef>
          </c:cat>
          <c:val>
            <c:numRef>
              <c:f>Sheet11!$C$2:$C$7</c:f>
              <c:numCache>
                <c:formatCode>0</c:formatCode>
                <c:ptCount val="4"/>
                <c:pt idx="0">
                  <c:v>62.67</c:v>
                </c:pt>
                <c:pt idx="1">
                  <c:v>67.25</c:v>
                </c:pt>
                <c:pt idx="2">
                  <c:v>66.81</c:v>
                </c:pt>
                <c:pt idx="3">
                  <c:v>63.36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Sheet11!$D$1</c:f>
              <c:strCache>
                <c:ptCount val="1"/>
                <c:pt idx="0">
                  <c:v>College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Sheet11!$A$2:$A$7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Electrical Eng Technician</c:v>
                  </c:pt>
                </c:lvl>
              </c:multiLvlStrCache>
            </c:multiLvlStrRef>
          </c:cat>
          <c:val>
            <c:numRef>
              <c:f>Sheet11!$D$2:$D$7</c:f>
              <c:numCache>
                <c:formatCode>0</c:formatCode>
                <c:ptCount val="4"/>
                <c:pt idx="0">
                  <c:v>75.319999999999993</c:v>
                </c:pt>
                <c:pt idx="1">
                  <c:v>76.11</c:v>
                </c:pt>
                <c:pt idx="2">
                  <c:v>74.42</c:v>
                </c:pt>
                <c:pt idx="3">
                  <c:v>73.92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779072"/>
        <c:axId val="95789056"/>
      </c:lineChart>
      <c:catAx>
        <c:axId val="95779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5789056"/>
        <c:crosses val="autoZero"/>
        <c:auto val="1"/>
        <c:lblAlgn val="ctr"/>
        <c:lblOffset val="100"/>
        <c:noMultiLvlLbl val="0"/>
      </c:catAx>
      <c:valAx>
        <c:axId val="95789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000" b="1" i="0" baseline="0">
                    <a:effectLst/>
                  </a:rPr>
                  <a:t>% Satisfied</a:t>
                </a:r>
                <a:endParaRPr lang="en-CA" sz="1000">
                  <a:effectLst/>
                </a:endParaRP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957790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theme/theme1.xml><?xml version="1.0" encoding="utf-8"?>
<a:theme xmlns:a="http://schemas.openxmlformats.org/drawingml/2006/main" name="Office Theme">
  <a:themeElements>
    <a:clrScheme name="Custom 3">
      <a:dk1>
        <a:srgbClr val="1E4429"/>
      </a:dk1>
      <a:lt1>
        <a:srgbClr val="FFFFFF"/>
      </a:lt1>
      <a:dk2>
        <a:srgbClr val="62A39F"/>
      </a:dk2>
      <a:lt2>
        <a:srgbClr val="DFE3E5"/>
      </a:lt2>
      <a:accent1>
        <a:srgbClr val="A0C7C5"/>
      </a:accent1>
      <a:accent2>
        <a:srgbClr val="C0DAD8"/>
      </a:accent2>
      <a:accent3>
        <a:srgbClr val="DFECEB"/>
      </a:accent3>
      <a:accent4>
        <a:srgbClr val="7EC492"/>
      </a:accent4>
      <a:accent5>
        <a:srgbClr val="A9D7B6"/>
      </a:accent5>
      <a:accent6>
        <a:srgbClr val="D4EBDA"/>
      </a:accent6>
      <a:hlink>
        <a:srgbClr val="3E8853"/>
      </a:hlink>
      <a:folHlink>
        <a:srgbClr val="62A39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David Choi</cp:lastModifiedBy>
  <cp:revision>4</cp:revision>
  <dcterms:created xsi:type="dcterms:W3CDTF">2015-06-25T12:28:00Z</dcterms:created>
  <dcterms:modified xsi:type="dcterms:W3CDTF">2015-06-25T12:29:00Z</dcterms:modified>
</cp:coreProperties>
</file>