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E5D" w:rsidRPr="00C70E5D" w:rsidRDefault="00C70E5D" w:rsidP="00C70E5D">
      <w:pPr>
        <w:spacing w:after="0" w:line="240" w:lineRule="auto"/>
        <w:textAlignment w:val="baseline"/>
        <w:outlineLvl w:val="0"/>
        <w:rPr>
          <w:rFonts w:ascii="Times New Roman" w:eastAsia="Times New Roman" w:hAnsi="Times New Roman" w:cs="Times New Roman"/>
          <w:kern w:val="36"/>
          <w:sz w:val="32"/>
          <w:szCs w:val="32"/>
          <w:lang w:eastAsia="en-CA"/>
        </w:rPr>
      </w:pPr>
      <w:r w:rsidRPr="00C70E5D">
        <w:rPr>
          <w:rFonts w:ascii="Times New Roman" w:eastAsia="Times New Roman" w:hAnsi="Times New Roman" w:cs="Times New Roman"/>
          <w:kern w:val="36"/>
          <w:sz w:val="32"/>
          <w:szCs w:val="32"/>
          <w:lang w:eastAsia="en-CA"/>
        </w:rPr>
        <w:t>1.0 Industry Trends and Employment – PMG</w:t>
      </w:r>
    </w:p>
    <w:p w:rsidR="00C70E5D" w:rsidRPr="00C70E5D" w:rsidRDefault="00C70E5D" w:rsidP="00C70E5D">
      <w:pPr>
        <w:shd w:val="clear" w:color="auto" w:fill="FFFFFF"/>
        <w:spacing w:before="100" w:beforeAutospacing="1" w:after="100" w:afterAutospacing="1" w:line="240" w:lineRule="auto"/>
        <w:textAlignment w:val="baseline"/>
        <w:rPr>
          <w:rFonts w:ascii="Open Sans" w:eastAsia="Times New Roman" w:hAnsi="Open Sans" w:cs="Open Sans"/>
          <w:color w:val="000000"/>
          <w:sz w:val="18"/>
          <w:szCs w:val="18"/>
          <w:lang w:eastAsia="en-CA"/>
        </w:rPr>
      </w:pPr>
      <w:r w:rsidRPr="00C70E5D">
        <w:rPr>
          <w:rFonts w:ascii="Open Sans" w:eastAsia="Times New Roman" w:hAnsi="Open Sans" w:cs="Open Sans"/>
          <w:color w:val="000000"/>
          <w:sz w:val="18"/>
          <w:szCs w:val="18"/>
          <w:lang w:eastAsia="en-CA"/>
        </w:rPr>
        <w:t>To prepare for the program review phase of the process, Library researchers contribute by conducting a focused environmental scan that includes sourcing up to date information for your program with regard to trends in your industry or sector, as well as the labour market and employment.</w:t>
      </w:r>
    </w:p>
    <w:p w:rsidR="00C70E5D" w:rsidRPr="00C70E5D" w:rsidRDefault="00C70E5D" w:rsidP="00C70E5D">
      <w:pPr>
        <w:shd w:val="clear" w:color="auto" w:fill="FFFFFF"/>
        <w:spacing w:before="100" w:beforeAutospacing="1" w:after="100" w:afterAutospacing="1" w:line="240" w:lineRule="auto"/>
        <w:textAlignment w:val="baseline"/>
        <w:rPr>
          <w:rFonts w:ascii="Open Sans" w:eastAsia="Times New Roman" w:hAnsi="Open Sans" w:cs="Open Sans"/>
          <w:color w:val="000000"/>
          <w:sz w:val="18"/>
          <w:szCs w:val="18"/>
          <w:lang w:eastAsia="en-CA"/>
        </w:rPr>
      </w:pPr>
      <w:r w:rsidRPr="00C70E5D">
        <w:rPr>
          <w:rFonts w:ascii="Open Sans" w:eastAsia="Times New Roman" w:hAnsi="Open Sans" w:cs="Open Sans"/>
          <w:color w:val="000000"/>
          <w:sz w:val="18"/>
          <w:szCs w:val="18"/>
          <w:lang w:eastAsia="en-CA"/>
        </w:rPr>
        <w:t>Please use the following data sources to begin your review and analysis:</w:t>
      </w:r>
    </w:p>
    <w:p w:rsidR="00C70E5D" w:rsidRPr="00C70E5D" w:rsidRDefault="00D5053E" w:rsidP="00C70E5D">
      <w:pPr>
        <w:shd w:val="clear" w:color="auto" w:fill="FFFFFF"/>
        <w:spacing w:beforeAutospacing="1" w:after="0" w:afterAutospacing="1" w:line="240" w:lineRule="auto"/>
        <w:textAlignment w:val="baseline"/>
        <w:outlineLvl w:val="1"/>
        <w:rPr>
          <w:rFonts w:ascii="Open Sans" w:eastAsia="Times New Roman" w:hAnsi="Open Sans" w:cs="Open Sans"/>
          <w:color w:val="000000"/>
          <w:sz w:val="36"/>
          <w:szCs w:val="36"/>
          <w:lang w:eastAsia="en-CA"/>
        </w:rPr>
      </w:pPr>
      <w:hyperlink r:id="rId5" w:history="1">
        <w:r w:rsidR="00C70E5D" w:rsidRPr="00C70E5D">
          <w:rPr>
            <w:rFonts w:ascii="Open Sans" w:eastAsia="Times New Roman" w:hAnsi="Open Sans" w:cs="Open Sans"/>
            <w:color w:val="0066CC"/>
            <w:sz w:val="27"/>
            <w:szCs w:val="27"/>
            <w:u w:val="single"/>
            <w:bdr w:val="none" w:sz="0" w:space="0" w:color="auto" w:frame="1"/>
            <w:lang w:eastAsia="en-CA"/>
          </w:rPr>
          <w:t>Project Management – Main Page</w:t>
        </w:r>
      </w:hyperlink>
    </w:p>
    <w:tbl>
      <w:tblPr>
        <w:tblW w:w="935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9350"/>
      </w:tblGrid>
      <w:tr w:rsidR="00C70E5D" w:rsidRPr="00C70E5D" w:rsidTr="00C70E5D">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C70E5D" w:rsidRPr="00C70E5D" w:rsidRDefault="00C70E5D" w:rsidP="00C70E5D">
            <w:pPr>
              <w:spacing w:beforeAutospacing="1" w:after="0" w:afterAutospacing="1" w:line="240" w:lineRule="auto"/>
              <w:textAlignment w:val="baseline"/>
              <w:outlineLvl w:val="2"/>
              <w:rPr>
                <w:rFonts w:ascii="Times New Roman" w:eastAsia="Times New Roman" w:hAnsi="Times New Roman" w:cs="Times New Roman"/>
                <w:color w:val="757575"/>
                <w:sz w:val="27"/>
                <w:szCs w:val="27"/>
                <w:lang w:eastAsia="en-CA"/>
              </w:rPr>
            </w:pPr>
            <w:r w:rsidRPr="00C70E5D">
              <w:rPr>
                <w:rFonts w:ascii="Times New Roman" w:eastAsia="Times New Roman" w:hAnsi="Times New Roman" w:cs="Times New Roman"/>
                <w:color w:val="8E44AD"/>
                <w:sz w:val="24"/>
                <w:szCs w:val="24"/>
                <w:bdr w:val="none" w:sz="0" w:space="0" w:color="auto" w:frame="1"/>
                <w:lang w:eastAsia="en-CA"/>
              </w:rPr>
              <w:t>1.1 </w:t>
            </w:r>
            <w:hyperlink r:id="rId6" w:tgtFrame="_blank" w:history="1">
              <w:r w:rsidRPr="00C70E5D">
                <w:rPr>
                  <w:rFonts w:ascii="Times New Roman" w:eastAsia="Times New Roman" w:hAnsi="Times New Roman" w:cs="Times New Roman"/>
                  <w:color w:val="00673F"/>
                  <w:sz w:val="24"/>
                  <w:szCs w:val="24"/>
                  <w:u w:val="single"/>
                  <w:bdr w:val="none" w:sz="0" w:space="0" w:color="auto" w:frame="1"/>
                  <w:lang w:eastAsia="en-CA"/>
                </w:rPr>
                <w:t>Industry and Sector Trends</w:t>
              </w:r>
            </w:hyperlink>
          </w:p>
          <w:p w:rsidR="00C70E5D" w:rsidRPr="00C70E5D" w:rsidRDefault="00C70E5D" w:rsidP="00C70E5D">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lang w:eastAsia="en-CA"/>
              </w:rPr>
              <w:t>Review and discuss the following:</w:t>
            </w:r>
          </w:p>
          <w:p w:rsidR="00C70E5D" w:rsidRPr="00C70E5D" w:rsidRDefault="00C70E5D" w:rsidP="00C70E5D">
            <w:pPr>
              <w:numPr>
                <w:ilvl w:val="0"/>
                <w:numId w:val="1"/>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lang w:eastAsia="en-CA"/>
              </w:rPr>
              <w:t>Industry / sector changes or issues identified by the Program Advisory Committee.</w:t>
            </w:r>
          </w:p>
          <w:p w:rsidR="00C70E5D" w:rsidRPr="00C70E5D" w:rsidRDefault="00C70E5D" w:rsidP="00C70E5D">
            <w:pPr>
              <w:numPr>
                <w:ilvl w:val="0"/>
                <w:numId w:val="1"/>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lang w:eastAsia="en-CA"/>
              </w:rPr>
              <w:t>Recent labour market data or sector reports as provided by the Fleming Library Researchers.</w:t>
            </w:r>
          </w:p>
          <w:p w:rsidR="00C70E5D" w:rsidRPr="00C70E5D" w:rsidRDefault="00C70E5D" w:rsidP="00C70E5D">
            <w:pPr>
              <w:numPr>
                <w:ilvl w:val="0"/>
                <w:numId w:val="1"/>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lang w:eastAsia="en-CA"/>
              </w:rPr>
              <w:t>Recent or anticipated changes in occupational standards, level of entry and credential and / or standards of accreditation.</w:t>
            </w:r>
          </w:p>
          <w:p w:rsidR="00C70E5D" w:rsidRPr="00C70E5D" w:rsidRDefault="00C70E5D" w:rsidP="00C70E5D">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lang w:eastAsia="en-CA"/>
              </w:rPr>
              <w:t>Based on the above, do these changes or issues necessitate changes to your program, either immediately, or in the next few years?</w:t>
            </w:r>
          </w:p>
        </w:tc>
      </w:tr>
      <w:tr w:rsidR="00C70E5D" w:rsidRPr="00C70E5D" w:rsidTr="00C70E5D">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C70E5D" w:rsidRPr="00C70E5D" w:rsidRDefault="00C70E5D" w:rsidP="00C70E5D">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b/>
                <w:bCs/>
                <w:i/>
                <w:iCs/>
                <w:color w:val="8E44AD"/>
                <w:sz w:val="18"/>
                <w:szCs w:val="18"/>
                <w:bdr w:val="none" w:sz="0" w:space="0" w:color="auto" w:frame="1"/>
                <w:lang w:eastAsia="en-CA"/>
              </w:rPr>
              <w:t>Please summarize your findings here:</w:t>
            </w:r>
          </w:p>
          <w:p w:rsidR="00C70E5D" w:rsidRPr="00C70E5D" w:rsidRDefault="00C70E5D" w:rsidP="00C70E5D">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PAC Notes</w:t>
            </w:r>
          </w:p>
          <w:p w:rsidR="00C70E5D" w:rsidRPr="00C70E5D" w:rsidRDefault="00C70E5D" w:rsidP="00C70E5D">
            <w:pPr>
              <w:numPr>
                <w:ilvl w:val="0"/>
                <w:numId w:val="2"/>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Like being able to shape new hires.</w:t>
            </w:r>
          </w:p>
          <w:p w:rsidR="00C70E5D" w:rsidRPr="00C70E5D" w:rsidRDefault="00C70E5D" w:rsidP="00C70E5D">
            <w:pPr>
              <w:numPr>
                <w:ilvl w:val="0"/>
                <w:numId w:val="2"/>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 xml:space="preserve">Want the base skillset from graduates </w:t>
            </w:r>
            <w:proofErr w:type="spellStart"/>
            <w:r w:rsidRPr="00C70E5D">
              <w:rPr>
                <w:rFonts w:ascii="Times New Roman" w:eastAsia="Times New Roman" w:hAnsi="Times New Roman" w:cs="Times New Roman"/>
                <w:color w:val="757575"/>
                <w:sz w:val="18"/>
                <w:szCs w:val="18"/>
                <w:bdr w:val="none" w:sz="0" w:space="0" w:color="auto" w:frame="1"/>
                <w:lang w:eastAsia="en-CA"/>
              </w:rPr>
              <w:t>ie</w:t>
            </w:r>
            <w:proofErr w:type="spellEnd"/>
            <w:r w:rsidRPr="00C70E5D">
              <w:rPr>
                <w:rFonts w:ascii="Times New Roman" w:eastAsia="Times New Roman" w:hAnsi="Times New Roman" w:cs="Times New Roman"/>
                <w:color w:val="757575"/>
                <w:sz w:val="18"/>
                <w:szCs w:val="18"/>
                <w:bdr w:val="none" w:sz="0" w:space="0" w:color="auto" w:frame="1"/>
                <w:lang w:eastAsia="en-CA"/>
              </w:rPr>
              <w:t>. Gantt chart, minutes, risk log, AG log, common sense, a practical PM with leadership abilities and learning how to influence people.</w:t>
            </w:r>
          </w:p>
          <w:p w:rsidR="00C70E5D" w:rsidRPr="00C70E5D" w:rsidRDefault="00C70E5D" w:rsidP="00C70E5D">
            <w:pPr>
              <w:numPr>
                <w:ilvl w:val="0"/>
                <w:numId w:val="2"/>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Key items are that they’re able to prioritize, how they will apply their skills, communication skills, software skills, problem solving abilities, how they work with other people, fitting into the culture of the organization, being flexible with the basics and able to figure out how to incorporate into learning.</w:t>
            </w:r>
          </w:p>
          <w:p w:rsidR="00C70E5D" w:rsidRPr="00C70E5D" w:rsidRDefault="00C70E5D" w:rsidP="00C70E5D">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Prepare students to understand how things are interpreted.</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Need to be able to apply the tools and understand the situation in order to get the job done.</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It’s also key that they be able to react in a conflict situation and that they remain calm – being agile.</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 xml:space="preserve">Feel a self-reflected personality assessment would be a good tool to understand personalities.  Many different people </w:t>
            </w:r>
            <w:proofErr w:type="gramStart"/>
            <w:r w:rsidRPr="00C70E5D">
              <w:rPr>
                <w:rFonts w:ascii="Times New Roman" w:eastAsia="Times New Roman" w:hAnsi="Times New Roman" w:cs="Times New Roman"/>
                <w:color w:val="757575"/>
                <w:sz w:val="18"/>
                <w:szCs w:val="18"/>
                <w:bdr w:val="none" w:sz="0" w:space="0" w:color="auto" w:frame="1"/>
                <w:lang w:eastAsia="en-CA"/>
              </w:rPr>
              <w:t>types</w:t>
            </w:r>
            <w:proofErr w:type="gramEnd"/>
            <w:r w:rsidRPr="00C70E5D">
              <w:rPr>
                <w:rFonts w:ascii="Times New Roman" w:eastAsia="Times New Roman" w:hAnsi="Times New Roman" w:cs="Times New Roman"/>
                <w:color w:val="757575"/>
                <w:sz w:val="18"/>
                <w:szCs w:val="18"/>
                <w:bdr w:val="none" w:sz="0" w:space="0" w:color="auto" w:frame="1"/>
                <w:lang w:eastAsia="en-CA"/>
              </w:rPr>
              <w:t xml:space="preserve"> on teams.  The Belbin tool is used when building project teams.  The School of Business has DISC profile but it’s not utilized in PM.</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 xml:space="preserve">Joanne Duffy suggested Type Focus based on Meyers Briggs – she’ll send information to Jenny.  It’s being used </w:t>
            </w:r>
            <w:proofErr w:type="gramStart"/>
            <w:r w:rsidRPr="00C70E5D">
              <w:rPr>
                <w:rFonts w:ascii="Times New Roman" w:eastAsia="Times New Roman" w:hAnsi="Times New Roman" w:cs="Times New Roman"/>
                <w:color w:val="757575"/>
                <w:sz w:val="18"/>
                <w:szCs w:val="18"/>
                <w:bdr w:val="none" w:sz="0" w:space="0" w:color="auto" w:frame="1"/>
                <w:lang w:eastAsia="en-CA"/>
              </w:rPr>
              <w:t>In</w:t>
            </w:r>
            <w:proofErr w:type="gramEnd"/>
            <w:r w:rsidRPr="00C70E5D">
              <w:rPr>
                <w:rFonts w:ascii="Times New Roman" w:eastAsia="Times New Roman" w:hAnsi="Times New Roman" w:cs="Times New Roman"/>
                <w:color w:val="757575"/>
                <w:sz w:val="18"/>
                <w:szCs w:val="18"/>
                <w:bdr w:val="none" w:sz="0" w:space="0" w:color="auto" w:frame="1"/>
                <w:lang w:eastAsia="en-CA"/>
              </w:rPr>
              <w:t xml:space="preserve"> Law free to our students.</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Discussion on creating course in semester one on using a self-evaluation tool and how to develop their own skills.  As well, in semester two on coaching students on how to understand the gaps to bring them up to a higher level.</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 xml:space="preserve">Industry would hire an entry level position when presented with a post grad degree.  Useful to have tech. work, </w:t>
            </w:r>
            <w:proofErr w:type="spellStart"/>
            <w:r w:rsidRPr="00C70E5D">
              <w:rPr>
                <w:rFonts w:ascii="Times New Roman" w:eastAsia="Times New Roman" w:hAnsi="Times New Roman" w:cs="Times New Roman"/>
                <w:color w:val="757575"/>
                <w:sz w:val="18"/>
                <w:szCs w:val="18"/>
                <w:bdr w:val="none" w:sz="0" w:space="0" w:color="auto" w:frame="1"/>
                <w:lang w:eastAsia="en-CA"/>
              </w:rPr>
              <w:t>ie</w:t>
            </w:r>
            <w:proofErr w:type="spellEnd"/>
            <w:r w:rsidRPr="00C70E5D">
              <w:rPr>
                <w:rFonts w:ascii="Times New Roman" w:eastAsia="Times New Roman" w:hAnsi="Times New Roman" w:cs="Times New Roman"/>
                <w:color w:val="757575"/>
                <w:sz w:val="18"/>
                <w:szCs w:val="18"/>
                <w:bdr w:val="none" w:sz="0" w:space="0" w:color="auto" w:frame="1"/>
                <w:lang w:eastAsia="en-CA"/>
              </w:rPr>
              <w:t>. Engineer, plus PM skills.</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Different organizations apply projects in different ways.  There’s a spectrum of PM “on the runway”.  Need a PM diploma and a previous degree to get “on the runway” as well as knowledge of the organization.</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Assign tasks that develop into projects so they learn along the way.</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Suggestion to film students while presenting.</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lastRenderedPageBreak/>
              <w:t>Applied projects should be offered as a competitive reward for academic goals and interviews by industry partners.  Reserve premier projects for the higher achievers.</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Start portfolios of projects.</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Test faculty as to “why” each course is important to the program – onsite coaching.</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 xml:space="preserve">Small businesses don’t know who they should hire.  Diane </w:t>
            </w:r>
            <w:proofErr w:type="gramStart"/>
            <w:r w:rsidRPr="00C70E5D">
              <w:rPr>
                <w:rFonts w:ascii="Times New Roman" w:eastAsia="Times New Roman" w:hAnsi="Times New Roman" w:cs="Times New Roman"/>
                <w:color w:val="757575"/>
                <w:sz w:val="18"/>
                <w:szCs w:val="18"/>
                <w:bdr w:val="none" w:sz="0" w:space="0" w:color="auto" w:frame="1"/>
                <w:lang w:eastAsia="en-CA"/>
              </w:rPr>
              <w:t>coaches</w:t>
            </w:r>
            <w:proofErr w:type="gramEnd"/>
            <w:r w:rsidRPr="00C70E5D">
              <w:rPr>
                <w:rFonts w:ascii="Times New Roman" w:eastAsia="Times New Roman" w:hAnsi="Times New Roman" w:cs="Times New Roman"/>
                <w:color w:val="757575"/>
                <w:sz w:val="18"/>
                <w:szCs w:val="18"/>
                <w:bdr w:val="none" w:sz="0" w:space="0" w:color="auto" w:frame="1"/>
                <w:lang w:eastAsia="en-CA"/>
              </w:rPr>
              <w:t xml:space="preserve"> small businesses and recommends they hire someone with PMI.</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There are challenges when interviewing International students.  Lack of English conversational skills, knowing how to “break the ice”, being book smart, the necessary skills for change management – being agile.  Pair them up with an “event” to build a network</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Suggestion to include lean PM program philosophies.</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Community Futures – Diane knows 50-60 businesses that don’t have the funds to hire.  Feels they’d be great prospects for applied projects.</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 xml:space="preserve">Suggestion to offer a </w:t>
            </w:r>
            <w:proofErr w:type="gramStart"/>
            <w:r w:rsidRPr="00C70E5D">
              <w:rPr>
                <w:rFonts w:ascii="Times New Roman" w:eastAsia="Times New Roman" w:hAnsi="Times New Roman" w:cs="Times New Roman"/>
                <w:color w:val="757575"/>
                <w:sz w:val="18"/>
                <w:szCs w:val="18"/>
                <w:bdr w:val="none" w:sz="0" w:space="0" w:color="auto" w:frame="1"/>
                <w:lang w:eastAsia="en-CA"/>
              </w:rPr>
              <w:t>two hour</w:t>
            </w:r>
            <w:proofErr w:type="gramEnd"/>
            <w:r w:rsidRPr="00C70E5D">
              <w:rPr>
                <w:rFonts w:ascii="Times New Roman" w:eastAsia="Times New Roman" w:hAnsi="Times New Roman" w:cs="Times New Roman"/>
                <w:color w:val="757575"/>
                <w:sz w:val="18"/>
                <w:szCs w:val="18"/>
                <w:bdr w:val="none" w:sz="0" w:space="0" w:color="auto" w:frame="1"/>
                <w:lang w:eastAsia="en-CA"/>
              </w:rPr>
              <w:t xml:space="preserve"> workshop to teach organizations on how to be a good sponsor.</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Personal sense of creativity should be relevant in executing and overcoming issues in projects.</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Expectation in semester one should be to develop into a functional member; understand, teach and coach.</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Suggestions on how to attract domestic students: offer ways to reach PMI designation through industry, offering content on-line or night classes.  Good portion of the marketplace is comprised of working students who aren’t able to take eight months off work.</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 xml:space="preserve">Target market; </w:t>
            </w:r>
            <w:proofErr w:type="spellStart"/>
            <w:r w:rsidRPr="00C70E5D">
              <w:rPr>
                <w:rFonts w:ascii="Times New Roman" w:eastAsia="Times New Roman" w:hAnsi="Times New Roman" w:cs="Times New Roman"/>
                <w:color w:val="757575"/>
                <w:sz w:val="18"/>
                <w:szCs w:val="18"/>
                <w:bdr w:val="none" w:sz="0" w:space="0" w:color="auto" w:frame="1"/>
                <w:lang w:eastAsia="en-CA"/>
              </w:rPr>
              <w:t>ie</w:t>
            </w:r>
            <w:proofErr w:type="spellEnd"/>
            <w:r w:rsidRPr="00C70E5D">
              <w:rPr>
                <w:rFonts w:ascii="Times New Roman" w:eastAsia="Times New Roman" w:hAnsi="Times New Roman" w:cs="Times New Roman"/>
                <w:color w:val="757575"/>
                <w:sz w:val="18"/>
                <w:szCs w:val="18"/>
                <w:bdr w:val="none" w:sz="0" w:space="0" w:color="auto" w:frame="1"/>
                <w:lang w:eastAsia="en-CA"/>
              </w:rPr>
              <w:t xml:space="preserve">. Bachelor of Science with a year of PM.  Market post graduates </w:t>
            </w:r>
            <w:proofErr w:type="spellStart"/>
            <w:r w:rsidRPr="00C70E5D">
              <w:rPr>
                <w:rFonts w:ascii="Times New Roman" w:eastAsia="Times New Roman" w:hAnsi="Times New Roman" w:cs="Times New Roman"/>
                <w:color w:val="757575"/>
                <w:sz w:val="18"/>
                <w:szCs w:val="18"/>
                <w:bdr w:val="none" w:sz="0" w:space="0" w:color="auto" w:frame="1"/>
                <w:lang w:eastAsia="en-CA"/>
              </w:rPr>
              <w:t>ie</w:t>
            </w:r>
            <w:proofErr w:type="spellEnd"/>
            <w:r w:rsidRPr="00C70E5D">
              <w:rPr>
                <w:rFonts w:ascii="Times New Roman" w:eastAsia="Times New Roman" w:hAnsi="Times New Roman" w:cs="Times New Roman"/>
                <w:color w:val="757575"/>
                <w:sz w:val="18"/>
                <w:szCs w:val="18"/>
                <w:bdr w:val="none" w:sz="0" w:space="0" w:color="auto" w:frame="1"/>
                <w:lang w:eastAsia="en-CA"/>
              </w:rPr>
              <w:t>. Nurse Managers.  Soft landing into Trent or Bachelor degrees across the board.  Trades also good prospects. Link to industry jobs.</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 xml:space="preserve">Need to get millennials before they start working </w:t>
            </w:r>
            <w:proofErr w:type="spellStart"/>
            <w:r w:rsidRPr="00C70E5D">
              <w:rPr>
                <w:rFonts w:ascii="Times New Roman" w:eastAsia="Times New Roman" w:hAnsi="Times New Roman" w:cs="Times New Roman"/>
                <w:color w:val="757575"/>
                <w:sz w:val="18"/>
                <w:szCs w:val="18"/>
                <w:bdr w:val="none" w:sz="0" w:space="0" w:color="auto" w:frame="1"/>
                <w:lang w:eastAsia="en-CA"/>
              </w:rPr>
              <w:t>ie</w:t>
            </w:r>
            <w:proofErr w:type="spellEnd"/>
            <w:r w:rsidRPr="00C70E5D">
              <w:rPr>
                <w:rFonts w:ascii="Times New Roman" w:eastAsia="Times New Roman" w:hAnsi="Times New Roman" w:cs="Times New Roman"/>
                <w:color w:val="757575"/>
                <w:sz w:val="18"/>
                <w:szCs w:val="18"/>
                <w:bdr w:val="none" w:sz="0" w:space="0" w:color="auto" w:frame="1"/>
                <w:lang w:eastAsia="en-CA"/>
              </w:rPr>
              <w:t xml:space="preserve">. </w:t>
            </w:r>
            <w:proofErr w:type="gramStart"/>
            <w:r w:rsidRPr="00C70E5D">
              <w:rPr>
                <w:rFonts w:ascii="Times New Roman" w:eastAsia="Times New Roman" w:hAnsi="Times New Roman" w:cs="Times New Roman"/>
                <w:color w:val="757575"/>
                <w:sz w:val="18"/>
                <w:szCs w:val="18"/>
                <w:bdr w:val="none" w:sz="0" w:space="0" w:color="auto" w:frame="1"/>
                <w:lang w:eastAsia="en-CA"/>
              </w:rPr>
              <w:t>Four year</w:t>
            </w:r>
            <w:proofErr w:type="gramEnd"/>
            <w:r w:rsidRPr="00C70E5D">
              <w:rPr>
                <w:rFonts w:ascii="Times New Roman" w:eastAsia="Times New Roman" w:hAnsi="Times New Roman" w:cs="Times New Roman"/>
                <w:color w:val="757575"/>
                <w:sz w:val="18"/>
                <w:szCs w:val="18"/>
                <w:bdr w:val="none" w:sz="0" w:space="0" w:color="auto" w:frame="1"/>
                <w:lang w:eastAsia="en-CA"/>
              </w:rPr>
              <w:t xml:space="preserve"> undergrad plus one year PMG.  Bundle from grade 12 and need to sell parents on five </w:t>
            </w:r>
            <w:proofErr w:type="gramStart"/>
            <w:r w:rsidRPr="00C70E5D">
              <w:rPr>
                <w:rFonts w:ascii="Times New Roman" w:eastAsia="Times New Roman" w:hAnsi="Times New Roman" w:cs="Times New Roman"/>
                <w:color w:val="757575"/>
                <w:sz w:val="18"/>
                <w:szCs w:val="18"/>
                <w:bdr w:val="none" w:sz="0" w:space="0" w:color="auto" w:frame="1"/>
                <w:lang w:eastAsia="en-CA"/>
              </w:rPr>
              <w:t>year</w:t>
            </w:r>
            <w:proofErr w:type="gramEnd"/>
            <w:r w:rsidRPr="00C70E5D">
              <w:rPr>
                <w:rFonts w:ascii="Times New Roman" w:eastAsia="Times New Roman" w:hAnsi="Times New Roman" w:cs="Times New Roman"/>
                <w:color w:val="757575"/>
                <w:sz w:val="18"/>
                <w:szCs w:val="18"/>
                <w:bdr w:val="none" w:sz="0" w:space="0" w:color="auto" w:frame="1"/>
                <w:lang w:eastAsia="en-CA"/>
              </w:rPr>
              <w:t>.</w:t>
            </w:r>
          </w:p>
          <w:p w:rsidR="00C70E5D" w:rsidRPr="00C70E5D" w:rsidRDefault="00C70E5D" w:rsidP="00C70E5D">
            <w:pPr>
              <w:numPr>
                <w:ilvl w:val="0"/>
                <w:numId w:val="3"/>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Brand the program.  Purpose of the program Applied offering creates the differential.</w:t>
            </w:r>
          </w:p>
        </w:tc>
      </w:tr>
      <w:tr w:rsidR="00C70E5D" w:rsidRPr="00C70E5D" w:rsidTr="00C70E5D">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C70E5D" w:rsidRPr="00C70E5D" w:rsidRDefault="00C70E5D" w:rsidP="00C70E5D">
            <w:pPr>
              <w:spacing w:beforeAutospacing="1" w:after="0" w:afterAutospacing="1" w:line="240" w:lineRule="auto"/>
              <w:textAlignment w:val="baseline"/>
              <w:outlineLvl w:val="2"/>
              <w:rPr>
                <w:rFonts w:ascii="Times New Roman" w:eastAsia="Times New Roman" w:hAnsi="Times New Roman" w:cs="Times New Roman"/>
                <w:color w:val="757575"/>
                <w:sz w:val="27"/>
                <w:szCs w:val="27"/>
                <w:lang w:eastAsia="en-CA"/>
              </w:rPr>
            </w:pPr>
            <w:r w:rsidRPr="00C70E5D">
              <w:rPr>
                <w:rFonts w:ascii="Times New Roman" w:eastAsia="Times New Roman" w:hAnsi="Times New Roman" w:cs="Times New Roman"/>
                <w:color w:val="8E44AD"/>
                <w:sz w:val="24"/>
                <w:szCs w:val="24"/>
                <w:bdr w:val="none" w:sz="0" w:space="0" w:color="auto" w:frame="1"/>
                <w:lang w:eastAsia="en-CA"/>
              </w:rPr>
              <w:lastRenderedPageBreak/>
              <w:t>1.2 </w:t>
            </w:r>
            <w:hyperlink r:id="rId7" w:tgtFrame="_blank" w:history="1">
              <w:r w:rsidRPr="00C70E5D">
                <w:rPr>
                  <w:rFonts w:ascii="Times New Roman" w:eastAsia="Times New Roman" w:hAnsi="Times New Roman" w:cs="Times New Roman"/>
                  <w:color w:val="00673F"/>
                  <w:sz w:val="24"/>
                  <w:szCs w:val="24"/>
                  <w:u w:val="single"/>
                  <w:bdr w:val="none" w:sz="0" w:space="0" w:color="auto" w:frame="1"/>
                  <w:lang w:eastAsia="en-CA"/>
                </w:rPr>
                <w:t>Labour Market and Employment Trends</w:t>
              </w:r>
            </w:hyperlink>
          </w:p>
          <w:p w:rsidR="00C70E5D" w:rsidRPr="00C70E5D" w:rsidRDefault="00C70E5D" w:rsidP="00C70E5D">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lang w:eastAsia="en-CA"/>
              </w:rPr>
              <w:t>Review and discuss the following:</w:t>
            </w:r>
          </w:p>
          <w:p w:rsidR="00C70E5D" w:rsidRPr="00C70E5D" w:rsidRDefault="00C70E5D" w:rsidP="00C70E5D">
            <w:pPr>
              <w:numPr>
                <w:ilvl w:val="0"/>
                <w:numId w:val="4"/>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lang w:eastAsia="en-CA"/>
              </w:rPr>
              <w:t>Graduate employment statistics over the last few years, including those of students employed in the field, in a related field, outside the field, or unemployed, and any emerging patterns in this data.</w:t>
            </w:r>
          </w:p>
          <w:p w:rsidR="00C70E5D" w:rsidRPr="00C70E5D" w:rsidRDefault="00C70E5D" w:rsidP="00C70E5D">
            <w:pPr>
              <w:numPr>
                <w:ilvl w:val="0"/>
                <w:numId w:val="4"/>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lang w:eastAsia="en-CA"/>
              </w:rPr>
              <w:t>Emergent employment trends such as new types of positions, changing job market, regional distinctions, changing employer profile, or emerging skill shortages.</w:t>
            </w:r>
          </w:p>
        </w:tc>
      </w:tr>
      <w:tr w:rsidR="00C70E5D" w:rsidRPr="00C70E5D" w:rsidTr="00C70E5D">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C70E5D" w:rsidRPr="00C70E5D" w:rsidRDefault="00C70E5D" w:rsidP="00C70E5D">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b/>
                <w:bCs/>
                <w:i/>
                <w:iCs/>
                <w:color w:val="8E44AD"/>
                <w:sz w:val="18"/>
                <w:szCs w:val="18"/>
                <w:bdr w:val="none" w:sz="0" w:space="0" w:color="auto" w:frame="1"/>
                <w:lang w:eastAsia="en-CA"/>
              </w:rPr>
              <w:t>Please summarize your findings here:</w:t>
            </w:r>
          </w:p>
          <w:p w:rsidR="00C70E5D" w:rsidRPr="00C70E5D" w:rsidRDefault="00C70E5D" w:rsidP="00C70E5D">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Out of 9 graduates available for work during the 2014-17 period, 56% are working and 44% are employed in a related field.  </w:t>
            </w:r>
          </w:p>
          <w:p w:rsidR="00C70E5D" w:rsidRPr="00C70E5D" w:rsidRDefault="00C70E5D" w:rsidP="00C70E5D">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lang w:eastAsia="en-CA"/>
              </w:rPr>
              <w:t> </w:t>
            </w:r>
          </w:p>
          <w:p w:rsidR="00C70E5D" w:rsidRPr="00C70E5D" w:rsidRDefault="00C70E5D" w:rsidP="00C70E5D">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b/>
                <w:bCs/>
                <w:color w:val="757575"/>
                <w:sz w:val="18"/>
                <w:szCs w:val="18"/>
                <w:bdr w:val="none" w:sz="0" w:space="0" w:color="auto" w:frame="1"/>
                <w:lang w:eastAsia="en-CA"/>
              </w:rPr>
              <w:t>Please note: these numbers are based on Domestic graduates only.</w:t>
            </w:r>
          </w:p>
          <w:p w:rsidR="00C70E5D" w:rsidRPr="00C70E5D" w:rsidRDefault="00C70E5D" w:rsidP="00C70E5D">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C70E5D">
              <w:rPr>
                <w:rFonts w:ascii="Times New Roman" w:eastAsia="Times New Roman" w:hAnsi="Times New Roman" w:cs="Times New Roman"/>
                <w:color w:val="757575"/>
                <w:sz w:val="18"/>
                <w:szCs w:val="18"/>
                <w:bdr w:val="none" w:sz="0" w:space="0" w:color="auto" w:frame="1"/>
                <w:lang w:eastAsia="en-CA"/>
              </w:rPr>
              <w:t xml:space="preserve">This is a major blind spot – we must start doing a better job of tracking our international graduate employment, satisfaction, etc. Given the significant growth we continue to experience in international student enrollment, Fleming must find a way to better track the performance of our international </w:t>
            </w:r>
            <w:proofErr w:type="gramStart"/>
            <w:r w:rsidRPr="00C70E5D">
              <w:rPr>
                <w:rFonts w:ascii="Times New Roman" w:eastAsia="Times New Roman" w:hAnsi="Times New Roman" w:cs="Times New Roman"/>
                <w:color w:val="757575"/>
                <w:sz w:val="18"/>
                <w:szCs w:val="18"/>
                <w:bdr w:val="none" w:sz="0" w:space="0" w:color="auto" w:frame="1"/>
                <w:lang w:eastAsia="en-CA"/>
              </w:rPr>
              <w:t>students</w:t>
            </w:r>
            <w:proofErr w:type="gramEnd"/>
            <w:r w:rsidRPr="00C70E5D">
              <w:rPr>
                <w:rFonts w:ascii="Times New Roman" w:eastAsia="Times New Roman" w:hAnsi="Times New Roman" w:cs="Times New Roman"/>
                <w:color w:val="757575"/>
                <w:sz w:val="18"/>
                <w:szCs w:val="18"/>
                <w:bdr w:val="none" w:sz="0" w:space="0" w:color="auto" w:frame="1"/>
                <w:lang w:eastAsia="en-CA"/>
              </w:rPr>
              <w:t xml:space="preserve"> post-graduation.  </w:t>
            </w:r>
          </w:p>
        </w:tc>
      </w:tr>
    </w:tbl>
    <w:p w:rsidR="008C6FE8" w:rsidRDefault="00D5053E"/>
    <w:p w:rsidR="00D5053E" w:rsidRDefault="00D5053E" w:rsidP="00D5053E">
      <w:pPr>
        <w:spacing w:after="0" w:line="240" w:lineRule="auto"/>
        <w:textAlignment w:val="baseline"/>
        <w:outlineLvl w:val="0"/>
        <w:rPr>
          <w:rFonts w:ascii="Times New Roman" w:eastAsia="Times New Roman" w:hAnsi="Times New Roman" w:cs="Times New Roman"/>
          <w:kern w:val="36"/>
          <w:sz w:val="32"/>
          <w:szCs w:val="32"/>
          <w:lang w:eastAsia="en-CA"/>
        </w:rPr>
      </w:pPr>
    </w:p>
    <w:p w:rsidR="00D5053E" w:rsidRDefault="00D5053E" w:rsidP="00D5053E">
      <w:pPr>
        <w:spacing w:after="0" w:line="240" w:lineRule="auto"/>
        <w:textAlignment w:val="baseline"/>
        <w:outlineLvl w:val="0"/>
        <w:rPr>
          <w:rFonts w:ascii="Times New Roman" w:eastAsia="Times New Roman" w:hAnsi="Times New Roman" w:cs="Times New Roman"/>
          <w:kern w:val="36"/>
          <w:sz w:val="32"/>
          <w:szCs w:val="32"/>
          <w:lang w:eastAsia="en-CA"/>
        </w:rPr>
      </w:pPr>
    </w:p>
    <w:p w:rsidR="00D5053E" w:rsidRDefault="00D5053E" w:rsidP="00D5053E">
      <w:pPr>
        <w:spacing w:after="0" w:line="240" w:lineRule="auto"/>
        <w:textAlignment w:val="baseline"/>
        <w:outlineLvl w:val="0"/>
        <w:rPr>
          <w:rFonts w:ascii="Times New Roman" w:eastAsia="Times New Roman" w:hAnsi="Times New Roman" w:cs="Times New Roman"/>
          <w:kern w:val="36"/>
          <w:sz w:val="32"/>
          <w:szCs w:val="32"/>
          <w:lang w:eastAsia="en-CA"/>
        </w:rPr>
      </w:pPr>
    </w:p>
    <w:p w:rsidR="00D5053E" w:rsidRDefault="00D5053E" w:rsidP="00D5053E">
      <w:pPr>
        <w:spacing w:after="0" w:line="240" w:lineRule="auto"/>
        <w:textAlignment w:val="baseline"/>
        <w:outlineLvl w:val="0"/>
        <w:rPr>
          <w:rFonts w:ascii="Times New Roman" w:eastAsia="Times New Roman" w:hAnsi="Times New Roman" w:cs="Times New Roman"/>
          <w:kern w:val="36"/>
          <w:sz w:val="32"/>
          <w:szCs w:val="32"/>
          <w:lang w:eastAsia="en-CA"/>
        </w:rPr>
      </w:pPr>
    </w:p>
    <w:p w:rsidR="00D5053E" w:rsidRPr="00DA3EEC" w:rsidRDefault="00D5053E" w:rsidP="00D5053E">
      <w:pPr>
        <w:spacing w:after="0" w:line="240" w:lineRule="auto"/>
        <w:textAlignment w:val="baseline"/>
        <w:outlineLvl w:val="0"/>
        <w:rPr>
          <w:rFonts w:ascii="Times New Roman" w:eastAsia="Times New Roman" w:hAnsi="Times New Roman" w:cs="Times New Roman"/>
          <w:kern w:val="36"/>
          <w:sz w:val="32"/>
          <w:szCs w:val="32"/>
          <w:lang w:eastAsia="en-CA"/>
        </w:rPr>
      </w:pPr>
      <w:r w:rsidRPr="00DA3EEC">
        <w:rPr>
          <w:rFonts w:ascii="Times New Roman" w:eastAsia="Times New Roman" w:hAnsi="Times New Roman" w:cs="Times New Roman"/>
          <w:kern w:val="36"/>
          <w:sz w:val="32"/>
          <w:szCs w:val="32"/>
          <w:lang w:eastAsia="en-CA"/>
        </w:rPr>
        <w:lastRenderedPageBreak/>
        <w:t>2.0 Key Performance Indicators – PMG</w:t>
      </w:r>
    </w:p>
    <w:p w:rsidR="00D5053E" w:rsidRPr="00DA3EEC" w:rsidRDefault="00D5053E" w:rsidP="00D5053E">
      <w:pPr>
        <w:shd w:val="clear" w:color="auto" w:fill="FFFFFF"/>
        <w:spacing w:beforeAutospacing="1" w:after="0" w:afterAutospacing="1" w:line="240" w:lineRule="auto"/>
        <w:textAlignment w:val="baseline"/>
        <w:outlineLvl w:val="1"/>
        <w:rPr>
          <w:rFonts w:ascii="Open Sans" w:eastAsia="Times New Roman" w:hAnsi="Open Sans" w:cs="Open Sans"/>
          <w:color w:val="000000"/>
          <w:sz w:val="18"/>
          <w:szCs w:val="18"/>
          <w:lang w:eastAsia="en-CA"/>
        </w:rPr>
      </w:pPr>
      <w:hyperlink r:id="rId8" w:history="1">
        <w:r w:rsidRPr="00DA3EEC">
          <w:rPr>
            <w:rFonts w:ascii="Open Sans" w:eastAsia="Times New Roman" w:hAnsi="Open Sans" w:cs="Open Sans"/>
            <w:color w:val="0066CC"/>
            <w:sz w:val="18"/>
            <w:szCs w:val="18"/>
            <w:u w:val="single"/>
            <w:bdr w:val="none" w:sz="0" w:space="0" w:color="auto" w:frame="1"/>
            <w:lang w:eastAsia="en-CA"/>
          </w:rPr>
          <w:t>Project Management – Main Page</w:t>
        </w:r>
      </w:hyperlink>
    </w:p>
    <w:p w:rsidR="00D5053E" w:rsidRPr="00DA3EEC" w:rsidRDefault="00D5053E" w:rsidP="00D5053E">
      <w:pPr>
        <w:shd w:val="clear" w:color="auto" w:fill="FFFFFF"/>
        <w:spacing w:beforeAutospacing="1" w:after="0" w:afterAutospacing="1" w:line="240" w:lineRule="auto"/>
        <w:textAlignment w:val="baseline"/>
        <w:outlineLvl w:val="1"/>
        <w:rPr>
          <w:rFonts w:ascii="Open Sans" w:eastAsia="Times New Roman" w:hAnsi="Open Sans" w:cs="Open Sans"/>
          <w:color w:val="000000"/>
          <w:sz w:val="18"/>
          <w:szCs w:val="18"/>
          <w:lang w:eastAsia="en-CA"/>
        </w:rPr>
      </w:pPr>
      <w:r w:rsidRPr="00DA3EEC">
        <w:rPr>
          <w:rFonts w:ascii="Open Sans" w:eastAsia="Times New Roman" w:hAnsi="Open Sans" w:cs="Open Sans"/>
          <w:color w:val="000000"/>
          <w:sz w:val="18"/>
          <w:szCs w:val="18"/>
          <w:lang w:eastAsia="en-CA"/>
        </w:rPr>
        <w:t>Please note:  you must use</w:t>
      </w:r>
      <w:r w:rsidRPr="00DA3EEC">
        <w:rPr>
          <w:rFonts w:ascii="Open Sans" w:eastAsia="Times New Roman" w:hAnsi="Open Sans" w:cs="Open Sans"/>
          <w:color w:val="000000"/>
          <w:sz w:val="18"/>
          <w:szCs w:val="18"/>
          <w:bdr w:val="none" w:sz="0" w:space="0" w:color="auto" w:frame="1"/>
          <w:lang w:eastAsia="en-CA"/>
        </w:rPr>
        <w:t> </w:t>
      </w:r>
      <w:r w:rsidRPr="00DA3EEC">
        <w:rPr>
          <w:rFonts w:ascii="Open Sans" w:eastAsia="Times New Roman" w:hAnsi="Open Sans" w:cs="Open Sans"/>
          <w:b/>
          <w:bCs/>
          <w:color w:val="C0392B"/>
          <w:sz w:val="18"/>
          <w:szCs w:val="18"/>
          <w:bdr w:val="none" w:sz="0" w:space="0" w:color="auto" w:frame="1"/>
          <w:lang w:eastAsia="en-CA"/>
        </w:rPr>
        <w:t>Internet Explorer</w:t>
      </w:r>
      <w:r w:rsidRPr="00DA3EEC">
        <w:rPr>
          <w:rFonts w:ascii="Open Sans" w:eastAsia="Times New Roman" w:hAnsi="Open Sans" w:cs="Open Sans"/>
          <w:b/>
          <w:bCs/>
          <w:color w:val="000000"/>
          <w:sz w:val="18"/>
          <w:szCs w:val="18"/>
          <w:bdr w:val="none" w:sz="0" w:space="0" w:color="auto" w:frame="1"/>
          <w:lang w:eastAsia="en-CA"/>
        </w:rPr>
        <w:t> </w:t>
      </w:r>
      <w:r w:rsidRPr="00DA3EEC">
        <w:rPr>
          <w:rFonts w:ascii="Open Sans" w:eastAsia="Times New Roman" w:hAnsi="Open Sans" w:cs="Open Sans"/>
          <w:color w:val="000000"/>
          <w:sz w:val="18"/>
          <w:szCs w:val="18"/>
          <w:lang w:eastAsia="en-CA"/>
        </w:rPr>
        <w:t>when viewing this data from the</w:t>
      </w:r>
      <w:r w:rsidRPr="00DA3EEC">
        <w:rPr>
          <w:rFonts w:ascii="Open Sans" w:eastAsia="Times New Roman" w:hAnsi="Open Sans" w:cs="Open Sans"/>
          <w:b/>
          <w:bCs/>
          <w:color w:val="000000"/>
          <w:sz w:val="18"/>
          <w:szCs w:val="18"/>
          <w:bdr w:val="none" w:sz="0" w:space="0" w:color="auto" w:frame="1"/>
          <w:lang w:eastAsia="en-CA"/>
        </w:rPr>
        <w:t> FDR website</w:t>
      </w:r>
      <w:r w:rsidRPr="00DA3EEC">
        <w:rPr>
          <w:rFonts w:ascii="Open Sans" w:eastAsia="Times New Roman" w:hAnsi="Open Sans" w:cs="Open Sans"/>
          <w:color w:val="000000"/>
          <w:sz w:val="18"/>
          <w:szCs w:val="18"/>
          <w:lang w:eastAsia="en-CA"/>
        </w:rPr>
        <w:t>.</w:t>
      </w:r>
    </w:p>
    <w:p w:rsidR="00D5053E" w:rsidRPr="00DA3EEC" w:rsidRDefault="00D5053E" w:rsidP="00D5053E">
      <w:pPr>
        <w:shd w:val="clear" w:color="auto" w:fill="FFFFFF"/>
        <w:spacing w:before="100" w:beforeAutospacing="1" w:after="100" w:afterAutospacing="1" w:line="240" w:lineRule="auto"/>
        <w:textAlignment w:val="baseline"/>
        <w:rPr>
          <w:rFonts w:ascii="Open Sans" w:eastAsia="Times New Roman" w:hAnsi="Open Sans" w:cs="Open Sans"/>
          <w:color w:val="444444"/>
          <w:sz w:val="18"/>
          <w:szCs w:val="18"/>
          <w:lang w:eastAsia="en-CA"/>
        </w:rPr>
      </w:pPr>
      <w:r w:rsidRPr="00DA3EEC">
        <w:rPr>
          <w:rFonts w:ascii="Open Sans" w:eastAsia="Times New Roman" w:hAnsi="Open Sans" w:cs="Open Sans"/>
          <w:color w:val="444444"/>
          <w:sz w:val="18"/>
          <w:szCs w:val="18"/>
          <w:lang w:eastAsia="en-CA"/>
        </w:rPr>
        <w:t>Program performance indicators include quantitative and qualitative information that provide a measure of how well a program is performing.  Some of the quantitative performance indicators have reference points or benchmarks which can be used to compare program performance data to a goal or standard.</w:t>
      </w:r>
    </w:p>
    <w:p w:rsidR="00D5053E" w:rsidRPr="00DA3EEC" w:rsidRDefault="00D5053E" w:rsidP="00D5053E">
      <w:pPr>
        <w:shd w:val="clear" w:color="auto" w:fill="FFFFFF"/>
        <w:spacing w:beforeAutospacing="1" w:after="0" w:afterAutospacing="1" w:line="240" w:lineRule="auto"/>
        <w:textAlignment w:val="baseline"/>
        <w:rPr>
          <w:rFonts w:ascii="Open Sans" w:eastAsia="Times New Roman" w:hAnsi="Open Sans" w:cs="Open Sans"/>
          <w:color w:val="444444"/>
          <w:sz w:val="18"/>
          <w:szCs w:val="18"/>
          <w:lang w:eastAsia="en-CA"/>
        </w:rPr>
      </w:pPr>
      <w:r w:rsidRPr="00DA3EEC">
        <w:rPr>
          <w:rFonts w:ascii="Open Sans" w:eastAsia="Times New Roman" w:hAnsi="Open Sans" w:cs="Open Sans"/>
          <w:color w:val="444444"/>
          <w:sz w:val="18"/>
          <w:szCs w:val="18"/>
          <w:lang w:eastAsia="en-CA"/>
        </w:rPr>
        <w:t>The Fleming Data Research website provides information about</w:t>
      </w:r>
      <w:r w:rsidRPr="00DA3EEC">
        <w:rPr>
          <w:rFonts w:ascii="Open Sans" w:eastAsia="Times New Roman" w:hAnsi="Open Sans" w:cs="Open Sans"/>
          <w:color w:val="444444"/>
          <w:sz w:val="18"/>
          <w:szCs w:val="18"/>
          <w:bdr w:val="none" w:sz="0" w:space="0" w:color="auto" w:frame="1"/>
          <w:lang w:eastAsia="en-CA"/>
        </w:rPr>
        <w:t> </w:t>
      </w:r>
      <w:hyperlink r:id="rId9" w:history="1">
        <w:r w:rsidRPr="00DA3EEC">
          <w:rPr>
            <w:rFonts w:ascii="Open Sans" w:eastAsia="Times New Roman" w:hAnsi="Open Sans" w:cs="Open Sans"/>
            <w:color w:val="00673F"/>
            <w:sz w:val="18"/>
            <w:szCs w:val="18"/>
            <w:u w:val="single"/>
            <w:bdr w:val="none" w:sz="0" w:space="0" w:color="auto" w:frame="1"/>
            <w:lang w:eastAsia="en-CA"/>
          </w:rPr>
          <w:t>Key Performance Indicators</w:t>
        </w:r>
      </w:hyperlink>
      <w:r w:rsidRPr="00DA3EEC">
        <w:rPr>
          <w:rFonts w:ascii="Open Sans" w:eastAsia="Times New Roman" w:hAnsi="Open Sans" w:cs="Open Sans"/>
          <w:color w:val="444444"/>
          <w:sz w:val="18"/>
          <w:szCs w:val="18"/>
          <w:bdr w:val="none" w:sz="0" w:space="0" w:color="auto" w:frame="1"/>
          <w:lang w:eastAsia="en-CA"/>
        </w:rPr>
        <w:t>.</w:t>
      </w:r>
      <w:r w:rsidRPr="00DA3EEC">
        <w:rPr>
          <w:rFonts w:ascii="Open Sans" w:eastAsia="Times New Roman" w:hAnsi="Open Sans" w:cs="Open Sans"/>
          <w:color w:val="444444"/>
          <w:sz w:val="18"/>
          <w:szCs w:val="18"/>
          <w:lang w:eastAsia="en-CA"/>
        </w:rPr>
        <w:t>  These reports provide information on graduate employment, graduate satisfaction, employer satisfaction and student satisfaction for all post-secondary programs at Fleming College.  Information is provided from surveys conducted by an external firm, Forum Research Inc. as well as data provided by our own institutional research department – Fleming Data Research.</w:t>
      </w:r>
    </w:p>
    <w:p w:rsidR="00D5053E" w:rsidRPr="00DA3EEC" w:rsidRDefault="00D5053E" w:rsidP="00D5053E">
      <w:pPr>
        <w:shd w:val="clear" w:color="auto" w:fill="FFFFFF"/>
        <w:spacing w:beforeAutospacing="1" w:after="0" w:afterAutospacing="1" w:line="240" w:lineRule="auto"/>
        <w:textAlignment w:val="baseline"/>
        <w:rPr>
          <w:rFonts w:ascii="Open Sans" w:eastAsia="Times New Roman" w:hAnsi="Open Sans" w:cs="Open Sans"/>
          <w:color w:val="444444"/>
          <w:sz w:val="18"/>
          <w:szCs w:val="18"/>
          <w:lang w:eastAsia="en-CA"/>
        </w:rPr>
      </w:pPr>
      <w:r w:rsidRPr="00DA3EEC">
        <w:rPr>
          <w:rFonts w:ascii="Open Sans" w:eastAsia="Times New Roman" w:hAnsi="Open Sans" w:cs="Open Sans"/>
          <w:color w:val="444444"/>
          <w:sz w:val="18"/>
          <w:szCs w:val="18"/>
          <w:lang w:eastAsia="en-CA"/>
        </w:rPr>
        <w:t>The indicators selected for</w:t>
      </w:r>
      <w:r w:rsidRPr="00DA3EEC">
        <w:rPr>
          <w:rFonts w:ascii="Open Sans" w:eastAsia="Times New Roman" w:hAnsi="Open Sans" w:cs="Open Sans"/>
          <w:color w:val="444444"/>
          <w:sz w:val="18"/>
          <w:szCs w:val="18"/>
          <w:bdr w:val="none" w:sz="0" w:space="0" w:color="auto" w:frame="1"/>
          <w:lang w:eastAsia="en-CA"/>
        </w:rPr>
        <w:t> </w:t>
      </w:r>
      <w:r w:rsidRPr="00DA3EEC">
        <w:rPr>
          <w:rFonts w:ascii="Open Sans" w:eastAsia="Times New Roman" w:hAnsi="Open Sans" w:cs="Open Sans"/>
          <w:b/>
          <w:bCs/>
          <w:color w:val="444444"/>
          <w:sz w:val="18"/>
          <w:szCs w:val="18"/>
          <w:bdr w:val="none" w:sz="0" w:space="0" w:color="auto" w:frame="1"/>
          <w:lang w:eastAsia="en-CA"/>
        </w:rPr>
        <w:t>Program and</w:t>
      </w:r>
      <w:r w:rsidRPr="00DA3EEC">
        <w:rPr>
          <w:rFonts w:ascii="Open Sans" w:eastAsia="Times New Roman" w:hAnsi="Open Sans" w:cs="Open Sans"/>
          <w:color w:val="444444"/>
          <w:sz w:val="18"/>
          <w:szCs w:val="18"/>
          <w:bdr w:val="none" w:sz="0" w:space="0" w:color="auto" w:frame="1"/>
          <w:lang w:eastAsia="en-CA"/>
        </w:rPr>
        <w:t> </w:t>
      </w:r>
      <w:r w:rsidRPr="00DA3EEC">
        <w:rPr>
          <w:rFonts w:ascii="Open Sans" w:eastAsia="Times New Roman" w:hAnsi="Open Sans" w:cs="Open Sans"/>
          <w:b/>
          <w:bCs/>
          <w:color w:val="444444"/>
          <w:sz w:val="18"/>
          <w:szCs w:val="18"/>
          <w:bdr w:val="none" w:sz="0" w:space="0" w:color="auto" w:frame="1"/>
          <w:lang w:eastAsia="en-CA"/>
        </w:rPr>
        <w:t>Curriculum Review </w:t>
      </w:r>
      <w:r w:rsidRPr="00DA3EEC">
        <w:rPr>
          <w:rFonts w:ascii="Open Sans" w:eastAsia="Times New Roman" w:hAnsi="Open Sans" w:cs="Open Sans"/>
          <w:color w:val="444444"/>
          <w:sz w:val="18"/>
          <w:szCs w:val="18"/>
          <w:lang w:eastAsia="en-CA"/>
        </w:rPr>
        <w:t>include a quick review of the following each year in the May/June period and more comprehensive analysis of patterns and trends by internal and external stakeholders, every five years.</w:t>
      </w:r>
    </w:p>
    <w:p w:rsidR="00D5053E" w:rsidRPr="00DA3EEC" w:rsidRDefault="00D5053E" w:rsidP="00D5053E">
      <w:pPr>
        <w:shd w:val="clear" w:color="auto" w:fill="FFFFFF"/>
        <w:spacing w:beforeAutospacing="1" w:after="0" w:afterAutospacing="1" w:line="240" w:lineRule="auto"/>
        <w:textAlignment w:val="baseline"/>
        <w:rPr>
          <w:rFonts w:ascii="Open Sans" w:eastAsia="Times New Roman" w:hAnsi="Open Sans" w:cs="Open Sans"/>
          <w:color w:val="444444"/>
          <w:sz w:val="18"/>
          <w:szCs w:val="18"/>
          <w:lang w:eastAsia="en-CA"/>
        </w:rPr>
      </w:pPr>
      <w:r w:rsidRPr="00DA3EEC">
        <w:rPr>
          <w:rFonts w:ascii="Open Sans" w:eastAsia="Times New Roman" w:hAnsi="Open Sans" w:cs="Open Sans"/>
          <w:b/>
          <w:bCs/>
          <w:color w:val="444444"/>
          <w:sz w:val="18"/>
          <w:szCs w:val="18"/>
          <w:bdr w:val="none" w:sz="0" w:space="0" w:color="auto" w:frame="1"/>
          <w:lang w:eastAsia="en-CA"/>
        </w:rPr>
        <w:t>Review, analyze and record </w:t>
      </w:r>
      <w:r w:rsidRPr="00DA3EEC">
        <w:rPr>
          <w:rFonts w:ascii="Open Sans" w:eastAsia="Times New Roman" w:hAnsi="Open Sans" w:cs="Open Sans"/>
          <w:b/>
          <w:bCs/>
          <w:color w:val="C0392B"/>
          <w:sz w:val="18"/>
          <w:szCs w:val="18"/>
          <w:bdr w:val="none" w:sz="0" w:space="0" w:color="auto" w:frame="1"/>
          <w:lang w:eastAsia="en-CA"/>
        </w:rPr>
        <w:t>brief comments</w:t>
      </w:r>
      <w:r w:rsidRPr="00DA3EEC">
        <w:rPr>
          <w:rFonts w:ascii="Open Sans" w:eastAsia="Times New Roman" w:hAnsi="Open Sans" w:cs="Open Sans"/>
          <w:b/>
          <w:bCs/>
          <w:color w:val="444444"/>
          <w:sz w:val="18"/>
          <w:szCs w:val="18"/>
          <w:bdr w:val="none" w:sz="0" w:space="0" w:color="auto" w:frame="1"/>
          <w:lang w:eastAsia="en-CA"/>
        </w:rPr>
        <w:t> in the space provided below on the formal Key Performance Indicator (KPI) results for your program.</w:t>
      </w:r>
    </w:p>
    <w:tbl>
      <w:tblPr>
        <w:tblW w:w="935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9350"/>
      </w:tblGrid>
      <w:tr w:rsidR="00D5053E" w:rsidRPr="00DA3EEC" w:rsidTr="00605E73">
        <w:tc>
          <w:tcPr>
            <w:tcW w:w="4215" w:type="dxa"/>
            <w:tcBorders>
              <w:top w:val="single" w:sz="6" w:space="0" w:color="EDEDED"/>
              <w:left w:val="nil"/>
              <w:bottom w:val="nil"/>
              <w:right w:val="nil"/>
            </w:tcBorders>
            <w:tcMar>
              <w:top w:w="90" w:type="dxa"/>
              <w:left w:w="0" w:type="dxa"/>
              <w:bottom w:w="90" w:type="dxa"/>
              <w:right w:w="150" w:type="dxa"/>
            </w:tcMar>
            <w:hideMark/>
          </w:tcPr>
          <w:p w:rsidR="00D5053E" w:rsidRPr="00DA3EEC" w:rsidRDefault="00D5053E" w:rsidP="00605E73">
            <w:pPr>
              <w:spacing w:beforeAutospacing="1" w:after="0" w:afterAutospacing="1" w:line="240" w:lineRule="auto"/>
              <w:textAlignment w:val="baseline"/>
              <w:outlineLvl w:val="2"/>
              <w:rPr>
                <w:rFonts w:ascii="Times New Roman" w:eastAsia="Times New Roman" w:hAnsi="Times New Roman" w:cs="Times New Roman"/>
                <w:color w:val="757575"/>
                <w:sz w:val="27"/>
                <w:szCs w:val="27"/>
                <w:lang w:eastAsia="en-CA"/>
              </w:rPr>
            </w:pPr>
            <w:r w:rsidRPr="00DA3EEC">
              <w:rPr>
                <w:rFonts w:ascii="Times New Roman" w:eastAsia="Times New Roman" w:hAnsi="Times New Roman" w:cs="Times New Roman"/>
                <w:b/>
                <w:bCs/>
                <w:color w:val="8E44AD"/>
                <w:sz w:val="24"/>
                <w:szCs w:val="24"/>
                <w:bdr w:val="none" w:sz="0" w:space="0" w:color="auto" w:frame="1"/>
                <w:lang w:eastAsia="en-CA"/>
              </w:rPr>
              <w:t>2.1 Student Satisfaction</w:t>
            </w:r>
          </w:p>
          <w:p w:rsidR="00D5053E" w:rsidRPr="00DA3EEC" w:rsidRDefault="00D5053E" w:rsidP="00D5053E">
            <w:pPr>
              <w:numPr>
                <w:ilvl w:val="0"/>
                <w:numId w:val="5"/>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In addition to the formal Student Satisfaction KPI results, comment upon any other formal or informal discussions with students and graduates such as class councils, class representatives, individuals or delegations, or debriefing sessions following a field placement, clinical placement, or practical work integrated learning experience.</w:t>
            </w:r>
          </w:p>
        </w:tc>
      </w:tr>
      <w:tr w:rsidR="00D5053E" w:rsidRPr="00DA3EEC" w:rsidTr="00605E73">
        <w:tc>
          <w:tcPr>
            <w:tcW w:w="4215" w:type="dxa"/>
            <w:tcBorders>
              <w:top w:val="single" w:sz="6" w:space="0" w:color="EDEDED"/>
              <w:left w:val="nil"/>
              <w:bottom w:val="nil"/>
              <w:right w:val="nil"/>
            </w:tcBorders>
            <w:tcMar>
              <w:top w:w="90" w:type="dxa"/>
              <w:left w:w="0" w:type="dxa"/>
              <w:bottom w:w="90" w:type="dxa"/>
              <w:right w:w="150" w:type="dxa"/>
            </w:tcMar>
            <w:hideMark/>
          </w:tcPr>
          <w:p w:rsidR="00D5053E" w:rsidRPr="00DA3EEC" w:rsidRDefault="00D5053E" w:rsidP="00605E73">
            <w:pPr>
              <w:spacing w:after="0" w:line="240" w:lineRule="auto"/>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b/>
                <w:bCs/>
                <w:i/>
                <w:iCs/>
                <w:color w:val="8E44AD"/>
                <w:sz w:val="18"/>
                <w:szCs w:val="18"/>
                <w:bdr w:val="none" w:sz="0" w:space="0" w:color="auto" w:frame="1"/>
                <w:lang w:eastAsia="en-CA"/>
              </w:rPr>
              <w:t>Please fill in your analysis of this KPI factor below:</w:t>
            </w:r>
          </w:p>
          <w:p w:rsidR="00D5053E" w:rsidRPr="00DA3EEC" w:rsidRDefault="00D5053E" w:rsidP="00D5053E">
            <w:pPr>
              <w:numPr>
                <w:ilvl w:val="0"/>
                <w:numId w:val="6"/>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From the focus group students would like to have more content on portfolio development to help them in career advancement.  </w:t>
            </w:r>
          </w:p>
          <w:p w:rsidR="00D5053E" w:rsidRPr="00DA3EEC" w:rsidRDefault="00D5053E" w:rsidP="00D5053E">
            <w:pPr>
              <w:numPr>
                <w:ilvl w:val="0"/>
                <w:numId w:val="6"/>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Students within the group felt that they needed an idea of how to better advocate for themselves and the idea of project management as a profession.  </w:t>
            </w:r>
          </w:p>
          <w:p w:rsidR="00D5053E" w:rsidRPr="00DA3EEC" w:rsidRDefault="00D5053E" w:rsidP="00D5053E">
            <w:pPr>
              <w:numPr>
                <w:ilvl w:val="0"/>
                <w:numId w:val="6"/>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As this is relatively new to the workplace students wish to be able better showcase their skill-set to potential employers.  </w:t>
            </w:r>
          </w:p>
          <w:p w:rsidR="00D5053E" w:rsidRPr="00DA3EEC" w:rsidRDefault="00D5053E" w:rsidP="00D5053E">
            <w:pPr>
              <w:numPr>
                <w:ilvl w:val="0"/>
                <w:numId w:val="6"/>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 xml:space="preserve">Students would like to have more access to job fairs perhaps more strategic in being geared towards companies more likely to need project management graduates. In </w:t>
            </w:r>
            <w:proofErr w:type="gramStart"/>
            <w:r w:rsidRPr="00DA3EEC">
              <w:rPr>
                <w:rFonts w:ascii="Times New Roman" w:eastAsia="Times New Roman" w:hAnsi="Times New Roman" w:cs="Times New Roman"/>
                <w:color w:val="757575"/>
                <w:sz w:val="18"/>
                <w:szCs w:val="18"/>
                <w:bdr w:val="none" w:sz="0" w:space="0" w:color="auto" w:frame="1"/>
                <w:lang w:eastAsia="en-CA"/>
              </w:rPr>
              <w:t>addition</w:t>
            </w:r>
            <w:proofErr w:type="gramEnd"/>
            <w:r w:rsidRPr="00DA3EEC">
              <w:rPr>
                <w:rFonts w:ascii="Times New Roman" w:eastAsia="Times New Roman" w:hAnsi="Times New Roman" w:cs="Times New Roman"/>
                <w:color w:val="757575"/>
                <w:sz w:val="18"/>
                <w:szCs w:val="18"/>
                <w:bdr w:val="none" w:sz="0" w:space="0" w:color="auto" w:frame="1"/>
                <w:lang w:eastAsia="en-CA"/>
              </w:rPr>
              <w:t xml:space="preserve"> students stated that they would like some more work and training on how to prepare for interviews.  </w:t>
            </w:r>
          </w:p>
          <w:p w:rsidR="00D5053E" w:rsidRPr="00DA3EEC" w:rsidRDefault="00D5053E" w:rsidP="00D5053E">
            <w:pPr>
              <w:numPr>
                <w:ilvl w:val="0"/>
                <w:numId w:val="6"/>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The focus group felt that a co-op option would be beneficial to create a link to industry.  </w:t>
            </w:r>
          </w:p>
          <w:p w:rsidR="00D5053E" w:rsidRPr="00DA3EEC" w:rsidRDefault="00D5053E" w:rsidP="00D5053E">
            <w:pPr>
              <w:numPr>
                <w:ilvl w:val="0"/>
                <w:numId w:val="6"/>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There was a feeling that a standardized test would help to ensure that all students were on the same page.  Perhaps this could be the CAPM and the cost should be included in tuition.  </w:t>
            </w:r>
          </w:p>
          <w:p w:rsidR="00D5053E" w:rsidRPr="00DA3EEC" w:rsidRDefault="00D5053E" w:rsidP="00D5053E">
            <w:pPr>
              <w:numPr>
                <w:ilvl w:val="0"/>
                <w:numId w:val="6"/>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 xml:space="preserve">When asked if a preparatory boot camp offered by the college to promote engagement in </w:t>
            </w:r>
            <w:proofErr w:type="spellStart"/>
            <w:r w:rsidRPr="00DA3EEC">
              <w:rPr>
                <w:rFonts w:ascii="Times New Roman" w:eastAsia="Times New Roman" w:hAnsi="Times New Roman" w:cs="Times New Roman"/>
                <w:color w:val="757575"/>
                <w:sz w:val="18"/>
                <w:szCs w:val="18"/>
                <w:bdr w:val="none" w:sz="0" w:space="0" w:color="auto" w:frame="1"/>
                <w:lang w:eastAsia="en-CA"/>
              </w:rPr>
              <w:t>english</w:t>
            </w:r>
            <w:proofErr w:type="spellEnd"/>
            <w:r w:rsidRPr="00DA3EEC">
              <w:rPr>
                <w:rFonts w:ascii="Times New Roman" w:eastAsia="Times New Roman" w:hAnsi="Times New Roman" w:cs="Times New Roman"/>
                <w:color w:val="757575"/>
                <w:sz w:val="18"/>
                <w:szCs w:val="18"/>
                <w:bdr w:val="none" w:sz="0" w:space="0" w:color="auto" w:frame="1"/>
                <w:lang w:eastAsia="en-CA"/>
              </w:rPr>
              <w:t xml:space="preserve"> language, Canadian culture, college expectations class work and field trips would be beneficial the focus group said “make it mandatory”.   </w:t>
            </w:r>
          </w:p>
          <w:p w:rsidR="00D5053E" w:rsidRDefault="00D5053E" w:rsidP="00605E73">
            <w:pPr>
              <w:spacing w:beforeAutospacing="1" w:after="0" w:afterAutospacing="1" w:line="240" w:lineRule="auto"/>
              <w:textAlignment w:val="baseline"/>
              <w:rPr>
                <w:rFonts w:ascii="Times New Roman" w:eastAsia="Times New Roman" w:hAnsi="Times New Roman" w:cs="Times New Roman"/>
                <w:b/>
                <w:bCs/>
                <w:i/>
                <w:iCs/>
                <w:color w:val="8E44AD"/>
                <w:sz w:val="18"/>
                <w:szCs w:val="18"/>
                <w:bdr w:val="none" w:sz="0" w:space="0" w:color="auto" w:frame="1"/>
                <w:lang w:eastAsia="en-CA"/>
              </w:rPr>
            </w:pPr>
            <w:r w:rsidRPr="00DA3EEC">
              <w:rPr>
                <w:rFonts w:ascii="Times New Roman" w:eastAsia="Times New Roman" w:hAnsi="Times New Roman" w:cs="Times New Roman"/>
                <w:b/>
                <w:bCs/>
                <w:i/>
                <w:iCs/>
                <w:color w:val="8E44AD"/>
                <w:sz w:val="18"/>
                <w:szCs w:val="18"/>
                <w:bdr w:val="none" w:sz="0" w:space="0" w:color="auto" w:frame="1"/>
                <w:lang w:eastAsia="en-CA"/>
              </w:rPr>
              <w:t>  </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p>
        </w:tc>
      </w:tr>
      <w:tr w:rsidR="00D5053E" w:rsidRPr="00DA3EEC" w:rsidTr="00605E73">
        <w:tc>
          <w:tcPr>
            <w:tcW w:w="4215" w:type="dxa"/>
            <w:tcBorders>
              <w:top w:val="single" w:sz="6" w:space="0" w:color="EDEDED"/>
              <w:left w:val="nil"/>
              <w:bottom w:val="nil"/>
              <w:right w:val="nil"/>
            </w:tcBorders>
            <w:tcMar>
              <w:top w:w="90" w:type="dxa"/>
              <w:left w:w="0" w:type="dxa"/>
              <w:bottom w:w="90" w:type="dxa"/>
              <w:right w:w="150" w:type="dxa"/>
            </w:tcMar>
            <w:hideMark/>
          </w:tcPr>
          <w:p w:rsidR="00D5053E" w:rsidRPr="00DA3EEC" w:rsidRDefault="00D5053E" w:rsidP="00605E73">
            <w:pPr>
              <w:spacing w:beforeAutospacing="1" w:after="0" w:afterAutospacing="1" w:line="240" w:lineRule="auto"/>
              <w:textAlignment w:val="baseline"/>
              <w:outlineLvl w:val="2"/>
              <w:rPr>
                <w:rFonts w:ascii="Times New Roman" w:eastAsia="Times New Roman" w:hAnsi="Times New Roman" w:cs="Times New Roman"/>
                <w:color w:val="757575"/>
                <w:sz w:val="27"/>
                <w:szCs w:val="27"/>
                <w:lang w:eastAsia="en-CA"/>
              </w:rPr>
            </w:pPr>
            <w:r w:rsidRPr="00DA3EEC">
              <w:rPr>
                <w:rFonts w:ascii="Times New Roman" w:eastAsia="Times New Roman" w:hAnsi="Times New Roman" w:cs="Times New Roman"/>
                <w:b/>
                <w:bCs/>
                <w:color w:val="8E44AD"/>
                <w:sz w:val="24"/>
                <w:szCs w:val="24"/>
                <w:bdr w:val="none" w:sz="0" w:space="0" w:color="auto" w:frame="1"/>
                <w:lang w:eastAsia="en-CA"/>
              </w:rPr>
              <w:lastRenderedPageBreak/>
              <w:t>2.2 Retention Rate</w:t>
            </w:r>
          </w:p>
          <w:p w:rsidR="00D5053E" w:rsidRPr="00DA3EEC" w:rsidRDefault="00D5053E" w:rsidP="00D5053E">
            <w:pPr>
              <w:numPr>
                <w:ilvl w:val="0"/>
                <w:numId w:val="7"/>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Use the </w:t>
            </w:r>
            <w:proofErr w:type="gramStart"/>
            <w:r w:rsidRPr="00DA3EEC">
              <w:rPr>
                <w:rFonts w:ascii="Times New Roman" w:eastAsia="Times New Roman" w:hAnsi="Times New Roman" w:cs="Times New Roman"/>
                <w:color w:val="757575"/>
                <w:sz w:val="18"/>
                <w:szCs w:val="18"/>
                <w:lang w:eastAsia="en-CA"/>
              </w:rPr>
              <w:t>IPP  (</w:t>
            </w:r>
            <w:proofErr w:type="gramEnd"/>
            <w:r w:rsidRPr="00DA3EEC">
              <w:rPr>
                <w:rFonts w:ascii="Times New Roman" w:eastAsia="Times New Roman" w:hAnsi="Times New Roman" w:cs="Times New Roman"/>
                <w:color w:val="757575"/>
                <w:sz w:val="18"/>
                <w:szCs w:val="18"/>
                <w:lang w:eastAsia="en-CA"/>
              </w:rPr>
              <w:t>Integrated Program Planning) data that focuses on Retention.</w:t>
            </w:r>
          </w:p>
          <w:p w:rsidR="00D5053E" w:rsidRPr="00DA3EEC" w:rsidRDefault="00D5053E" w:rsidP="00D5053E">
            <w:pPr>
              <w:numPr>
                <w:ilvl w:val="0"/>
                <w:numId w:val="7"/>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Review patterns of retention on a semester by semester basis as well as graduation rates over the last five years.</w:t>
            </w:r>
          </w:p>
          <w:p w:rsidR="00D5053E" w:rsidRPr="00DA3EEC" w:rsidRDefault="00D5053E" w:rsidP="00D5053E">
            <w:pPr>
              <w:numPr>
                <w:ilvl w:val="0"/>
                <w:numId w:val="7"/>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Comment on the effectiveness of any strategies adopted to improve student retention.</w:t>
            </w:r>
          </w:p>
        </w:tc>
      </w:tr>
      <w:tr w:rsidR="00D5053E" w:rsidRPr="00DA3EEC" w:rsidTr="00605E73">
        <w:tc>
          <w:tcPr>
            <w:tcW w:w="4215" w:type="dxa"/>
            <w:tcBorders>
              <w:top w:val="single" w:sz="6" w:space="0" w:color="EDEDED"/>
              <w:left w:val="nil"/>
              <w:bottom w:val="nil"/>
              <w:right w:val="nil"/>
            </w:tcBorders>
            <w:tcMar>
              <w:top w:w="90" w:type="dxa"/>
              <w:left w:w="0" w:type="dxa"/>
              <w:bottom w:w="90" w:type="dxa"/>
              <w:right w:w="150" w:type="dxa"/>
            </w:tcMar>
            <w:hideMark/>
          </w:tcPr>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b/>
                <w:bCs/>
                <w:i/>
                <w:iCs/>
                <w:color w:val="8E44AD"/>
                <w:sz w:val="18"/>
                <w:szCs w:val="18"/>
                <w:bdr w:val="none" w:sz="0" w:space="0" w:color="auto" w:frame="1"/>
                <w:lang w:eastAsia="en-CA"/>
              </w:rPr>
              <w:t>Please fill in your analysis of this KPI factor below:</w:t>
            </w:r>
          </w:p>
          <w:p w:rsidR="00D5053E" w:rsidRPr="00DA3EEC" w:rsidRDefault="00D5053E" w:rsidP="00605E73">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 </w:t>
            </w:r>
          </w:p>
          <w:tbl>
            <w:tblPr>
              <w:tblW w:w="9165" w:type="dxa"/>
              <w:tblBorders>
                <w:bottom w:val="single" w:sz="6" w:space="0" w:color="EDEDED"/>
              </w:tblBorders>
              <w:tblCellMar>
                <w:left w:w="0" w:type="dxa"/>
                <w:right w:w="0" w:type="dxa"/>
              </w:tblCellMar>
              <w:tblLook w:val="04A0" w:firstRow="1" w:lastRow="0" w:firstColumn="1" w:lastColumn="0" w:noHBand="0" w:noVBand="1"/>
            </w:tblPr>
            <w:tblGrid>
              <w:gridCol w:w="6163"/>
              <w:gridCol w:w="3002"/>
            </w:tblGrid>
            <w:tr w:rsidR="00D5053E" w:rsidRPr="00DA3EEC" w:rsidTr="00605E73">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DA3EEC" w:rsidRDefault="00D5053E" w:rsidP="00605E73">
                  <w:pPr>
                    <w:spacing w:after="0" w:line="240" w:lineRule="auto"/>
                    <w:rPr>
                      <w:rFonts w:ascii="Times New Roman" w:eastAsia="Times New Roman" w:hAnsi="Times New Roman" w:cs="Times New Roman"/>
                      <w:color w:val="757575"/>
                      <w:sz w:val="18"/>
                      <w:szCs w:val="18"/>
                      <w:lang w:eastAsia="en-CA"/>
                    </w:rPr>
                  </w:pP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DA3EEC" w:rsidRDefault="00D5053E" w:rsidP="00605E73">
                  <w:pPr>
                    <w:spacing w:after="0" w:line="480" w:lineRule="auto"/>
                    <w:rPr>
                      <w:rFonts w:ascii="Times New Roman" w:eastAsia="Times New Roman" w:hAnsi="Times New Roman" w:cs="Times New Roman"/>
                      <w:color w:val="757575"/>
                      <w:sz w:val="18"/>
                      <w:szCs w:val="18"/>
                      <w:lang w:eastAsia="en-CA"/>
                    </w:rPr>
                  </w:pPr>
                  <w:proofErr w:type="spellStart"/>
                  <w:r w:rsidRPr="00DA3EEC">
                    <w:rPr>
                      <w:rFonts w:ascii="Times New Roman" w:eastAsia="Times New Roman" w:hAnsi="Times New Roman" w:cs="Times New Roman"/>
                      <w:color w:val="757575"/>
                      <w:sz w:val="18"/>
                      <w:szCs w:val="18"/>
                      <w:bdr w:val="none" w:sz="0" w:space="0" w:color="auto" w:frame="1"/>
                      <w:lang w:eastAsia="en-CA"/>
                    </w:rPr>
                    <w:t>Sem</w:t>
                  </w:r>
                  <w:proofErr w:type="spellEnd"/>
                  <w:r w:rsidRPr="00DA3EEC">
                    <w:rPr>
                      <w:rFonts w:ascii="Times New Roman" w:eastAsia="Times New Roman" w:hAnsi="Times New Roman" w:cs="Times New Roman"/>
                      <w:color w:val="757575"/>
                      <w:sz w:val="18"/>
                      <w:szCs w:val="18"/>
                      <w:bdr w:val="none" w:sz="0" w:space="0" w:color="auto" w:frame="1"/>
                      <w:lang w:eastAsia="en-CA"/>
                    </w:rPr>
                    <w:t xml:space="preserve"> 1-2</w:t>
                  </w:r>
                </w:p>
              </w:tc>
            </w:tr>
            <w:tr w:rsidR="00D5053E" w:rsidRPr="00DA3EEC" w:rsidTr="00605E73">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DA3EEC" w:rsidRDefault="00D5053E" w:rsidP="00605E73">
                  <w:pPr>
                    <w:spacing w:after="0" w:line="480" w:lineRule="auto"/>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Fall 2012Win 2013</w:t>
                  </w: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DA3EEC" w:rsidRDefault="00D5053E" w:rsidP="00605E73">
                  <w:pPr>
                    <w:spacing w:after="0" w:line="480" w:lineRule="auto"/>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91%</w:t>
                  </w:r>
                </w:p>
              </w:tc>
            </w:tr>
            <w:tr w:rsidR="00D5053E" w:rsidRPr="00DA3EEC" w:rsidTr="00605E73">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Fall 2013Win 2014</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Sum 2014</w:t>
                  </w: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DA3EEC" w:rsidRDefault="00D5053E" w:rsidP="00605E73">
                  <w:pPr>
                    <w:spacing w:after="0" w:line="480" w:lineRule="auto"/>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97%</w:t>
                  </w:r>
                </w:p>
              </w:tc>
            </w:tr>
            <w:tr w:rsidR="00D5053E" w:rsidRPr="00DA3EEC" w:rsidTr="00605E73">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Fall 2014Win 2015</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Sum 2015</w:t>
                  </w: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DA3EEC" w:rsidRDefault="00D5053E" w:rsidP="00605E73">
                  <w:pPr>
                    <w:spacing w:after="0" w:line="480" w:lineRule="auto"/>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99%</w:t>
                  </w:r>
                </w:p>
              </w:tc>
            </w:tr>
            <w:tr w:rsidR="00D5053E" w:rsidRPr="00DA3EEC" w:rsidTr="00605E73">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DA3EEC" w:rsidRDefault="00D5053E" w:rsidP="00605E73">
                  <w:pPr>
                    <w:spacing w:after="0" w:line="480" w:lineRule="auto"/>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Fall 2015Win 2016</w:t>
                  </w:r>
                </w:p>
              </w:tc>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DA3EEC" w:rsidRDefault="00D5053E" w:rsidP="00605E73">
                  <w:pPr>
                    <w:spacing w:after="0" w:line="480" w:lineRule="auto"/>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98%</w:t>
                  </w:r>
                </w:p>
              </w:tc>
            </w:tr>
          </w:tbl>
          <w:p w:rsidR="00D5053E" w:rsidRPr="00DA3EEC" w:rsidRDefault="00D5053E" w:rsidP="00605E73">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 </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Overall, the retention rates in PM are very high.</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noProof/>
                <w:color w:val="00673F"/>
                <w:sz w:val="18"/>
                <w:szCs w:val="18"/>
                <w:bdr w:val="none" w:sz="0" w:space="0" w:color="auto" w:frame="1"/>
                <w:lang w:eastAsia="en-CA"/>
              </w:rPr>
              <w:drawing>
                <wp:inline distT="0" distB="0" distL="0" distR="0" wp14:anchorId="415059AB" wp14:editId="428CC1D9">
                  <wp:extent cx="2857500" cy="1466850"/>
                  <wp:effectExtent l="0" t="0" r="0" b="0"/>
                  <wp:docPr id="6" name="Picture 6" descr="https://department.flemingcollege.ca/pcr/attachment/10014/thumb/300x15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partment.flemingcollege.ca/pcr/attachment/10014/thumb/300x15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466850"/>
                          </a:xfrm>
                          <a:prstGeom prst="rect">
                            <a:avLst/>
                          </a:prstGeom>
                          <a:noFill/>
                          <a:ln>
                            <a:noFill/>
                          </a:ln>
                        </pic:spPr>
                      </pic:pic>
                    </a:graphicData>
                  </a:graphic>
                </wp:inline>
              </w:drawing>
            </w:r>
          </w:p>
        </w:tc>
      </w:tr>
      <w:tr w:rsidR="00D5053E" w:rsidRPr="00DA3EEC" w:rsidTr="00605E73">
        <w:tc>
          <w:tcPr>
            <w:tcW w:w="4215" w:type="dxa"/>
            <w:tcBorders>
              <w:top w:val="single" w:sz="6" w:space="0" w:color="EDEDED"/>
              <w:left w:val="nil"/>
              <w:bottom w:val="nil"/>
              <w:right w:val="nil"/>
            </w:tcBorders>
            <w:tcMar>
              <w:top w:w="90" w:type="dxa"/>
              <w:left w:w="0" w:type="dxa"/>
              <w:bottom w:w="90" w:type="dxa"/>
              <w:right w:w="150" w:type="dxa"/>
            </w:tcMar>
            <w:hideMark/>
          </w:tcPr>
          <w:p w:rsidR="00D5053E" w:rsidRPr="00DA3EEC" w:rsidRDefault="00D5053E" w:rsidP="00605E73">
            <w:pPr>
              <w:spacing w:beforeAutospacing="1" w:after="0" w:afterAutospacing="1" w:line="240" w:lineRule="auto"/>
              <w:textAlignment w:val="baseline"/>
              <w:outlineLvl w:val="2"/>
              <w:rPr>
                <w:rFonts w:ascii="Times New Roman" w:eastAsia="Times New Roman" w:hAnsi="Times New Roman" w:cs="Times New Roman"/>
                <w:color w:val="757575"/>
                <w:sz w:val="27"/>
                <w:szCs w:val="27"/>
                <w:lang w:eastAsia="en-CA"/>
              </w:rPr>
            </w:pPr>
            <w:r w:rsidRPr="00DA3EEC">
              <w:rPr>
                <w:rFonts w:ascii="Times New Roman" w:eastAsia="Times New Roman" w:hAnsi="Times New Roman" w:cs="Times New Roman"/>
                <w:b/>
                <w:bCs/>
                <w:color w:val="8E44AD"/>
                <w:sz w:val="24"/>
                <w:szCs w:val="24"/>
                <w:bdr w:val="none" w:sz="0" w:space="0" w:color="auto" w:frame="1"/>
                <w:lang w:eastAsia="en-CA"/>
              </w:rPr>
              <w:t>2.3 Graduation Rate</w:t>
            </w:r>
          </w:p>
          <w:p w:rsidR="00D5053E" w:rsidRPr="00DA3EEC" w:rsidRDefault="00D5053E" w:rsidP="00D5053E">
            <w:pPr>
              <w:numPr>
                <w:ilvl w:val="0"/>
                <w:numId w:val="8"/>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Review patterns of graduation rates on a semester by semester basis over the last five years.</w:t>
            </w:r>
          </w:p>
        </w:tc>
      </w:tr>
      <w:tr w:rsidR="00D5053E" w:rsidRPr="00DA3EEC" w:rsidTr="00605E73">
        <w:tc>
          <w:tcPr>
            <w:tcW w:w="4215" w:type="dxa"/>
            <w:tcBorders>
              <w:top w:val="single" w:sz="6" w:space="0" w:color="EDEDED"/>
              <w:left w:val="nil"/>
              <w:bottom w:val="nil"/>
              <w:right w:val="nil"/>
            </w:tcBorders>
            <w:tcMar>
              <w:top w:w="90" w:type="dxa"/>
              <w:left w:w="0" w:type="dxa"/>
              <w:bottom w:w="90" w:type="dxa"/>
              <w:right w:w="150" w:type="dxa"/>
            </w:tcMar>
            <w:hideMark/>
          </w:tcPr>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b/>
                <w:bCs/>
                <w:i/>
                <w:iCs/>
                <w:color w:val="8E44AD"/>
                <w:sz w:val="18"/>
                <w:szCs w:val="18"/>
                <w:bdr w:val="none" w:sz="0" w:space="0" w:color="auto" w:frame="1"/>
                <w:lang w:eastAsia="en-CA"/>
              </w:rPr>
              <w:t xml:space="preserve">Please fill in your analysis </w:t>
            </w:r>
            <w:proofErr w:type="gramStart"/>
            <w:r w:rsidRPr="00DA3EEC">
              <w:rPr>
                <w:rFonts w:ascii="Times New Roman" w:eastAsia="Times New Roman" w:hAnsi="Times New Roman" w:cs="Times New Roman"/>
                <w:b/>
                <w:bCs/>
                <w:i/>
                <w:iCs/>
                <w:color w:val="8E44AD"/>
                <w:sz w:val="18"/>
                <w:szCs w:val="18"/>
                <w:bdr w:val="none" w:sz="0" w:space="0" w:color="auto" w:frame="1"/>
                <w:lang w:eastAsia="en-CA"/>
              </w:rPr>
              <w:t>of  this</w:t>
            </w:r>
            <w:proofErr w:type="gramEnd"/>
            <w:r w:rsidRPr="00DA3EEC">
              <w:rPr>
                <w:rFonts w:ascii="Times New Roman" w:eastAsia="Times New Roman" w:hAnsi="Times New Roman" w:cs="Times New Roman"/>
                <w:b/>
                <w:bCs/>
                <w:i/>
                <w:iCs/>
                <w:color w:val="8E44AD"/>
                <w:sz w:val="18"/>
                <w:szCs w:val="18"/>
                <w:bdr w:val="none" w:sz="0" w:space="0" w:color="auto" w:frame="1"/>
                <w:lang w:eastAsia="en-CA"/>
              </w:rPr>
              <w:t xml:space="preserve"> KPI factor below:</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noProof/>
                <w:color w:val="00673F"/>
                <w:sz w:val="18"/>
                <w:szCs w:val="18"/>
                <w:bdr w:val="none" w:sz="0" w:space="0" w:color="auto" w:frame="1"/>
                <w:lang w:eastAsia="en-CA"/>
              </w:rPr>
              <w:lastRenderedPageBreak/>
              <w:drawing>
                <wp:inline distT="0" distB="0" distL="0" distR="0" wp14:anchorId="2CF57BAC" wp14:editId="60964728">
                  <wp:extent cx="2857500" cy="466725"/>
                  <wp:effectExtent l="0" t="0" r="0" b="9525"/>
                  <wp:docPr id="5" name="Picture 5" descr="https://department.flemingcollege.ca/pcr/attachment/10015/thumb/300x4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partment.flemingcollege.ca/pcr/attachment/10015/thumb/300x49">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466725"/>
                          </a:xfrm>
                          <a:prstGeom prst="rect">
                            <a:avLst/>
                          </a:prstGeom>
                          <a:noFill/>
                          <a:ln>
                            <a:noFill/>
                          </a:ln>
                        </pic:spPr>
                      </pic:pic>
                    </a:graphicData>
                  </a:graphic>
                </wp:inline>
              </w:drawing>
            </w:r>
            <w:r w:rsidRPr="00DA3EEC">
              <w:rPr>
                <w:rFonts w:ascii="Times New Roman" w:eastAsia="Times New Roman" w:hAnsi="Times New Roman" w:cs="Times New Roman"/>
                <w:color w:val="757575"/>
                <w:sz w:val="18"/>
                <w:szCs w:val="18"/>
                <w:lang w:eastAsia="en-CA"/>
              </w:rPr>
              <w:br/>
            </w:r>
            <w:r w:rsidRPr="00DA3EEC">
              <w:rPr>
                <w:rFonts w:ascii="Times New Roman" w:eastAsia="Times New Roman" w:hAnsi="Times New Roman" w:cs="Times New Roman"/>
                <w:b/>
                <w:bCs/>
                <w:i/>
                <w:iCs/>
                <w:color w:val="8E44AD"/>
                <w:sz w:val="18"/>
                <w:szCs w:val="18"/>
                <w:bdr w:val="none" w:sz="0" w:space="0" w:color="auto" w:frame="1"/>
                <w:lang w:eastAsia="en-CA"/>
              </w:rPr>
              <w:t> </w:t>
            </w:r>
          </w:p>
        </w:tc>
      </w:tr>
      <w:tr w:rsidR="00D5053E" w:rsidRPr="00DA3EEC" w:rsidTr="00605E73">
        <w:tc>
          <w:tcPr>
            <w:tcW w:w="4215" w:type="dxa"/>
            <w:tcBorders>
              <w:top w:val="single" w:sz="6" w:space="0" w:color="EDEDED"/>
              <w:left w:val="nil"/>
              <w:bottom w:val="nil"/>
              <w:right w:val="nil"/>
            </w:tcBorders>
            <w:tcMar>
              <w:top w:w="90" w:type="dxa"/>
              <w:left w:w="0" w:type="dxa"/>
              <w:bottom w:w="90" w:type="dxa"/>
              <w:right w:w="150" w:type="dxa"/>
            </w:tcMar>
            <w:hideMark/>
          </w:tcPr>
          <w:p w:rsidR="00D5053E" w:rsidRPr="00DA3EEC" w:rsidRDefault="00D5053E" w:rsidP="00605E73">
            <w:pPr>
              <w:spacing w:beforeAutospacing="1" w:after="0" w:afterAutospacing="1" w:line="240" w:lineRule="auto"/>
              <w:textAlignment w:val="baseline"/>
              <w:outlineLvl w:val="2"/>
              <w:rPr>
                <w:rFonts w:ascii="Times New Roman" w:eastAsia="Times New Roman" w:hAnsi="Times New Roman" w:cs="Times New Roman"/>
                <w:color w:val="757575"/>
                <w:sz w:val="27"/>
                <w:szCs w:val="27"/>
                <w:lang w:eastAsia="en-CA"/>
              </w:rPr>
            </w:pPr>
            <w:r w:rsidRPr="00DA3EEC">
              <w:rPr>
                <w:rFonts w:ascii="Times New Roman" w:eastAsia="Times New Roman" w:hAnsi="Times New Roman" w:cs="Times New Roman"/>
                <w:b/>
                <w:bCs/>
                <w:color w:val="8E44AD"/>
                <w:sz w:val="24"/>
                <w:szCs w:val="24"/>
                <w:bdr w:val="none" w:sz="0" w:space="0" w:color="auto" w:frame="1"/>
                <w:lang w:eastAsia="en-CA"/>
              </w:rPr>
              <w:lastRenderedPageBreak/>
              <w:t>2.4 Graduate Satisfaction</w:t>
            </w:r>
          </w:p>
          <w:p w:rsidR="00D5053E" w:rsidRPr="00DA3EEC" w:rsidRDefault="00D5053E" w:rsidP="00D5053E">
            <w:pPr>
              <w:numPr>
                <w:ilvl w:val="0"/>
                <w:numId w:val="9"/>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Review patterns of graduation satisfaction and provide content.</w:t>
            </w:r>
          </w:p>
        </w:tc>
      </w:tr>
      <w:tr w:rsidR="00D5053E" w:rsidRPr="00DA3EEC" w:rsidTr="00605E73">
        <w:tc>
          <w:tcPr>
            <w:tcW w:w="4215" w:type="dxa"/>
            <w:tcBorders>
              <w:top w:val="single" w:sz="6" w:space="0" w:color="EDEDED"/>
              <w:left w:val="nil"/>
              <w:bottom w:val="nil"/>
              <w:right w:val="nil"/>
            </w:tcBorders>
            <w:tcMar>
              <w:top w:w="90" w:type="dxa"/>
              <w:left w:w="0" w:type="dxa"/>
              <w:bottom w:w="90" w:type="dxa"/>
              <w:right w:w="150" w:type="dxa"/>
            </w:tcMar>
            <w:hideMark/>
          </w:tcPr>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b/>
                <w:bCs/>
                <w:i/>
                <w:iCs/>
                <w:color w:val="8E44AD"/>
                <w:sz w:val="18"/>
                <w:szCs w:val="18"/>
                <w:bdr w:val="none" w:sz="0" w:space="0" w:color="auto" w:frame="1"/>
                <w:lang w:eastAsia="en-CA"/>
              </w:rPr>
              <w:t>Please fill in your analysis of this KPI factor below:</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Generic &amp; Vocational Learning outcomes = 86%</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 xml:space="preserve">Learning experiences </w:t>
            </w:r>
            <w:proofErr w:type="gramStart"/>
            <w:r w:rsidRPr="00DA3EEC">
              <w:rPr>
                <w:rFonts w:ascii="Times New Roman" w:eastAsia="Times New Roman" w:hAnsi="Times New Roman" w:cs="Times New Roman"/>
                <w:color w:val="757575"/>
                <w:sz w:val="18"/>
                <w:szCs w:val="18"/>
                <w:bdr w:val="none" w:sz="0" w:space="0" w:color="auto" w:frame="1"/>
                <w:lang w:eastAsia="en-CA"/>
              </w:rPr>
              <w:t>=  84</w:t>
            </w:r>
            <w:proofErr w:type="gramEnd"/>
            <w:r w:rsidRPr="00DA3EEC">
              <w:rPr>
                <w:rFonts w:ascii="Times New Roman" w:eastAsia="Times New Roman" w:hAnsi="Times New Roman" w:cs="Times New Roman"/>
                <w:color w:val="757575"/>
                <w:sz w:val="18"/>
                <w:szCs w:val="18"/>
                <w:bdr w:val="none" w:sz="0" w:space="0" w:color="auto" w:frame="1"/>
                <w:lang w:eastAsia="en-CA"/>
              </w:rPr>
              <w:t>%</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Teachers = 89%</w:t>
            </w:r>
          </w:p>
          <w:p w:rsidR="00D5053E" w:rsidRPr="00DA3EEC" w:rsidRDefault="00D5053E" w:rsidP="00605E73">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 </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Overall satisfaction with the program is 65% which is low compared to the college average of 83%.</w:t>
            </w:r>
          </w:p>
          <w:p w:rsidR="00D5053E" w:rsidRPr="00DA3EEC" w:rsidRDefault="00D5053E" w:rsidP="00605E73">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 </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b/>
                <w:bCs/>
                <w:color w:val="757575"/>
                <w:sz w:val="18"/>
                <w:szCs w:val="18"/>
                <w:bdr w:val="none" w:sz="0" w:space="0" w:color="auto" w:frame="1"/>
                <w:lang w:eastAsia="en-CA"/>
              </w:rPr>
              <w:t>Please note that these numbers are based on domestic students only and do not fully represent the entire student population.</w:t>
            </w:r>
          </w:p>
        </w:tc>
      </w:tr>
      <w:tr w:rsidR="00D5053E" w:rsidRPr="00DA3EEC" w:rsidTr="00605E73">
        <w:tc>
          <w:tcPr>
            <w:tcW w:w="4215" w:type="dxa"/>
            <w:tcBorders>
              <w:top w:val="single" w:sz="6" w:space="0" w:color="EDEDED"/>
              <w:left w:val="nil"/>
              <w:bottom w:val="nil"/>
              <w:right w:val="nil"/>
            </w:tcBorders>
            <w:tcMar>
              <w:top w:w="90" w:type="dxa"/>
              <w:left w:w="0" w:type="dxa"/>
              <w:bottom w:w="90" w:type="dxa"/>
              <w:right w:w="150" w:type="dxa"/>
            </w:tcMar>
            <w:hideMark/>
          </w:tcPr>
          <w:p w:rsidR="00D5053E" w:rsidRPr="00DA3EEC" w:rsidRDefault="00D5053E" w:rsidP="00605E73">
            <w:pPr>
              <w:spacing w:beforeAutospacing="1" w:after="0" w:afterAutospacing="1" w:line="240" w:lineRule="auto"/>
              <w:textAlignment w:val="baseline"/>
              <w:outlineLvl w:val="2"/>
              <w:rPr>
                <w:rFonts w:ascii="Times New Roman" w:eastAsia="Times New Roman" w:hAnsi="Times New Roman" w:cs="Times New Roman"/>
                <w:color w:val="757575"/>
                <w:sz w:val="27"/>
                <w:szCs w:val="27"/>
                <w:lang w:eastAsia="en-CA"/>
              </w:rPr>
            </w:pPr>
            <w:r w:rsidRPr="00DA3EEC">
              <w:rPr>
                <w:rFonts w:ascii="Times New Roman" w:eastAsia="Times New Roman" w:hAnsi="Times New Roman" w:cs="Times New Roman"/>
                <w:color w:val="8E44AD"/>
                <w:sz w:val="24"/>
                <w:szCs w:val="24"/>
                <w:bdr w:val="none" w:sz="0" w:space="0" w:color="auto" w:frame="1"/>
                <w:lang w:eastAsia="en-CA"/>
              </w:rPr>
              <w:t>2.5 Enrolment Trends and Demand</w:t>
            </w:r>
          </w:p>
          <w:p w:rsidR="00D5053E" w:rsidRPr="00DA3EEC" w:rsidRDefault="00D5053E" w:rsidP="00D5053E">
            <w:pPr>
              <w:numPr>
                <w:ilvl w:val="0"/>
                <w:numId w:val="10"/>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 xml:space="preserve">Your team will review and analyze the patterns in the number of program </w:t>
            </w:r>
            <w:proofErr w:type="gramStart"/>
            <w:r w:rsidRPr="00DA3EEC">
              <w:rPr>
                <w:rFonts w:ascii="Times New Roman" w:eastAsia="Times New Roman" w:hAnsi="Times New Roman" w:cs="Times New Roman"/>
                <w:color w:val="757575"/>
                <w:sz w:val="18"/>
                <w:szCs w:val="18"/>
                <w:lang w:eastAsia="en-CA"/>
              </w:rPr>
              <w:t>applicants,  confirmations</w:t>
            </w:r>
            <w:proofErr w:type="gramEnd"/>
            <w:r w:rsidRPr="00DA3EEC">
              <w:rPr>
                <w:rFonts w:ascii="Times New Roman" w:eastAsia="Times New Roman" w:hAnsi="Times New Roman" w:cs="Times New Roman"/>
                <w:color w:val="757575"/>
                <w:sz w:val="18"/>
                <w:szCs w:val="18"/>
                <w:lang w:eastAsia="en-CA"/>
              </w:rPr>
              <w:t xml:space="preserve"> and actual registrants over the past 5 years. You will also examine changes, if any, in the student demographic profile and the impact, if any, of this changing student profile on program curriculum.</w:t>
            </w:r>
          </w:p>
          <w:p w:rsidR="00D5053E" w:rsidRPr="00DA3EEC" w:rsidRDefault="00D5053E" w:rsidP="00D5053E">
            <w:pPr>
              <w:numPr>
                <w:ilvl w:val="0"/>
                <w:numId w:val="10"/>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Assess whether the program curriculum needs to change based on the above analysis.</w:t>
            </w:r>
          </w:p>
          <w:p w:rsidR="00D5053E" w:rsidRPr="00DA3EEC" w:rsidRDefault="00D5053E" w:rsidP="00D5053E">
            <w:pPr>
              <w:numPr>
                <w:ilvl w:val="0"/>
                <w:numId w:val="10"/>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Below is an excel table that provides Day 10 enrolment numbers for Fleming for the last 10 years, use this information to assist you with your analysis.</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hyperlink r:id="rId14" w:tgtFrame="_blank" w:history="1">
              <w:r w:rsidRPr="00DA3EEC">
                <w:rPr>
                  <w:rFonts w:ascii="Times New Roman" w:eastAsia="Times New Roman" w:hAnsi="Times New Roman" w:cs="Times New Roman"/>
                  <w:color w:val="2980B9"/>
                  <w:sz w:val="18"/>
                  <w:szCs w:val="18"/>
                  <w:u w:val="single"/>
                  <w:bdr w:val="none" w:sz="0" w:space="0" w:color="auto" w:frame="1"/>
                  <w:lang w:eastAsia="en-CA"/>
                </w:rPr>
                <w:t>Enrolment Trends</w:t>
              </w:r>
            </w:hyperlink>
            <w:r w:rsidRPr="00DA3EEC">
              <w:rPr>
                <w:rFonts w:ascii="Times New Roman" w:eastAsia="Times New Roman" w:hAnsi="Times New Roman" w:cs="Times New Roman"/>
                <w:color w:val="2980B9"/>
                <w:sz w:val="18"/>
                <w:szCs w:val="18"/>
                <w:bdr w:val="none" w:sz="0" w:space="0" w:color="auto" w:frame="1"/>
                <w:lang w:eastAsia="en-CA"/>
              </w:rPr>
              <w:t> </w:t>
            </w:r>
            <w:r w:rsidRPr="00DA3EEC">
              <w:rPr>
                <w:rFonts w:ascii="Times New Roman" w:eastAsia="Times New Roman" w:hAnsi="Times New Roman" w:cs="Times New Roman"/>
                <w:color w:val="7F8C8D"/>
                <w:sz w:val="18"/>
                <w:szCs w:val="18"/>
                <w:bdr w:val="none" w:sz="0" w:space="0" w:color="auto" w:frame="1"/>
                <w:lang w:eastAsia="en-CA"/>
              </w:rPr>
              <w:t>page with table.</w:t>
            </w:r>
          </w:p>
          <w:p w:rsidR="00D5053E" w:rsidRPr="00DA3EEC" w:rsidRDefault="00D5053E" w:rsidP="00D5053E">
            <w:pPr>
              <w:numPr>
                <w:ilvl w:val="0"/>
                <w:numId w:val="11"/>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lang w:eastAsia="en-CA"/>
              </w:rPr>
              <w:t>Please review the IPP  (Integrated Program Planning) data that focuses on trends related to student demand, and the related ‘Situational Analysis’ information included for your program – the  Demand Trending Tab &amp; Situational Analysis Tabs.</w:t>
            </w:r>
          </w:p>
        </w:tc>
      </w:tr>
      <w:tr w:rsidR="00D5053E" w:rsidRPr="00DA3EEC" w:rsidTr="00605E73">
        <w:tc>
          <w:tcPr>
            <w:tcW w:w="4215" w:type="dxa"/>
            <w:tcBorders>
              <w:top w:val="single" w:sz="6" w:space="0" w:color="EDEDED"/>
              <w:left w:val="nil"/>
              <w:bottom w:val="nil"/>
              <w:right w:val="nil"/>
            </w:tcBorders>
            <w:tcMar>
              <w:top w:w="90" w:type="dxa"/>
              <w:left w:w="0" w:type="dxa"/>
              <w:bottom w:w="90" w:type="dxa"/>
              <w:right w:w="150" w:type="dxa"/>
            </w:tcMar>
            <w:hideMark/>
          </w:tcPr>
          <w:p w:rsidR="00D5053E" w:rsidRPr="00DA3EEC" w:rsidRDefault="00D5053E" w:rsidP="00605E73">
            <w:pPr>
              <w:spacing w:after="0" w:line="240" w:lineRule="auto"/>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b/>
                <w:bCs/>
                <w:color w:val="8E44AD"/>
                <w:sz w:val="18"/>
                <w:szCs w:val="18"/>
                <w:bdr w:val="none" w:sz="0" w:space="0" w:color="auto" w:frame="1"/>
                <w:lang w:eastAsia="en-CA"/>
              </w:rPr>
              <w:t> </w:t>
            </w:r>
            <w:r w:rsidRPr="00DA3EEC">
              <w:rPr>
                <w:rFonts w:ascii="Times New Roman" w:eastAsia="Times New Roman" w:hAnsi="Times New Roman" w:cs="Times New Roman"/>
                <w:b/>
                <w:bCs/>
                <w:i/>
                <w:iCs/>
                <w:color w:val="8E44AD"/>
                <w:sz w:val="18"/>
                <w:szCs w:val="18"/>
                <w:bdr w:val="none" w:sz="0" w:space="0" w:color="auto" w:frame="1"/>
                <w:lang w:eastAsia="en-CA"/>
              </w:rPr>
              <w:t>Please fill in your analysis of enrolment trends and demand for your program below:</w:t>
            </w:r>
          </w:p>
          <w:p w:rsidR="00D5053E" w:rsidRPr="00DA3EEC" w:rsidRDefault="00D5053E" w:rsidP="00D5053E">
            <w:pPr>
              <w:numPr>
                <w:ilvl w:val="0"/>
                <w:numId w:val="12"/>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Since the last review three years ago, the enrollment rate in the Project Management program has doubled with the majority of students enrolled from India.  </w:t>
            </w:r>
          </w:p>
          <w:p w:rsidR="00D5053E" w:rsidRPr="00DA3EEC" w:rsidRDefault="00D5053E" w:rsidP="00D5053E">
            <w:pPr>
              <w:numPr>
                <w:ilvl w:val="0"/>
                <w:numId w:val="12"/>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This large intake of student numbers necessitates assessing the delivery approach and the viability of applied projects.  </w:t>
            </w:r>
          </w:p>
          <w:p w:rsidR="00D5053E" w:rsidRPr="00DA3EEC" w:rsidRDefault="00D5053E" w:rsidP="00D5053E">
            <w:pPr>
              <w:numPr>
                <w:ilvl w:val="0"/>
                <w:numId w:val="12"/>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One recommendation is to pilot a BYOD (bring your own device) online simulation.</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noProof/>
                <w:color w:val="00673F"/>
                <w:sz w:val="18"/>
                <w:szCs w:val="18"/>
                <w:bdr w:val="none" w:sz="0" w:space="0" w:color="auto" w:frame="1"/>
                <w:lang w:eastAsia="en-CA"/>
              </w:rPr>
              <w:lastRenderedPageBreak/>
              <w:drawing>
                <wp:inline distT="0" distB="0" distL="0" distR="0" wp14:anchorId="0034A2ED" wp14:editId="7E5B05F5">
                  <wp:extent cx="2857500" cy="1457325"/>
                  <wp:effectExtent l="0" t="0" r="0" b="9525"/>
                  <wp:docPr id="4" name="Picture 4" descr="https://department.flemingcollege.ca/pcr/attachment/10016/thumb/300x15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epartment.flemingcollege.ca/pcr/attachment/10016/thumb/300x15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457325"/>
                          </a:xfrm>
                          <a:prstGeom prst="rect">
                            <a:avLst/>
                          </a:prstGeom>
                          <a:noFill/>
                          <a:ln>
                            <a:noFill/>
                          </a:ln>
                        </pic:spPr>
                      </pic:pic>
                    </a:graphicData>
                  </a:graphic>
                </wp:inline>
              </w:drawing>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Applications have increased steadily with a marked increase from 2015-17.</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noProof/>
                <w:color w:val="00673F"/>
                <w:sz w:val="18"/>
                <w:szCs w:val="18"/>
                <w:bdr w:val="none" w:sz="0" w:space="0" w:color="auto" w:frame="1"/>
                <w:lang w:eastAsia="en-CA"/>
              </w:rPr>
              <w:drawing>
                <wp:inline distT="0" distB="0" distL="0" distR="0" wp14:anchorId="05007A20" wp14:editId="7E59D1B2">
                  <wp:extent cx="2857500" cy="1476375"/>
                  <wp:effectExtent l="0" t="0" r="0" b="9525"/>
                  <wp:docPr id="3" name="Picture 3" descr="https://department.flemingcollege.ca/pcr/attachment/10017/thumb/300x15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partment.flemingcollege.ca/pcr/attachment/10017/thumb/300x15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476375"/>
                          </a:xfrm>
                          <a:prstGeom prst="rect">
                            <a:avLst/>
                          </a:prstGeom>
                          <a:noFill/>
                          <a:ln>
                            <a:noFill/>
                          </a:ln>
                        </pic:spPr>
                      </pic:pic>
                    </a:graphicData>
                  </a:graphic>
                </wp:inline>
              </w:drawing>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Registrations have increased since the program began in 2012/13 with a slight drop from 2015-16.</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noProof/>
                <w:color w:val="00673F"/>
                <w:sz w:val="18"/>
                <w:szCs w:val="18"/>
                <w:bdr w:val="none" w:sz="0" w:space="0" w:color="auto" w:frame="1"/>
                <w:lang w:eastAsia="en-CA"/>
              </w:rPr>
              <w:drawing>
                <wp:inline distT="0" distB="0" distL="0" distR="0" wp14:anchorId="56CEA315" wp14:editId="50533B90">
                  <wp:extent cx="2543175" cy="2857500"/>
                  <wp:effectExtent l="0" t="0" r="9525" b="0"/>
                  <wp:docPr id="2" name="Picture 2" descr="https://department.flemingcollege.ca/pcr/attachment/10018/thumb/267x30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epartment.flemingcollege.ca/pcr/attachment/10018/thumb/267x300">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3175" cy="2857500"/>
                          </a:xfrm>
                          <a:prstGeom prst="rect">
                            <a:avLst/>
                          </a:prstGeom>
                          <a:noFill/>
                          <a:ln>
                            <a:noFill/>
                          </a:ln>
                        </pic:spPr>
                      </pic:pic>
                    </a:graphicData>
                  </a:graphic>
                </wp:inline>
              </w:drawing>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color w:val="757575"/>
                <w:sz w:val="18"/>
                <w:szCs w:val="18"/>
                <w:bdr w:val="none" w:sz="0" w:space="0" w:color="auto" w:frame="1"/>
                <w:lang w:eastAsia="en-CA"/>
              </w:rPr>
              <w:t>While registrations increased from 2014-15, they dropped from 86 to 75 from 2015-16.  The net income and CTO also experienced a decrease in fiscal 2016.</w:t>
            </w:r>
          </w:p>
          <w:p w:rsidR="00D5053E" w:rsidRPr="00DA3EEC" w:rsidRDefault="00D5053E" w:rsidP="00605E73">
            <w:p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DA3EEC">
              <w:rPr>
                <w:rFonts w:ascii="Times New Roman" w:eastAsia="Times New Roman" w:hAnsi="Times New Roman" w:cs="Times New Roman"/>
                <w:noProof/>
                <w:color w:val="00673F"/>
                <w:sz w:val="18"/>
                <w:szCs w:val="18"/>
                <w:bdr w:val="none" w:sz="0" w:space="0" w:color="auto" w:frame="1"/>
                <w:lang w:eastAsia="en-CA"/>
              </w:rPr>
              <w:lastRenderedPageBreak/>
              <w:drawing>
                <wp:inline distT="0" distB="0" distL="0" distR="0" wp14:anchorId="2420E279" wp14:editId="1C9D09A9">
                  <wp:extent cx="2857500" cy="1819275"/>
                  <wp:effectExtent l="0" t="0" r="0" b="9525"/>
                  <wp:docPr id="1" name="Picture 1" descr="https://department.flemingcollege.ca/pcr/attachment/10019/thumb/300x19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epartment.flemingcollege.ca/pcr/attachment/10019/thumb/300x191">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819275"/>
                          </a:xfrm>
                          <a:prstGeom prst="rect">
                            <a:avLst/>
                          </a:prstGeom>
                          <a:noFill/>
                          <a:ln>
                            <a:noFill/>
                          </a:ln>
                        </pic:spPr>
                      </pic:pic>
                    </a:graphicData>
                  </a:graphic>
                </wp:inline>
              </w:drawing>
            </w:r>
          </w:p>
        </w:tc>
      </w:tr>
    </w:tbl>
    <w:p w:rsidR="00D5053E" w:rsidRDefault="00D5053E" w:rsidP="00D5053E"/>
    <w:p w:rsidR="00D5053E" w:rsidRDefault="00D5053E" w:rsidP="00D5053E">
      <w:pPr>
        <w:spacing w:after="0" w:line="240" w:lineRule="auto"/>
        <w:textAlignment w:val="baseline"/>
        <w:outlineLvl w:val="0"/>
        <w:rPr>
          <w:rFonts w:ascii="Times New Roman" w:eastAsia="Times New Roman" w:hAnsi="Times New Roman" w:cs="Times New Roman"/>
          <w:kern w:val="36"/>
          <w:sz w:val="48"/>
          <w:szCs w:val="48"/>
          <w:lang w:eastAsia="en-CA"/>
        </w:rPr>
      </w:pPr>
    </w:p>
    <w:p w:rsidR="00D5053E" w:rsidRDefault="00D5053E" w:rsidP="00D5053E">
      <w:pPr>
        <w:spacing w:after="0" w:line="240" w:lineRule="auto"/>
        <w:textAlignment w:val="baseline"/>
        <w:outlineLvl w:val="0"/>
        <w:rPr>
          <w:rFonts w:ascii="Times New Roman" w:eastAsia="Times New Roman" w:hAnsi="Times New Roman" w:cs="Times New Roman"/>
          <w:kern w:val="36"/>
          <w:sz w:val="48"/>
          <w:szCs w:val="48"/>
          <w:lang w:eastAsia="en-CA"/>
        </w:rPr>
      </w:pPr>
    </w:p>
    <w:p w:rsidR="00D5053E" w:rsidRDefault="00D5053E" w:rsidP="00D5053E">
      <w:pPr>
        <w:spacing w:after="0" w:line="240" w:lineRule="auto"/>
        <w:textAlignment w:val="baseline"/>
        <w:outlineLvl w:val="0"/>
        <w:rPr>
          <w:rFonts w:ascii="Times New Roman" w:eastAsia="Times New Roman" w:hAnsi="Times New Roman" w:cs="Times New Roman"/>
          <w:kern w:val="36"/>
          <w:sz w:val="48"/>
          <w:szCs w:val="48"/>
          <w:lang w:eastAsia="en-CA"/>
        </w:rPr>
      </w:pPr>
      <w:r>
        <w:rPr>
          <w:rFonts w:ascii="Times New Roman" w:eastAsia="Times New Roman" w:hAnsi="Times New Roman" w:cs="Times New Roman"/>
          <w:kern w:val="36"/>
          <w:sz w:val="48"/>
          <w:szCs w:val="48"/>
          <w:lang w:eastAsia="en-CA"/>
        </w:rPr>
        <w:t>4.0 Strategic Positioning – PMG</w:t>
      </w:r>
    </w:p>
    <w:p w:rsidR="00D5053E" w:rsidRDefault="00D5053E" w:rsidP="00D5053E">
      <w:pPr>
        <w:shd w:val="clear" w:color="auto" w:fill="FFFFFF"/>
        <w:spacing w:before="100" w:beforeAutospacing="1" w:after="100" w:afterAutospacing="1" w:line="240" w:lineRule="auto"/>
        <w:textAlignment w:val="baseline"/>
        <w:outlineLvl w:val="1"/>
        <w:rPr>
          <w:rFonts w:ascii="Open Sans" w:eastAsia="Times New Roman" w:hAnsi="Open Sans" w:cs="Open Sans"/>
          <w:color w:val="000000"/>
          <w:sz w:val="36"/>
          <w:szCs w:val="36"/>
          <w:lang w:eastAsia="en-CA"/>
        </w:rPr>
      </w:pPr>
      <w:hyperlink r:id="rId23" w:history="1">
        <w:r>
          <w:rPr>
            <w:rStyle w:val="Hyperlink"/>
            <w:rFonts w:ascii="Open Sans" w:hAnsi="Open Sans" w:cs="Open Sans"/>
            <w:color w:val="0066CC"/>
            <w:sz w:val="27"/>
            <w:szCs w:val="27"/>
            <w:bdr w:val="none" w:sz="0" w:space="0" w:color="auto" w:frame="1"/>
          </w:rPr>
          <w:t>Project Management – Main Page</w:t>
        </w:r>
      </w:hyperlink>
    </w:p>
    <w:p w:rsidR="00D5053E" w:rsidRDefault="00D5053E" w:rsidP="00D5053E">
      <w:pPr>
        <w:shd w:val="clear" w:color="auto" w:fill="FFFFFF"/>
        <w:spacing w:before="100" w:beforeAutospacing="1" w:after="100" w:afterAutospacing="1" w:line="240" w:lineRule="auto"/>
        <w:textAlignment w:val="baseline"/>
        <w:outlineLvl w:val="1"/>
        <w:rPr>
          <w:rFonts w:ascii="Open Sans" w:eastAsia="Times New Roman" w:hAnsi="Open Sans" w:cs="Open Sans"/>
          <w:color w:val="444444"/>
          <w:sz w:val="36"/>
          <w:szCs w:val="36"/>
          <w:lang w:eastAsia="en-CA"/>
        </w:rPr>
      </w:pPr>
      <w:r>
        <w:rPr>
          <w:rFonts w:ascii="Open Sans" w:eastAsia="Times New Roman" w:hAnsi="Open Sans" w:cs="Open Sans"/>
          <w:color w:val="444444"/>
          <w:sz w:val="36"/>
          <w:szCs w:val="36"/>
          <w:lang w:eastAsia="en-CA"/>
        </w:rPr>
        <w:t> </w:t>
      </w:r>
      <w:r>
        <w:rPr>
          <w:rFonts w:ascii="Open Sans" w:eastAsia="Times New Roman" w:hAnsi="Open Sans" w:cs="Open Sans"/>
          <w:color w:val="8E44AD"/>
          <w:sz w:val="27"/>
          <w:szCs w:val="27"/>
          <w:bdr w:val="none" w:sz="0" w:space="0" w:color="auto" w:frame="1"/>
          <w:lang w:eastAsia="en-CA"/>
        </w:rPr>
        <w:t>4.1 College and School Alignment</w:t>
      </w:r>
    </w:p>
    <w:tbl>
      <w:tblPr>
        <w:tblW w:w="935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9350"/>
      </w:tblGrid>
      <w:tr w:rsidR="00D5053E" w:rsidTr="00D5053E">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Default="00D5053E" w:rsidP="00D5053E">
            <w:pPr>
              <w:numPr>
                <w:ilvl w:val="0"/>
                <w:numId w:val="13"/>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lang w:eastAsia="en-CA"/>
              </w:rPr>
              <w:t>Review program alignment with college priorities such as vision, mission, values, strategic plan, academic plan and the educational mandate, and / or academic priorities of the School.</w:t>
            </w:r>
          </w:p>
        </w:tc>
      </w:tr>
      <w:tr w:rsidR="00D5053E" w:rsidTr="00D5053E">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Default="00D5053E">
            <w:pPr>
              <w:spacing w:after="0" w:line="240" w:lineRule="auto"/>
              <w:rPr>
                <w:rFonts w:ascii="Times New Roman" w:eastAsia="Times New Roman" w:hAnsi="Times New Roman" w:cs="Times New Roman"/>
                <w:color w:val="757575"/>
                <w:sz w:val="18"/>
                <w:szCs w:val="18"/>
                <w:lang w:eastAsia="en-CA"/>
              </w:rPr>
            </w:pPr>
            <w:r>
              <w:rPr>
                <w:rFonts w:ascii="Times New Roman" w:eastAsia="Times New Roman" w:hAnsi="Times New Roman" w:cs="Times New Roman"/>
                <w:b/>
                <w:bCs/>
                <w:color w:val="8E44AD"/>
                <w:sz w:val="18"/>
                <w:szCs w:val="18"/>
                <w:bdr w:val="none" w:sz="0" w:space="0" w:color="auto" w:frame="1"/>
                <w:lang w:eastAsia="en-CA"/>
              </w:rPr>
              <w:t>Comments :</w:t>
            </w:r>
          </w:p>
        </w:tc>
      </w:tr>
      <w:tr w:rsidR="00D5053E" w:rsidTr="00D5053E">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Default="00D5053E">
            <w:pPr>
              <w:spacing w:before="100" w:beforeAutospacing="1" w:after="100" w:afterAutospacing="1" w:line="240" w:lineRule="auto"/>
              <w:textAlignment w:val="baseline"/>
              <w:outlineLvl w:val="2"/>
              <w:rPr>
                <w:rFonts w:ascii="Times New Roman" w:eastAsia="Times New Roman" w:hAnsi="Times New Roman" w:cs="Times New Roman"/>
                <w:color w:val="757575"/>
                <w:sz w:val="27"/>
                <w:szCs w:val="27"/>
                <w:lang w:eastAsia="en-CA"/>
              </w:rPr>
            </w:pPr>
            <w:r>
              <w:rPr>
                <w:rFonts w:ascii="Times New Roman" w:eastAsia="Times New Roman" w:hAnsi="Times New Roman" w:cs="Times New Roman"/>
                <w:color w:val="8E44AD"/>
                <w:sz w:val="24"/>
                <w:szCs w:val="24"/>
                <w:bdr w:val="none" w:sz="0" w:space="0" w:color="auto" w:frame="1"/>
                <w:lang w:eastAsia="en-CA"/>
              </w:rPr>
              <w:t>4.2 Competitor Programs</w:t>
            </w:r>
          </w:p>
          <w:p w:rsidR="00D5053E" w:rsidRDefault="00D5053E" w:rsidP="00D5053E">
            <w:pPr>
              <w:numPr>
                <w:ilvl w:val="0"/>
                <w:numId w:val="14"/>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lang w:eastAsia="en-CA"/>
              </w:rPr>
              <w:t>Analyze key parallels and differences between this program and those of its closest competitors, where applicable.</w:t>
            </w:r>
          </w:p>
          <w:p w:rsidR="00D5053E" w:rsidRDefault="00D5053E" w:rsidP="00D5053E">
            <w:pPr>
              <w:numPr>
                <w:ilvl w:val="0"/>
                <w:numId w:val="14"/>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lang w:eastAsia="en-CA"/>
              </w:rPr>
              <w:t>Comment on the ’Value-added’ program distinctions and their attractiveness to prospective students.</w:t>
            </w:r>
          </w:p>
          <w:p w:rsidR="00D5053E" w:rsidRDefault="00D5053E">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hyperlink r:id="rId24" w:tgtFrame="_blank" w:history="1">
              <w:r>
                <w:rPr>
                  <w:rStyle w:val="Hyperlink"/>
                  <w:color w:val="00673F"/>
                  <w:sz w:val="18"/>
                  <w:szCs w:val="18"/>
                  <w:bdr w:val="none" w:sz="0" w:space="0" w:color="auto" w:frame="1"/>
                </w:rPr>
                <w:t>Competitor Analysis by Fleming Data Research</w:t>
              </w:r>
            </w:hyperlink>
            <w:r>
              <w:rPr>
                <w:rFonts w:ascii="Times New Roman" w:eastAsia="Times New Roman" w:hAnsi="Times New Roman" w:cs="Times New Roman"/>
                <w:color w:val="757575"/>
                <w:sz w:val="18"/>
                <w:szCs w:val="18"/>
                <w:lang w:eastAsia="en-CA"/>
              </w:rPr>
              <w:t>  (use</w:t>
            </w:r>
            <w:r>
              <w:rPr>
                <w:rFonts w:ascii="Times New Roman" w:eastAsia="Times New Roman" w:hAnsi="Times New Roman" w:cs="Times New Roman"/>
                <w:color w:val="757575"/>
                <w:sz w:val="18"/>
                <w:szCs w:val="18"/>
                <w:bdr w:val="none" w:sz="0" w:space="0" w:color="auto" w:frame="1"/>
                <w:lang w:eastAsia="en-CA"/>
              </w:rPr>
              <w:t> </w:t>
            </w:r>
            <w:r>
              <w:rPr>
                <w:rFonts w:ascii="Times New Roman" w:eastAsia="Times New Roman" w:hAnsi="Times New Roman" w:cs="Times New Roman"/>
                <w:b/>
                <w:bCs/>
                <w:color w:val="C0392B"/>
                <w:sz w:val="18"/>
                <w:szCs w:val="18"/>
                <w:bdr w:val="none" w:sz="0" w:space="0" w:color="auto" w:frame="1"/>
                <w:lang w:eastAsia="en-CA"/>
              </w:rPr>
              <w:t>Internet Explorer</w:t>
            </w:r>
            <w:r>
              <w:rPr>
                <w:rFonts w:ascii="Times New Roman" w:eastAsia="Times New Roman" w:hAnsi="Times New Roman" w:cs="Times New Roman"/>
                <w:color w:val="C0392B"/>
                <w:sz w:val="18"/>
                <w:szCs w:val="18"/>
                <w:bdr w:val="none" w:sz="0" w:space="0" w:color="auto" w:frame="1"/>
                <w:lang w:eastAsia="en-CA"/>
              </w:rPr>
              <w:t> </w:t>
            </w:r>
            <w:r>
              <w:rPr>
                <w:rFonts w:ascii="Times New Roman" w:eastAsia="Times New Roman" w:hAnsi="Times New Roman" w:cs="Times New Roman"/>
                <w:color w:val="757575"/>
                <w:sz w:val="18"/>
                <w:szCs w:val="18"/>
                <w:lang w:eastAsia="en-CA"/>
              </w:rPr>
              <w:t>to view information)</w:t>
            </w:r>
          </w:p>
        </w:tc>
      </w:tr>
      <w:tr w:rsidR="00D5053E" w:rsidTr="00D5053E">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Default="00D5053E">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proofErr w:type="gramStart"/>
            <w:r>
              <w:rPr>
                <w:rFonts w:ascii="Times New Roman" w:eastAsia="Times New Roman" w:hAnsi="Times New Roman" w:cs="Times New Roman"/>
                <w:b/>
                <w:bCs/>
                <w:color w:val="8E44AD"/>
                <w:sz w:val="18"/>
                <w:szCs w:val="18"/>
                <w:bdr w:val="none" w:sz="0" w:space="0" w:color="auto" w:frame="1"/>
                <w:lang w:eastAsia="en-CA"/>
              </w:rPr>
              <w:t>Comments :</w:t>
            </w:r>
            <w:proofErr w:type="gramEnd"/>
          </w:p>
          <w:p w:rsidR="00D5053E" w:rsidRDefault="00D5053E">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 xml:space="preserve">In the Eastern </w:t>
            </w:r>
            <w:proofErr w:type="gramStart"/>
            <w:r>
              <w:rPr>
                <w:rFonts w:ascii="Times New Roman" w:eastAsia="Times New Roman" w:hAnsi="Times New Roman" w:cs="Times New Roman"/>
                <w:color w:val="757575"/>
                <w:sz w:val="18"/>
                <w:szCs w:val="18"/>
                <w:bdr w:val="none" w:sz="0" w:space="0" w:color="auto" w:frame="1"/>
                <w:lang w:eastAsia="en-CA"/>
              </w:rPr>
              <w:t>region</w:t>
            </w:r>
            <w:proofErr w:type="gramEnd"/>
            <w:r>
              <w:rPr>
                <w:rFonts w:ascii="Times New Roman" w:eastAsia="Times New Roman" w:hAnsi="Times New Roman" w:cs="Times New Roman"/>
                <w:color w:val="757575"/>
                <w:sz w:val="18"/>
                <w:szCs w:val="18"/>
                <w:bdr w:val="none" w:sz="0" w:space="0" w:color="auto" w:frame="1"/>
                <w:lang w:eastAsia="en-CA"/>
              </w:rPr>
              <w:t xml:space="preserve"> Colleges offering PMG are Durham College and Algonquin College.</w:t>
            </w:r>
          </w:p>
          <w:p w:rsidR="00D5053E" w:rsidRDefault="00D5053E" w:rsidP="00D5053E">
            <w:pPr>
              <w:numPr>
                <w:ilvl w:val="0"/>
                <w:numId w:val="15"/>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Durham – </w:t>
            </w:r>
            <w:hyperlink r:id="rId25" w:history="1">
              <w:r>
                <w:rPr>
                  <w:rStyle w:val="Hyperlink"/>
                  <w:color w:val="00673F"/>
                  <w:sz w:val="18"/>
                  <w:szCs w:val="18"/>
                  <w:bdr w:val="none" w:sz="0" w:space="0" w:color="auto" w:frame="1"/>
                </w:rPr>
                <w:t>http://www.durhamcollege.ca/programs/project-management</w:t>
              </w:r>
            </w:hyperlink>
          </w:p>
          <w:p w:rsidR="00D5053E" w:rsidRDefault="00D5053E" w:rsidP="00D5053E">
            <w:pPr>
              <w:numPr>
                <w:ilvl w:val="1"/>
                <w:numId w:val="15"/>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BYOD (Bring Your Own Device) with specific software and hardware requirements</w:t>
            </w:r>
          </w:p>
          <w:p w:rsidR="00D5053E" w:rsidRDefault="00D5053E" w:rsidP="00D5053E">
            <w:pPr>
              <w:numPr>
                <w:ilvl w:val="1"/>
                <w:numId w:val="15"/>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Currently Fleming College Fees are approximately $4000 higher.</w:t>
            </w:r>
          </w:p>
          <w:p w:rsidR="00D5053E" w:rsidRDefault="00D5053E" w:rsidP="00D5053E">
            <w:pPr>
              <w:numPr>
                <w:ilvl w:val="0"/>
                <w:numId w:val="15"/>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Algonquin – </w:t>
            </w:r>
            <w:hyperlink r:id="rId26" w:history="1">
              <w:r>
                <w:rPr>
                  <w:rStyle w:val="Hyperlink"/>
                  <w:color w:val="00673F"/>
                  <w:sz w:val="18"/>
                  <w:szCs w:val="18"/>
                  <w:bdr w:val="none" w:sz="0" w:space="0" w:color="auto" w:frame="1"/>
                </w:rPr>
                <w:t>http://www.algonquincollege.com/business/program/project-management/</w:t>
              </w:r>
            </w:hyperlink>
          </w:p>
          <w:p w:rsidR="00D5053E" w:rsidRDefault="00D5053E" w:rsidP="00D5053E">
            <w:pPr>
              <w:numPr>
                <w:ilvl w:val="1"/>
                <w:numId w:val="15"/>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BYOD Program – specific software and hardware requirements (there are links to specific devices advertised on the page)</w:t>
            </w:r>
          </w:p>
          <w:p w:rsidR="00D5053E" w:rsidRDefault="00D5053E" w:rsidP="00D5053E">
            <w:pPr>
              <w:numPr>
                <w:ilvl w:val="1"/>
                <w:numId w:val="15"/>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proofErr w:type="spellStart"/>
            <w:r>
              <w:rPr>
                <w:rFonts w:ascii="Times New Roman" w:eastAsia="Times New Roman" w:hAnsi="Times New Roman" w:cs="Times New Roman"/>
                <w:color w:val="757575"/>
                <w:sz w:val="18"/>
                <w:szCs w:val="18"/>
                <w:bdr w:val="none" w:sz="0" w:space="0" w:color="auto" w:frame="1"/>
                <w:lang w:eastAsia="en-CA"/>
              </w:rPr>
              <w:t>etexts</w:t>
            </w:r>
            <w:proofErr w:type="spellEnd"/>
            <w:r>
              <w:rPr>
                <w:rFonts w:ascii="Times New Roman" w:eastAsia="Times New Roman" w:hAnsi="Times New Roman" w:cs="Times New Roman"/>
                <w:color w:val="757575"/>
                <w:sz w:val="18"/>
                <w:szCs w:val="18"/>
                <w:bdr w:val="none" w:sz="0" w:space="0" w:color="auto" w:frame="1"/>
                <w:lang w:eastAsia="en-CA"/>
              </w:rPr>
              <w:t xml:space="preserve"> are available with </w:t>
            </w:r>
            <w:proofErr w:type="spellStart"/>
            <w:r>
              <w:rPr>
                <w:rFonts w:ascii="Times New Roman" w:eastAsia="Times New Roman" w:hAnsi="Times New Roman" w:cs="Times New Roman"/>
                <w:color w:val="757575"/>
                <w:sz w:val="18"/>
                <w:szCs w:val="18"/>
                <w:bdr w:val="none" w:sz="0" w:space="0" w:color="auto" w:frame="1"/>
                <w:lang w:eastAsia="en-CA"/>
              </w:rPr>
              <w:t>etext</w:t>
            </w:r>
            <w:proofErr w:type="spellEnd"/>
            <w:r>
              <w:rPr>
                <w:rFonts w:ascii="Times New Roman" w:eastAsia="Times New Roman" w:hAnsi="Times New Roman" w:cs="Times New Roman"/>
                <w:color w:val="757575"/>
                <w:sz w:val="18"/>
                <w:szCs w:val="18"/>
                <w:bdr w:val="none" w:sz="0" w:space="0" w:color="auto" w:frame="1"/>
                <w:lang w:eastAsia="en-CA"/>
              </w:rPr>
              <w:t xml:space="preserve"> fees included.  </w:t>
            </w:r>
          </w:p>
          <w:p w:rsidR="00D5053E" w:rsidRDefault="00D5053E" w:rsidP="00D5053E">
            <w:pPr>
              <w:numPr>
                <w:ilvl w:val="1"/>
                <w:numId w:val="15"/>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lastRenderedPageBreak/>
              <w:t xml:space="preserve">60 hours of applied project and 60 hours of field </w:t>
            </w:r>
            <w:proofErr w:type="spellStart"/>
            <w:r>
              <w:rPr>
                <w:rFonts w:ascii="Times New Roman" w:eastAsia="Times New Roman" w:hAnsi="Times New Roman" w:cs="Times New Roman"/>
                <w:color w:val="757575"/>
                <w:sz w:val="18"/>
                <w:szCs w:val="18"/>
                <w:bdr w:val="none" w:sz="0" w:space="0" w:color="auto" w:frame="1"/>
                <w:lang w:eastAsia="en-CA"/>
              </w:rPr>
              <w:t>placment</w:t>
            </w:r>
            <w:proofErr w:type="spellEnd"/>
          </w:p>
          <w:p w:rsidR="00D5053E" w:rsidRDefault="00D5053E" w:rsidP="00D5053E">
            <w:pPr>
              <w:numPr>
                <w:ilvl w:val="1"/>
                <w:numId w:val="15"/>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Currently Fleming College fees are approximately $2000 higher</w:t>
            </w:r>
          </w:p>
          <w:p w:rsidR="00D5053E" w:rsidRDefault="00D5053E">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In the Central Region the colleges offering PMG are Centennial, George Brown, Humber and Sheridan.  While not direct competition these colleges are within fair driving distance of Fleming college.</w:t>
            </w:r>
          </w:p>
          <w:p w:rsidR="00D5053E" w:rsidRDefault="00D5053E">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 xml:space="preserve">(Note: This program is being offered entirely online by </w:t>
            </w:r>
            <w:proofErr w:type="spellStart"/>
            <w:r>
              <w:rPr>
                <w:rFonts w:ascii="Times New Roman" w:eastAsia="Times New Roman" w:hAnsi="Times New Roman" w:cs="Times New Roman"/>
                <w:color w:val="757575"/>
                <w:sz w:val="18"/>
                <w:szCs w:val="18"/>
                <w:bdr w:val="none" w:sz="0" w:space="0" w:color="auto" w:frame="1"/>
                <w:lang w:eastAsia="en-CA"/>
              </w:rPr>
              <w:t>Fanshawe</w:t>
            </w:r>
            <w:proofErr w:type="spellEnd"/>
            <w:r>
              <w:rPr>
                <w:rFonts w:ascii="Times New Roman" w:eastAsia="Times New Roman" w:hAnsi="Times New Roman" w:cs="Times New Roman"/>
                <w:color w:val="757575"/>
                <w:sz w:val="18"/>
                <w:szCs w:val="18"/>
                <w:bdr w:val="none" w:sz="0" w:space="0" w:color="auto" w:frame="1"/>
                <w:lang w:eastAsia="en-CA"/>
              </w:rPr>
              <w:t>)</w:t>
            </w:r>
          </w:p>
          <w:p w:rsidR="00D5053E" w:rsidRDefault="00D5053E" w:rsidP="00D5053E">
            <w:pPr>
              <w:numPr>
                <w:ilvl w:val="0"/>
                <w:numId w:val="16"/>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Centennial – </w:t>
            </w:r>
            <w:hyperlink r:id="rId27" w:history="1">
              <w:r>
                <w:rPr>
                  <w:rStyle w:val="Hyperlink"/>
                  <w:color w:val="00673F"/>
                  <w:sz w:val="18"/>
                  <w:szCs w:val="18"/>
                  <w:bdr w:val="none" w:sz="0" w:space="0" w:color="auto" w:frame="1"/>
                </w:rPr>
                <w:t>http://www.centennialcollege.ca/programs-courses/full-time/project-management/</w:t>
              </w:r>
            </w:hyperlink>
          </w:p>
          <w:p w:rsidR="00D5053E" w:rsidRDefault="00D5053E" w:rsidP="00D5053E">
            <w:pPr>
              <w:numPr>
                <w:ilvl w:val="1"/>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Three semester program with one semester of Internship</w:t>
            </w:r>
          </w:p>
          <w:p w:rsidR="00D5053E" w:rsidRDefault="00D5053E" w:rsidP="00D5053E">
            <w:pPr>
              <w:numPr>
                <w:ilvl w:val="2"/>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1st and 2nd semester courses must be 80% completed with a minimum GPA of 2.5 to move into internship.</w:t>
            </w:r>
          </w:p>
          <w:p w:rsidR="00D5053E" w:rsidRDefault="00D5053E" w:rsidP="00D5053E">
            <w:pPr>
              <w:numPr>
                <w:ilvl w:val="1"/>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Licensed by PMI (Project Management Institute)</w:t>
            </w:r>
          </w:p>
          <w:p w:rsidR="00D5053E" w:rsidRDefault="00D5053E" w:rsidP="00D5053E">
            <w:pPr>
              <w:numPr>
                <w:ilvl w:val="1"/>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Fees listed are currently approximately $3000 lower than Fleming fees (note that program ancillary fees were not listed)</w:t>
            </w:r>
          </w:p>
          <w:p w:rsidR="00D5053E" w:rsidRDefault="00D5053E" w:rsidP="00D5053E">
            <w:pPr>
              <w:numPr>
                <w:ilvl w:val="1"/>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 xml:space="preserve">This program is also delivered alternately at the Pickering Learning Site adjacent to the </w:t>
            </w:r>
            <w:proofErr w:type="spellStart"/>
            <w:r>
              <w:rPr>
                <w:rFonts w:ascii="Times New Roman" w:eastAsia="Times New Roman" w:hAnsi="Times New Roman" w:cs="Times New Roman"/>
                <w:color w:val="757575"/>
                <w:sz w:val="18"/>
                <w:szCs w:val="18"/>
                <w:bdr w:val="none" w:sz="0" w:space="0" w:color="auto" w:frame="1"/>
                <w:lang w:eastAsia="en-CA"/>
              </w:rPr>
              <w:t>pickering</w:t>
            </w:r>
            <w:proofErr w:type="spellEnd"/>
            <w:r>
              <w:rPr>
                <w:rFonts w:ascii="Times New Roman" w:eastAsia="Times New Roman" w:hAnsi="Times New Roman" w:cs="Times New Roman"/>
                <w:color w:val="757575"/>
                <w:sz w:val="18"/>
                <w:szCs w:val="18"/>
                <w:bdr w:val="none" w:sz="0" w:space="0" w:color="auto" w:frame="1"/>
                <w:lang w:eastAsia="en-CA"/>
              </w:rPr>
              <w:t xml:space="preserve"> GO train station.</w:t>
            </w:r>
          </w:p>
          <w:p w:rsidR="00D5053E" w:rsidRDefault="00D5053E" w:rsidP="00D5053E">
            <w:pPr>
              <w:numPr>
                <w:ilvl w:val="0"/>
                <w:numId w:val="16"/>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George Brown – </w:t>
            </w:r>
            <w:hyperlink r:id="rId28" w:history="1">
              <w:r>
                <w:rPr>
                  <w:rStyle w:val="Hyperlink"/>
                  <w:color w:val="00673F"/>
                  <w:sz w:val="18"/>
                  <w:szCs w:val="18"/>
                  <w:bdr w:val="none" w:sz="0" w:space="0" w:color="auto" w:frame="1"/>
                </w:rPr>
                <w:t>http://www.georgebrown.ca/B415-2017-2018/</w:t>
              </w:r>
            </w:hyperlink>
          </w:p>
          <w:p w:rsidR="00D5053E" w:rsidRDefault="00D5053E" w:rsidP="00D5053E">
            <w:pPr>
              <w:numPr>
                <w:ilvl w:val="1"/>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2 semester program that is broken into 7 week blocks</w:t>
            </w:r>
          </w:p>
          <w:p w:rsidR="00D5053E" w:rsidRDefault="00D5053E" w:rsidP="00D5053E">
            <w:pPr>
              <w:numPr>
                <w:ilvl w:val="0"/>
                <w:numId w:val="16"/>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Humber – </w:t>
            </w:r>
            <w:hyperlink r:id="rId29" w:history="1">
              <w:r>
                <w:rPr>
                  <w:rStyle w:val="Hyperlink"/>
                  <w:color w:val="00673F"/>
                  <w:sz w:val="18"/>
                  <w:szCs w:val="18"/>
                  <w:bdr w:val="none" w:sz="0" w:space="0" w:color="auto" w:frame="1"/>
                </w:rPr>
                <w:t>http://appliedtechnology.humber.ca/programs/certificates/project-management.html</w:t>
              </w:r>
            </w:hyperlink>
          </w:p>
          <w:p w:rsidR="00D5053E" w:rsidRDefault="00D5053E" w:rsidP="00D5053E">
            <w:pPr>
              <w:numPr>
                <w:ilvl w:val="1"/>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Recognized education provider by PMI</w:t>
            </w:r>
          </w:p>
          <w:p w:rsidR="00D5053E" w:rsidRDefault="00D5053E" w:rsidP="00D5053E">
            <w:pPr>
              <w:numPr>
                <w:ilvl w:val="1"/>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upon graduation grads have satisfied educational component to write certifications exams</w:t>
            </w:r>
          </w:p>
          <w:p w:rsidR="00D5053E" w:rsidRDefault="00D5053E" w:rsidP="00D5053E">
            <w:pPr>
              <w:numPr>
                <w:ilvl w:val="1"/>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Simulation course and Applied Project</w:t>
            </w:r>
          </w:p>
          <w:p w:rsidR="00D5053E" w:rsidRDefault="00D5053E" w:rsidP="00D5053E">
            <w:pPr>
              <w:numPr>
                <w:ilvl w:val="0"/>
                <w:numId w:val="16"/>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Sheridan – </w:t>
            </w:r>
            <w:hyperlink r:id="rId30" w:history="1">
              <w:r>
                <w:rPr>
                  <w:rStyle w:val="Hyperlink"/>
                  <w:color w:val="00673F"/>
                  <w:sz w:val="18"/>
                  <w:szCs w:val="18"/>
                  <w:bdr w:val="none" w:sz="0" w:space="0" w:color="auto" w:frame="1"/>
                </w:rPr>
                <w:t>https://academics.sheridancollege.ca/programs/project-management.aspx</w:t>
              </w:r>
            </w:hyperlink>
          </w:p>
          <w:p w:rsidR="00D5053E" w:rsidRDefault="00D5053E" w:rsidP="00D5053E">
            <w:pPr>
              <w:numPr>
                <w:ilvl w:val="1"/>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2 semesters with a Co-Op option</w:t>
            </w:r>
          </w:p>
          <w:p w:rsidR="00D5053E" w:rsidRDefault="00D5053E" w:rsidP="00D5053E">
            <w:pPr>
              <w:numPr>
                <w:ilvl w:val="1"/>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BYOD</w:t>
            </w:r>
          </w:p>
          <w:p w:rsidR="00D5053E" w:rsidRDefault="00D5053E" w:rsidP="00D5053E">
            <w:pPr>
              <w:numPr>
                <w:ilvl w:val="1"/>
                <w:numId w:val="16"/>
              </w:numPr>
              <w:spacing w:before="100" w:beforeAutospacing="1" w:after="100" w:afterAutospacing="1" w:line="240" w:lineRule="auto"/>
              <w:ind w:left="720"/>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bdr w:val="none" w:sz="0" w:space="0" w:color="auto" w:frame="1"/>
                <w:lang w:eastAsia="en-CA"/>
              </w:rPr>
              <w:t>Capstone Applied Project</w:t>
            </w:r>
          </w:p>
        </w:tc>
      </w:tr>
      <w:tr w:rsidR="00D5053E" w:rsidTr="00D5053E">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Default="00D5053E">
            <w:pPr>
              <w:spacing w:before="100" w:beforeAutospacing="1" w:after="100" w:afterAutospacing="1" w:line="240" w:lineRule="auto"/>
              <w:textAlignment w:val="baseline"/>
              <w:outlineLvl w:val="2"/>
              <w:rPr>
                <w:rFonts w:ascii="Times New Roman" w:eastAsia="Times New Roman" w:hAnsi="Times New Roman" w:cs="Times New Roman"/>
                <w:color w:val="757575"/>
                <w:sz w:val="27"/>
                <w:szCs w:val="27"/>
                <w:lang w:eastAsia="en-CA"/>
              </w:rPr>
            </w:pPr>
            <w:hyperlink r:id="rId31" w:tgtFrame="_blank" w:history="1">
              <w:r>
                <w:rPr>
                  <w:rStyle w:val="Hyperlink"/>
                  <w:color w:val="8E44AD"/>
                  <w:sz w:val="24"/>
                  <w:szCs w:val="24"/>
                  <w:bdr w:val="none" w:sz="0" w:space="0" w:color="auto" w:frame="1"/>
                </w:rPr>
                <w:t>4.3 Learning Pathways</w:t>
              </w:r>
            </w:hyperlink>
          </w:p>
          <w:p w:rsidR="00D5053E" w:rsidRDefault="00D5053E" w:rsidP="00D5053E">
            <w:pPr>
              <w:numPr>
                <w:ilvl w:val="0"/>
                <w:numId w:val="17"/>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lang w:eastAsia="en-CA"/>
              </w:rPr>
              <w:t>Comment on recent or anticipated initiatives that promote student pathways including secondary school partnerships, dual credits, program laddering, dual diplomas, and university transfer, articulations, and partnerships.</w:t>
            </w:r>
          </w:p>
          <w:p w:rsidR="00D5053E" w:rsidRDefault="00D5053E" w:rsidP="00D5053E">
            <w:pPr>
              <w:numPr>
                <w:ilvl w:val="0"/>
                <w:numId w:val="17"/>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lang w:eastAsia="en-CA"/>
              </w:rPr>
              <w:t>Identify any new pathways that could be developed.</w:t>
            </w:r>
          </w:p>
          <w:p w:rsidR="00D5053E" w:rsidRDefault="00D5053E">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hyperlink r:id="rId32" w:tgtFrame="_blank" w:history="1">
              <w:r>
                <w:rPr>
                  <w:rStyle w:val="Hyperlink"/>
                  <w:color w:val="00673F"/>
                  <w:sz w:val="18"/>
                  <w:szCs w:val="18"/>
                  <w:bdr w:val="none" w:sz="0" w:space="0" w:color="auto" w:frame="1"/>
                </w:rPr>
                <w:t>Educational Pathways</w:t>
              </w:r>
            </w:hyperlink>
          </w:p>
        </w:tc>
      </w:tr>
      <w:tr w:rsidR="00D5053E" w:rsidTr="00D5053E">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Default="00D5053E">
            <w:pPr>
              <w:spacing w:after="0" w:line="240" w:lineRule="auto"/>
              <w:rPr>
                <w:rFonts w:ascii="Times New Roman" w:eastAsia="Times New Roman" w:hAnsi="Times New Roman" w:cs="Times New Roman"/>
                <w:color w:val="757575"/>
                <w:sz w:val="18"/>
                <w:szCs w:val="18"/>
                <w:lang w:eastAsia="en-CA"/>
              </w:rPr>
            </w:pPr>
            <w:r>
              <w:rPr>
                <w:rFonts w:ascii="Times New Roman" w:eastAsia="Times New Roman" w:hAnsi="Times New Roman" w:cs="Times New Roman"/>
                <w:b/>
                <w:bCs/>
                <w:color w:val="8E44AD"/>
                <w:sz w:val="18"/>
                <w:szCs w:val="18"/>
                <w:bdr w:val="none" w:sz="0" w:space="0" w:color="auto" w:frame="1"/>
                <w:lang w:eastAsia="en-CA"/>
              </w:rPr>
              <w:t>Comments :</w:t>
            </w:r>
          </w:p>
        </w:tc>
      </w:tr>
      <w:tr w:rsidR="00D5053E" w:rsidTr="00D5053E">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Default="00D5053E">
            <w:pPr>
              <w:spacing w:before="100" w:beforeAutospacing="1" w:after="100" w:afterAutospacing="1" w:line="240" w:lineRule="auto"/>
              <w:textAlignment w:val="baseline"/>
              <w:outlineLvl w:val="2"/>
              <w:rPr>
                <w:rFonts w:ascii="Times New Roman" w:eastAsia="Times New Roman" w:hAnsi="Times New Roman" w:cs="Times New Roman"/>
                <w:color w:val="757575"/>
                <w:sz w:val="27"/>
                <w:szCs w:val="27"/>
                <w:lang w:eastAsia="en-CA"/>
              </w:rPr>
            </w:pPr>
            <w:r>
              <w:rPr>
                <w:rFonts w:ascii="Times New Roman" w:eastAsia="Times New Roman" w:hAnsi="Times New Roman" w:cs="Times New Roman"/>
                <w:color w:val="8E44AD"/>
                <w:sz w:val="24"/>
                <w:szCs w:val="24"/>
                <w:bdr w:val="none" w:sz="0" w:space="0" w:color="auto" w:frame="1"/>
                <w:lang w:eastAsia="en-CA"/>
              </w:rPr>
              <w:t>4.4 New Program or Redesign ideas</w:t>
            </w:r>
          </w:p>
          <w:p w:rsidR="00D5053E" w:rsidRDefault="00D5053E" w:rsidP="00D5053E">
            <w:pPr>
              <w:numPr>
                <w:ilvl w:val="0"/>
                <w:numId w:val="18"/>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Pr>
                <w:rFonts w:ascii="Times New Roman" w:eastAsia="Times New Roman" w:hAnsi="Times New Roman" w:cs="Times New Roman"/>
                <w:color w:val="757575"/>
                <w:sz w:val="18"/>
                <w:szCs w:val="18"/>
                <w:lang w:eastAsia="en-CA"/>
              </w:rPr>
              <w:t>Are there opportunities for new program initiatives based on Program, School, or community strengths and alliances?</w:t>
            </w:r>
          </w:p>
          <w:p w:rsidR="00D5053E" w:rsidRDefault="00D5053E">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hyperlink r:id="rId33" w:tgtFrame="_blank" w:history="1">
              <w:r>
                <w:rPr>
                  <w:rStyle w:val="Hyperlink"/>
                  <w:color w:val="00673F"/>
                  <w:sz w:val="18"/>
                  <w:szCs w:val="18"/>
                  <w:bdr w:val="none" w:sz="0" w:space="0" w:color="auto" w:frame="1"/>
                </w:rPr>
                <w:t>Process for New Program Development</w:t>
              </w:r>
            </w:hyperlink>
          </w:p>
        </w:tc>
      </w:tr>
    </w:tbl>
    <w:p w:rsidR="00D5053E" w:rsidRDefault="00D5053E" w:rsidP="00D5053E"/>
    <w:p w:rsidR="00D5053E" w:rsidRDefault="00D5053E"/>
    <w:p w:rsidR="00D5053E" w:rsidRDefault="00D5053E"/>
    <w:p w:rsidR="00D5053E" w:rsidRDefault="00D5053E"/>
    <w:p w:rsidR="00D5053E" w:rsidRDefault="00D5053E"/>
    <w:p w:rsidR="00D5053E" w:rsidRDefault="00D5053E"/>
    <w:p w:rsidR="00D5053E" w:rsidRPr="00BF11E3" w:rsidRDefault="00D5053E" w:rsidP="00D5053E">
      <w:pPr>
        <w:spacing w:after="0" w:line="240" w:lineRule="auto"/>
        <w:textAlignment w:val="baseline"/>
        <w:outlineLvl w:val="0"/>
        <w:rPr>
          <w:rFonts w:ascii="Times New Roman" w:eastAsia="Times New Roman" w:hAnsi="Times New Roman" w:cs="Times New Roman"/>
          <w:kern w:val="36"/>
          <w:sz w:val="32"/>
          <w:szCs w:val="32"/>
          <w:lang w:eastAsia="en-CA"/>
        </w:rPr>
      </w:pPr>
      <w:r w:rsidRPr="00BF11E3">
        <w:rPr>
          <w:rFonts w:ascii="Times New Roman" w:eastAsia="Times New Roman" w:hAnsi="Times New Roman" w:cs="Times New Roman"/>
          <w:kern w:val="36"/>
          <w:sz w:val="32"/>
          <w:szCs w:val="32"/>
          <w:lang w:eastAsia="en-CA"/>
        </w:rPr>
        <w:lastRenderedPageBreak/>
        <w:t>6.0 Program Res</w:t>
      </w:r>
      <w:bookmarkStart w:id="0" w:name="_GoBack"/>
      <w:bookmarkEnd w:id="0"/>
      <w:r w:rsidRPr="00BF11E3">
        <w:rPr>
          <w:rFonts w:ascii="Times New Roman" w:eastAsia="Times New Roman" w:hAnsi="Times New Roman" w:cs="Times New Roman"/>
          <w:kern w:val="36"/>
          <w:sz w:val="32"/>
          <w:szCs w:val="32"/>
          <w:lang w:eastAsia="en-CA"/>
        </w:rPr>
        <w:t>ources – PMG</w:t>
      </w:r>
    </w:p>
    <w:p w:rsidR="00D5053E" w:rsidRPr="00BF11E3" w:rsidRDefault="00D5053E" w:rsidP="00D5053E">
      <w:pPr>
        <w:shd w:val="clear" w:color="auto" w:fill="FFFFFF"/>
        <w:spacing w:beforeAutospacing="1" w:after="0" w:afterAutospacing="1" w:line="240" w:lineRule="auto"/>
        <w:textAlignment w:val="baseline"/>
        <w:outlineLvl w:val="1"/>
        <w:rPr>
          <w:rFonts w:ascii="Open Sans" w:eastAsia="Times New Roman" w:hAnsi="Open Sans" w:cs="Open Sans"/>
          <w:color w:val="000000"/>
          <w:sz w:val="36"/>
          <w:szCs w:val="36"/>
          <w:lang w:eastAsia="en-CA"/>
        </w:rPr>
      </w:pPr>
      <w:hyperlink r:id="rId34" w:history="1">
        <w:r w:rsidRPr="00BF11E3">
          <w:rPr>
            <w:rFonts w:ascii="Open Sans" w:eastAsia="Times New Roman" w:hAnsi="Open Sans" w:cs="Open Sans"/>
            <w:color w:val="0066CC"/>
            <w:sz w:val="27"/>
            <w:szCs w:val="27"/>
            <w:u w:val="single"/>
            <w:bdr w:val="none" w:sz="0" w:space="0" w:color="auto" w:frame="1"/>
            <w:lang w:eastAsia="en-CA"/>
          </w:rPr>
          <w:t>Project Management – Main Page</w:t>
        </w:r>
      </w:hyperlink>
    </w:p>
    <w:tbl>
      <w:tblPr>
        <w:tblW w:w="935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9350"/>
      </w:tblGrid>
      <w:tr w:rsidR="00D5053E" w:rsidRPr="00BF11E3" w:rsidTr="00605E73">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BF11E3" w:rsidRDefault="00D5053E" w:rsidP="00605E73">
            <w:pPr>
              <w:spacing w:beforeAutospacing="1" w:after="0" w:afterAutospacing="1" w:line="240" w:lineRule="auto"/>
              <w:textAlignment w:val="baseline"/>
              <w:outlineLvl w:val="2"/>
              <w:rPr>
                <w:rFonts w:ascii="Times New Roman" w:eastAsia="Times New Roman" w:hAnsi="Times New Roman" w:cs="Times New Roman"/>
                <w:color w:val="757575"/>
                <w:sz w:val="27"/>
                <w:szCs w:val="27"/>
                <w:lang w:eastAsia="en-CA"/>
              </w:rPr>
            </w:pPr>
            <w:r w:rsidRPr="00BF11E3">
              <w:rPr>
                <w:rFonts w:ascii="Times New Roman" w:eastAsia="Times New Roman" w:hAnsi="Times New Roman" w:cs="Times New Roman"/>
                <w:color w:val="8E44AD"/>
                <w:sz w:val="24"/>
                <w:szCs w:val="24"/>
                <w:bdr w:val="none" w:sz="0" w:space="0" w:color="auto" w:frame="1"/>
                <w:lang w:eastAsia="en-CA"/>
              </w:rPr>
              <w:t>6.1 Program Revenue and Expenses</w:t>
            </w:r>
          </w:p>
          <w:p w:rsidR="00D5053E" w:rsidRPr="00BF11E3" w:rsidRDefault="00D5053E" w:rsidP="00D5053E">
            <w:pPr>
              <w:numPr>
                <w:ilvl w:val="0"/>
                <w:numId w:val="19"/>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lang w:eastAsia="en-CA"/>
              </w:rPr>
              <w:t>Please review the Integrated Program Planning (IPP) information for your program.</w:t>
            </w:r>
          </w:p>
          <w:p w:rsidR="00D5053E" w:rsidRPr="00BF11E3" w:rsidRDefault="00D5053E" w:rsidP="00D5053E">
            <w:pPr>
              <w:numPr>
                <w:ilvl w:val="0"/>
                <w:numId w:val="19"/>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lang w:eastAsia="en-CA"/>
              </w:rPr>
              <w:t>Are program resources adequate, in the context of program currency and student numbers? (e.g. laboratory equipment, software, library holdings, or tools essential to program delivery and student learning.</w:t>
            </w:r>
          </w:p>
          <w:p w:rsidR="00D5053E" w:rsidRPr="00BF11E3" w:rsidRDefault="00D5053E" w:rsidP="00D5053E">
            <w:pPr>
              <w:numPr>
                <w:ilvl w:val="0"/>
                <w:numId w:val="19"/>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lang w:eastAsia="en-CA"/>
              </w:rPr>
              <w:t>Are there opportunities for further program specific external revenue such as sponsorship, grants, donations or gifts-in-kind?</w:t>
            </w:r>
          </w:p>
        </w:tc>
      </w:tr>
      <w:tr w:rsidR="00D5053E" w:rsidRPr="00BF11E3" w:rsidTr="00605E73">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BF11E3" w:rsidRDefault="00D5053E" w:rsidP="00605E73">
            <w:pPr>
              <w:spacing w:after="0" w:line="240" w:lineRule="auto"/>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b/>
                <w:bCs/>
                <w:color w:val="8E44AD"/>
                <w:sz w:val="18"/>
                <w:szCs w:val="18"/>
                <w:bdr w:val="none" w:sz="0" w:space="0" w:color="auto" w:frame="1"/>
                <w:lang w:eastAsia="en-CA"/>
              </w:rPr>
              <w:t>Comments:</w:t>
            </w:r>
          </w:p>
          <w:p w:rsidR="00D5053E" w:rsidRPr="00BF11E3" w:rsidRDefault="00D5053E" w:rsidP="00D5053E">
            <w:pPr>
              <w:numPr>
                <w:ilvl w:val="0"/>
                <w:numId w:val="20"/>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bdr w:val="none" w:sz="0" w:space="0" w:color="auto" w:frame="1"/>
                <w:lang w:eastAsia="en-CA"/>
              </w:rPr>
              <w:t>With a 2016 contribution margin of 46%, PMG’s financial performance is second only to the IBM program in the School of Business.</w:t>
            </w:r>
          </w:p>
          <w:p w:rsidR="00D5053E" w:rsidRPr="00BF11E3" w:rsidRDefault="00D5053E" w:rsidP="00D5053E">
            <w:pPr>
              <w:numPr>
                <w:ilvl w:val="0"/>
                <w:numId w:val="20"/>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bdr w:val="none" w:sz="0" w:space="0" w:color="auto" w:frame="1"/>
                <w:lang w:eastAsia="en-CA"/>
              </w:rPr>
              <w:t>The program continues to attract a substantial and growing number of international students. This, in turn, will further enhance PMG from a financial standpoint in the short-to-medium term.</w:t>
            </w:r>
          </w:p>
          <w:p w:rsidR="00D5053E" w:rsidRPr="00BF11E3" w:rsidRDefault="00D5053E" w:rsidP="00D5053E">
            <w:pPr>
              <w:numPr>
                <w:ilvl w:val="0"/>
                <w:numId w:val="20"/>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bdr w:val="none" w:sz="0" w:space="0" w:color="auto" w:frame="1"/>
                <w:lang w:eastAsia="en-CA"/>
              </w:rPr>
              <w:t>In the long-term, the PMG program should look to diversify its enrollment by attracting international students from a broader cross-section of countries.</w:t>
            </w:r>
          </w:p>
          <w:p w:rsidR="00D5053E" w:rsidRPr="00BF11E3" w:rsidRDefault="00D5053E" w:rsidP="00D5053E">
            <w:pPr>
              <w:numPr>
                <w:ilvl w:val="0"/>
                <w:numId w:val="20"/>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bdr w:val="none" w:sz="0" w:space="0" w:color="auto" w:frame="1"/>
                <w:lang w:eastAsia="en-CA"/>
              </w:rPr>
              <w:t>Likewise, more needs to be done to attract domestic students, specifically, recent university graduates.</w:t>
            </w:r>
          </w:p>
          <w:p w:rsidR="00D5053E" w:rsidRPr="00BF11E3" w:rsidRDefault="00D5053E" w:rsidP="00D5053E">
            <w:pPr>
              <w:numPr>
                <w:ilvl w:val="0"/>
                <w:numId w:val="20"/>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bdr w:val="none" w:sz="0" w:space="0" w:color="auto" w:frame="1"/>
                <w:lang w:eastAsia="en-CA"/>
              </w:rPr>
              <w:t>This strategy will hedge against unexpected visa restrictions, travel bans, etc. that currently threaten PMG enrollment.</w:t>
            </w:r>
          </w:p>
        </w:tc>
      </w:tr>
      <w:tr w:rsidR="00D5053E" w:rsidRPr="00BF11E3" w:rsidTr="00605E73">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BF11E3" w:rsidRDefault="00D5053E" w:rsidP="00605E73">
            <w:pPr>
              <w:spacing w:beforeAutospacing="1" w:after="0" w:afterAutospacing="1" w:line="240" w:lineRule="auto"/>
              <w:textAlignment w:val="baseline"/>
              <w:outlineLvl w:val="2"/>
              <w:rPr>
                <w:rFonts w:ascii="Times New Roman" w:eastAsia="Times New Roman" w:hAnsi="Times New Roman" w:cs="Times New Roman"/>
                <w:color w:val="757575"/>
                <w:sz w:val="27"/>
                <w:szCs w:val="27"/>
                <w:lang w:eastAsia="en-CA"/>
              </w:rPr>
            </w:pPr>
            <w:r w:rsidRPr="00BF11E3">
              <w:rPr>
                <w:rFonts w:ascii="Times New Roman" w:eastAsia="Times New Roman" w:hAnsi="Times New Roman" w:cs="Times New Roman"/>
                <w:color w:val="8E44AD"/>
                <w:sz w:val="24"/>
                <w:szCs w:val="24"/>
                <w:bdr w:val="none" w:sz="0" w:space="0" w:color="auto" w:frame="1"/>
                <w:lang w:eastAsia="en-CA"/>
              </w:rPr>
              <w:t> 6.2 Faculty and Staff Resources</w:t>
            </w:r>
          </w:p>
          <w:p w:rsidR="00D5053E" w:rsidRPr="00BF11E3" w:rsidRDefault="00D5053E" w:rsidP="00605E73">
            <w:p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lang w:eastAsia="en-CA"/>
              </w:rPr>
              <w:t>Please comment on:</w:t>
            </w:r>
          </w:p>
          <w:p w:rsidR="00D5053E" w:rsidRPr="00BF11E3" w:rsidRDefault="00D5053E" w:rsidP="00D5053E">
            <w:pPr>
              <w:numPr>
                <w:ilvl w:val="0"/>
                <w:numId w:val="21"/>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lang w:eastAsia="en-CA"/>
              </w:rPr>
              <w:t>The number and distribution of all faculty, technicians, and technologists associated with the program including full-time, part-time, sessional, and cross-appointments.</w:t>
            </w:r>
          </w:p>
          <w:p w:rsidR="00D5053E" w:rsidRPr="00BF11E3" w:rsidRDefault="00D5053E" w:rsidP="00D5053E">
            <w:pPr>
              <w:numPr>
                <w:ilvl w:val="0"/>
                <w:numId w:val="21"/>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lang w:eastAsia="en-CA"/>
              </w:rPr>
              <w:t>Profile of the faculty, and staff associated with the program including cumulative credentials, scholarship, work-related and teaching experience, and expertise in education.</w:t>
            </w:r>
          </w:p>
          <w:p w:rsidR="00D5053E" w:rsidRPr="00BF11E3" w:rsidRDefault="00D5053E" w:rsidP="00D5053E">
            <w:pPr>
              <w:numPr>
                <w:ilvl w:val="0"/>
                <w:numId w:val="21"/>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lang w:eastAsia="en-CA"/>
              </w:rPr>
              <w:t>Significant faculty or staff accomplishments such as professional recognition and awards, achievement of credentials, and appointments.</w:t>
            </w:r>
          </w:p>
          <w:p w:rsidR="00D5053E" w:rsidRPr="00BF11E3" w:rsidRDefault="00D5053E" w:rsidP="00D5053E">
            <w:pPr>
              <w:numPr>
                <w:ilvl w:val="0"/>
                <w:numId w:val="21"/>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lang w:eastAsia="en-CA"/>
              </w:rPr>
              <w:t>Hiring priorities over the next few years based on the above.</w:t>
            </w:r>
          </w:p>
        </w:tc>
      </w:tr>
      <w:tr w:rsidR="00D5053E" w:rsidRPr="00BF11E3" w:rsidTr="00605E73">
        <w:tc>
          <w:tcPr>
            <w:tcW w:w="0" w:type="auto"/>
            <w:tcBorders>
              <w:top w:val="single" w:sz="6" w:space="0" w:color="EDEDED"/>
              <w:left w:val="nil"/>
              <w:bottom w:val="nil"/>
              <w:right w:val="nil"/>
            </w:tcBorders>
            <w:tcMar>
              <w:top w:w="90" w:type="dxa"/>
              <w:left w:w="0" w:type="dxa"/>
              <w:bottom w:w="90" w:type="dxa"/>
              <w:right w:w="150" w:type="dxa"/>
            </w:tcMar>
            <w:vAlign w:val="bottom"/>
            <w:hideMark/>
          </w:tcPr>
          <w:p w:rsidR="00D5053E" w:rsidRPr="00BF11E3" w:rsidRDefault="00D5053E" w:rsidP="00605E73">
            <w:pPr>
              <w:spacing w:after="0" w:line="240" w:lineRule="auto"/>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b/>
                <w:bCs/>
                <w:color w:val="8E44AD"/>
                <w:sz w:val="18"/>
                <w:szCs w:val="18"/>
                <w:bdr w:val="none" w:sz="0" w:space="0" w:color="auto" w:frame="1"/>
                <w:lang w:eastAsia="en-CA"/>
              </w:rPr>
              <w:t>Comments:</w:t>
            </w:r>
          </w:p>
          <w:p w:rsidR="00D5053E" w:rsidRPr="00BF11E3" w:rsidRDefault="00D5053E" w:rsidP="00D5053E">
            <w:pPr>
              <w:numPr>
                <w:ilvl w:val="0"/>
                <w:numId w:val="22"/>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bdr w:val="none" w:sz="0" w:space="0" w:color="auto" w:frame="1"/>
                <w:lang w:eastAsia="en-CA"/>
              </w:rPr>
              <w:t>The PMG program makes use of full-time, partial-load and part-time faculty. PMG only has one fully dedicated full-time faculty.</w:t>
            </w:r>
          </w:p>
          <w:p w:rsidR="00D5053E" w:rsidRPr="00BF11E3" w:rsidRDefault="00D5053E" w:rsidP="00D5053E">
            <w:pPr>
              <w:numPr>
                <w:ilvl w:val="0"/>
                <w:numId w:val="22"/>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bdr w:val="none" w:sz="0" w:space="0" w:color="auto" w:frame="1"/>
                <w:lang w:eastAsia="en-CA"/>
              </w:rPr>
              <w:t xml:space="preserve">The predominance of courses </w:t>
            </w:r>
            <w:proofErr w:type="gramStart"/>
            <w:r w:rsidRPr="00BF11E3">
              <w:rPr>
                <w:rFonts w:ascii="Times New Roman" w:eastAsia="Times New Roman" w:hAnsi="Times New Roman" w:cs="Times New Roman"/>
                <w:color w:val="757575"/>
                <w:sz w:val="18"/>
                <w:szCs w:val="18"/>
                <w:bdr w:val="none" w:sz="0" w:space="0" w:color="auto" w:frame="1"/>
                <w:lang w:eastAsia="en-CA"/>
              </w:rPr>
              <w:t>are</w:t>
            </w:r>
            <w:proofErr w:type="gramEnd"/>
            <w:r w:rsidRPr="00BF11E3">
              <w:rPr>
                <w:rFonts w:ascii="Times New Roman" w:eastAsia="Times New Roman" w:hAnsi="Times New Roman" w:cs="Times New Roman"/>
                <w:color w:val="757575"/>
                <w:sz w:val="18"/>
                <w:szCs w:val="18"/>
                <w:bdr w:val="none" w:sz="0" w:space="0" w:color="auto" w:frame="1"/>
                <w:lang w:eastAsia="en-CA"/>
              </w:rPr>
              <w:t xml:space="preserve"> taught by partial load faculty and we typically hire two or three faculty into part-time teaching contracts to round out the staff complement.</w:t>
            </w:r>
          </w:p>
          <w:p w:rsidR="00D5053E" w:rsidRPr="00BF11E3" w:rsidRDefault="00D5053E" w:rsidP="00D5053E">
            <w:pPr>
              <w:numPr>
                <w:ilvl w:val="0"/>
                <w:numId w:val="22"/>
              </w:numPr>
              <w:spacing w:beforeAutospacing="1" w:after="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bdr w:val="none" w:sz="0" w:space="0" w:color="auto" w:frame="1"/>
                <w:lang w:eastAsia="en-CA"/>
              </w:rPr>
              <w:t xml:space="preserve">The PMG program is fortunate to have a consistent and highly dedicated team of faculty who, with a few </w:t>
            </w:r>
            <w:proofErr w:type="gramStart"/>
            <w:r w:rsidRPr="00BF11E3">
              <w:rPr>
                <w:rFonts w:ascii="Times New Roman" w:eastAsia="Times New Roman" w:hAnsi="Times New Roman" w:cs="Times New Roman"/>
                <w:color w:val="757575"/>
                <w:sz w:val="18"/>
                <w:szCs w:val="18"/>
                <w:bdr w:val="none" w:sz="0" w:space="0" w:color="auto" w:frame="1"/>
                <w:lang w:eastAsia="en-CA"/>
              </w:rPr>
              <w:t>exceptions,  return</w:t>
            </w:r>
            <w:proofErr w:type="gramEnd"/>
            <w:r w:rsidRPr="00BF11E3">
              <w:rPr>
                <w:rFonts w:ascii="Times New Roman" w:eastAsia="Times New Roman" w:hAnsi="Times New Roman" w:cs="Times New Roman"/>
                <w:color w:val="757575"/>
                <w:sz w:val="18"/>
                <w:szCs w:val="18"/>
                <w:bdr w:val="none" w:sz="0" w:space="0" w:color="auto" w:frame="1"/>
                <w:lang w:eastAsia="en-CA"/>
              </w:rPr>
              <w:t xml:space="preserve"> to teach in the program semester after semester.</w:t>
            </w:r>
          </w:p>
          <w:p w:rsidR="00D5053E" w:rsidRPr="00BF11E3" w:rsidRDefault="00D5053E" w:rsidP="00D5053E">
            <w:pPr>
              <w:numPr>
                <w:ilvl w:val="0"/>
                <w:numId w:val="22"/>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lang w:eastAsia="en-CA"/>
              </w:rPr>
              <w:t>In the Spring of 2017, D’Arcy McKittrick was nominated for, and won, the Vice President Academic Contract Faculty Teaching Excellence Award.</w:t>
            </w:r>
          </w:p>
          <w:p w:rsidR="00D5053E" w:rsidRPr="00BF11E3" w:rsidRDefault="00D5053E" w:rsidP="00D5053E">
            <w:pPr>
              <w:numPr>
                <w:ilvl w:val="0"/>
                <w:numId w:val="22"/>
              </w:numPr>
              <w:spacing w:before="100" w:beforeAutospacing="1" w:after="100" w:afterAutospacing="1" w:line="240" w:lineRule="auto"/>
              <w:textAlignment w:val="baseline"/>
              <w:rPr>
                <w:rFonts w:ascii="Times New Roman" w:eastAsia="Times New Roman" w:hAnsi="Times New Roman" w:cs="Times New Roman"/>
                <w:color w:val="757575"/>
                <w:sz w:val="18"/>
                <w:szCs w:val="18"/>
                <w:lang w:eastAsia="en-CA"/>
              </w:rPr>
            </w:pPr>
            <w:r w:rsidRPr="00BF11E3">
              <w:rPr>
                <w:rFonts w:ascii="Times New Roman" w:eastAsia="Times New Roman" w:hAnsi="Times New Roman" w:cs="Times New Roman"/>
                <w:color w:val="757575"/>
                <w:sz w:val="18"/>
                <w:szCs w:val="18"/>
                <w:lang w:eastAsia="en-CA"/>
              </w:rPr>
              <w:t>Given the significant growth experienced by this program in recent semesters, advocacy for additional full-time faculty hires is currently underway. Moreover, a joint IBM/GBS and PMG full-time hire has already been approved and interviews are currently underway as of June 2017.</w:t>
            </w:r>
          </w:p>
        </w:tc>
      </w:tr>
    </w:tbl>
    <w:p w:rsidR="00D5053E" w:rsidRDefault="00D5053E"/>
    <w:sectPr w:rsidR="00D505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0CE8"/>
    <w:multiLevelType w:val="multilevel"/>
    <w:tmpl w:val="ABE02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F1607"/>
    <w:multiLevelType w:val="multilevel"/>
    <w:tmpl w:val="654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977312"/>
    <w:multiLevelType w:val="multilevel"/>
    <w:tmpl w:val="ADF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B324F8"/>
    <w:multiLevelType w:val="multilevel"/>
    <w:tmpl w:val="DA46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6245C0"/>
    <w:multiLevelType w:val="multilevel"/>
    <w:tmpl w:val="122A1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303428"/>
    <w:multiLevelType w:val="multilevel"/>
    <w:tmpl w:val="41DC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42679F"/>
    <w:multiLevelType w:val="multilevel"/>
    <w:tmpl w:val="F57A0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7C4DF4"/>
    <w:multiLevelType w:val="multilevel"/>
    <w:tmpl w:val="9F4A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5265FF"/>
    <w:multiLevelType w:val="multilevel"/>
    <w:tmpl w:val="62885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1D5619"/>
    <w:multiLevelType w:val="multilevel"/>
    <w:tmpl w:val="70E2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52542A"/>
    <w:multiLevelType w:val="multilevel"/>
    <w:tmpl w:val="16B0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4E7660"/>
    <w:multiLevelType w:val="multilevel"/>
    <w:tmpl w:val="01D6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454E35"/>
    <w:multiLevelType w:val="multilevel"/>
    <w:tmpl w:val="17E6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E23EEC"/>
    <w:multiLevelType w:val="multilevel"/>
    <w:tmpl w:val="46C6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DE2F4F"/>
    <w:multiLevelType w:val="multilevel"/>
    <w:tmpl w:val="37F4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AE5CFE"/>
    <w:multiLevelType w:val="multilevel"/>
    <w:tmpl w:val="6E7AA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811155"/>
    <w:multiLevelType w:val="multilevel"/>
    <w:tmpl w:val="1EC2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B72F24"/>
    <w:multiLevelType w:val="multilevel"/>
    <w:tmpl w:val="63F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2003E4"/>
    <w:multiLevelType w:val="multilevel"/>
    <w:tmpl w:val="D1F8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6E3829"/>
    <w:multiLevelType w:val="multilevel"/>
    <w:tmpl w:val="97DC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114C29"/>
    <w:multiLevelType w:val="multilevel"/>
    <w:tmpl w:val="26A4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7A1C00"/>
    <w:multiLevelType w:val="multilevel"/>
    <w:tmpl w:val="E4982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0"/>
  </w:num>
  <w:num w:numId="3">
    <w:abstractNumId w:val="3"/>
  </w:num>
  <w:num w:numId="4">
    <w:abstractNumId w:val="9"/>
  </w:num>
  <w:num w:numId="5">
    <w:abstractNumId w:val="18"/>
  </w:num>
  <w:num w:numId="6">
    <w:abstractNumId w:val="5"/>
  </w:num>
  <w:num w:numId="7">
    <w:abstractNumId w:val="7"/>
  </w:num>
  <w:num w:numId="8">
    <w:abstractNumId w:val="11"/>
  </w:num>
  <w:num w:numId="9">
    <w:abstractNumId w:val="16"/>
  </w:num>
  <w:num w:numId="10">
    <w:abstractNumId w:val="14"/>
  </w:num>
  <w:num w:numId="11">
    <w:abstractNumId w:val="17"/>
  </w:num>
  <w:num w:numId="12">
    <w:abstractNumId w:val="2"/>
  </w:num>
  <w:num w:numId="13">
    <w:abstractNumId w:val="6"/>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15"/>
    <w:lvlOverride w:ilvl="0"/>
    <w:lvlOverride w:ilvl="1"/>
    <w:lvlOverride w:ilvl="2"/>
    <w:lvlOverride w:ilvl="3"/>
    <w:lvlOverride w:ilvl="4"/>
    <w:lvlOverride w:ilvl="5"/>
    <w:lvlOverride w:ilvl="6"/>
    <w:lvlOverride w:ilvl="7"/>
    <w:lvlOverride w:ilvl="8"/>
  </w:num>
  <w:num w:numId="16">
    <w:abstractNumId w:val="21"/>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8"/>
    <w:lvlOverride w:ilvl="0"/>
    <w:lvlOverride w:ilvl="1"/>
    <w:lvlOverride w:ilvl="2"/>
    <w:lvlOverride w:ilvl="3"/>
    <w:lvlOverride w:ilvl="4"/>
    <w:lvlOverride w:ilvl="5"/>
    <w:lvlOverride w:ilvl="6"/>
    <w:lvlOverride w:ilvl="7"/>
    <w:lvlOverride w:ilvl="8"/>
  </w:num>
  <w:num w:numId="19">
    <w:abstractNumId w:val="19"/>
  </w:num>
  <w:num w:numId="20">
    <w:abstractNumId w:val="13"/>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6B"/>
    <w:rsid w:val="000C60AD"/>
    <w:rsid w:val="0048346B"/>
    <w:rsid w:val="00C70E5D"/>
    <w:rsid w:val="00D5053E"/>
    <w:rsid w:val="00ED48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59BB"/>
  <w15:chartTrackingRefBased/>
  <w15:docId w15:val="{E94DC037-0F71-4683-BAAF-7ECF0FE8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0E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C70E5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C70E5D"/>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E5D"/>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C70E5D"/>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C70E5D"/>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C70E5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C70E5D"/>
    <w:rPr>
      <w:color w:val="0000FF"/>
      <w:u w:val="single"/>
    </w:rPr>
  </w:style>
  <w:style w:type="character" w:customStyle="1" w:styleId="apple-converted-space">
    <w:name w:val="apple-converted-space"/>
    <w:basedOn w:val="DefaultParagraphFont"/>
    <w:rsid w:val="00C70E5D"/>
  </w:style>
  <w:style w:type="character" w:styleId="Emphasis">
    <w:name w:val="Emphasis"/>
    <w:basedOn w:val="DefaultParagraphFont"/>
    <w:uiPriority w:val="20"/>
    <w:qFormat/>
    <w:rsid w:val="00C70E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36585">
      <w:bodyDiv w:val="1"/>
      <w:marLeft w:val="0"/>
      <w:marRight w:val="0"/>
      <w:marTop w:val="0"/>
      <w:marBottom w:val="0"/>
      <w:divBdr>
        <w:top w:val="none" w:sz="0" w:space="0" w:color="auto"/>
        <w:left w:val="none" w:sz="0" w:space="0" w:color="auto"/>
        <w:bottom w:val="none" w:sz="0" w:space="0" w:color="auto"/>
        <w:right w:val="none" w:sz="0" w:space="0" w:color="auto"/>
      </w:divBdr>
    </w:div>
    <w:div w:id="2101101593">
      <w:bodyDiv w:val="1"/>
      <w:marLeft w:val="0"/>
      <w:marRight w:val="0"/>
      <w:marTop w:val="0"/>
      <w:marBottom w:val="0"/>
      <w:divBdr>
        <w:top w:val="none" w:sz="0" w:space="0" w:color="auto"/>
        <w:left w:val="none" w:sz="0" w:space="0" w:color="auto"/>
        <w:bottom w:val="none" w:sz="0" w:space="0" w:color="auto"/>
        <w:right w:val="none" w:sz="0" w:space="0" w:color="auto"/>
      </w:divBdr>
      <w:divsChild>
        <w:div w:id="1596789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partment.flemingcollege.ca/pcr/programs/project-management-pmg/"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www.algonquincollege.com/business/program/project-management/" TargetMode="External"/><Relationship Id="rId3" Type="http://schemas.openxmlformats.org/officeDocument/2006/relationships/settings" Target="settings.xml"/><Relationship Id="rId21" Type="http://schemas.openxmlformats.org/officeDocument/2006/relationships/hyperlink" Target="https://department.flemingcollege.ca/pcr/attachment/10019/download" TargetMode="External"/><Relationship Id="rId34" Type="http://schemas.openxmlformats.org/officeDocument/2006/relationships/hyperlink" Target="http://department.flemingcollege.ca/pcr/programs/project-management-pmg/" TargetMode="External"/><Relationship Id="rId7" Type="http://schemas.openxmlformats.org/officeDocument/2006/relationships/hyperlink" Target="http://flemingcollege.ca.libguides.com/c.php?g=352050&amp;p=2928274&amp;preview=b95f54d7aac762d4b69c9999be1eab9a" TargetMode="External"/><Relationship Id="rId12" Type="http://schemas.openxmlformats.org/officeDocument/2006/relationships/hyperlink" Target="https://department.flemingcollege.ca/pcr/attachment/10015/download" TargetMode="External"/><Relationship Id="rId17" Type="http://schemas.openxmlformats.org/officeDocument/2006/relationships/hyperlink" Target="https://department.flemingcollege.ca/pcr/attachment/10017/download" TargetMode="External"/><Relationship Id="rId25" Type="http://schemas.openxmlformats.org/officeDocument/2006/relationships/hyperlink" Target="http://www.durhamcollege.ca/programs/project-management" TargetMode="External"/><Relationship Id="rId33" Type="http://schemas.openxmlformats.org/officeDocument/2006/relationships/hyperlink" Target="https://mycampus.flemingcollege.ca/group/portal/new-product-development"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appliedtechnology.humber.ca/programs/certificates/project-management.html" TargetMode="External"/><Relationship Id="rId1" Type="http://schemas.openxmlformats.org/officeDocument/2006/relationships/numbering" Target="numbering.xml"/><Relationship Id="rId6" Type="http://schemas.openxmlformats.org/officeDocument/2006/relationships/hyperlink" Target="http://flemingcollege.ca.libguides.com/c.php?g=352050&amp;p=2928274&amp;preview=b95f54d7aac762d4b69c9999be1eab9a" TargetMode="External"/><Relationship Id="rId11" Type="http://schemas.openxmlformats.org/officeDocument/2006/relationships/image" Target="media/image1.png"/><Relationship Id="rId24" Type="http://schemas.openxmlformats.org/officeDocument/2006/relationships/hyperlink" Target="https://department.flemingcollege.ca/fdr/competitor-analysis/" TargetMode="External"/><Relationship Id="rId32" Type="http://schemas.openxmlformats.org/officeDocument/2006/relationships/hyperlink" Target="http://flemingcollege.ca/education-pathways" TargetMode="External"/><Relationship Id="rId5" Type="http://schemas.openxmlformats.org/officeDocument/2006/relationships/hyperlink" Target="http://department.flemingcollege.ca/pcr/programs/project-management-pmg/" TargetMode="External"/><Relationship Id="rId15" Type="http://schemas.openxmlformats.org/officeDocument/2006/relationships/hyperlink" Target="https://department.flemingcollege.ca/pcr/attachment/10016/download" TargetMode="External"/><Relationship Id="rId23" Type="http://schemas.openxmlformats.org/officeDocument/2006/relationships/hyperlink" Target="http://department.flemingcollege.ca/pcr/programs/project-management-pmg/" TargetMode="External"/><Relationship Id="rId28" Type="http://schemas.openxmlformats.org/officeDocument/2006/relationships/hyperlink" Target="http://www.georgebrown.ca/B415-2017-2018/" TargetMode="External"/><Relationship Id="rId36" Type="http://schemas.openxmlformats.org/officeDocument/2006/relationships/theme" Target="theme/theme1.xml"/><Relationship Id="rId10" Type="http://schemas.openxmlformats.org/officeDocument/2006/relationships/hyperlink" Target="https://department.flemingcollege.ca/pcr/attachment/10014/download" TargetMode="External"/><Relationship Id="rId19" Type="http://schemas.openxmlformats.org/officeDocument/2006/relationships/hyperlink" Target="https://department.flemingcollege.ca/pcr/attachment/10018/download" TargetMode="External"/><Relationship Id="rId31" Type="http://schemas.openxmlformats.org/officeDocument/2006/relationships/hyperlink" Target="http://flemingcollege.ca/education-pathways/" TargetMode="External"/><Relationship Id="rId4" Type="http://schemas.openxmlformats.org/officeDocument/2006/relationships/webSettings" Target="webSettings.xml"/><Relationship Id="rId9" Type="http://schemas.openxmlformats.org/officeDocument/2006/relationships/hyperlink" Target="http://department.flemingcollege.ca/pcr/data/key-performance-indicators" TargetMode="External"/><Relationship Id="rId14" Type="http://schemas.openxmlformats.org/officeDocument/2006/relationships/hyperlink" Target="https://department.flemingcollege.ca/pcr/data/enrolment-trends/" TargetMode="External"/><Relationship Id="rId22" Type="http://schemas.openxmlformats.org/officeDocument/2006/relationships/image" Target="media/image6.png"/><Relationship Id="rId27" Type="http://schemas.openxmlformats.org/officeDocument/2006/relationships/hyperlink" Target="http://www.centennialcollege.ca/programs-courses/full-time/project-management/" TargetMode="External"/><Relationship Id="rId30" Type="http://schemas.openxmlformats.org/officeDocument/2006/relationships/hyperlink" Target="https://academics.sheridancollege.ca/programs/project-management.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6DC73A31</Template>
  <TotalTime>2</TotalTime>
  <Pages>10</Pages>
  <Words>2819</Words>
  <Characters>16071</Characters>
  <Application>Microsoft Office Word</Application>
  <DocSecurity>0</DocSecurity>
  <Lines>133</Lines>
  <Paragraphs>37</Paragraphs>
  <ScaleCrop>false</ScaleCrop>
  <Company>Fleming College</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MacDougall</dc:creator>
  <cp:keywords/>
  <dc:description/>
  <cp:lastModifiedBy>Melissa MacDougall</cp:lastModifiedBy>
  <cp:revision>3</cp:revision>
  <dcterms:created xsi:type="dcterms:W3CDTF">2018-08-24T19:59:00Z</dcterms:created>
  <dcterms:modified xsi:type="dcterms:W3CDTF">2018-10-10T17:15:00Z</dcterms:modified>
</cp:coreProperties>
</file>