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75447B" w:rsidP="00373FD2">
            <w:pPr>
              <w:pStyle w:val="Header"/>
              <w:jc w:val="center"/>
              <w:rPr>
                <w:rFonts w:cs="Arial"/>
                <w:b/>
                <w:szCs w:val="22"/>
                <w:lang w:val="en-CA"/>
              </w:rPr>
            </w:pPr>
            <w:r>
              <w:rPr>
                <w:rFonts w:cs="Arial"/>
                <w:b/>
                <w:szCs w:val="22"/>
                <w:lang w:val="en-CA"/>
              </w:rPr>
              <w:t>James Faulkner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75447B" w:rsidP="00373FD2">
            <w:pPr>
              <w:pStyle w:val="Header"/>
              <w:jc w:val="center"/>
              <w:rPr>
                <w:rFonts w:cs="Arial"/>
                <w:b/>
                <w:szCs w:val="22"/>
                <w:lang w:val="en-CA"/>
              </w:rPr>
            </w:pPr>
            <w:r>
              <w:rPr>
                <w:rFonts w:cs="Arial"/>
                <w:b/>
                <w:szCs w:val="22"/>
                <w:lang w:val="en-CA"/>
              </w:rPr>
              <w:t>Trades and Technology</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75447B" w:rsidP="00373FD2">
            <w:pPr>
              <w:pStyle w:val="Header"/>
              <w:jc w:val="center"/>
              <w:rPr>
                <w:rFonts w:cs="Arial"/>
                <w:b/>
                <w:szCs w:val="22"/>
                <w:lang w:val="en-CA"/>
              </w:rPr>
            </w:pPr>
            <w:r>
              <w:rPr>
                <w:rFonts w:cs="Arial"/>
                <w:b/>
                <w:szCs w:val="22"/>
                <w:lang w:val="en-CA"/>
              </w:rPr>
              <w:t xml:space="preserve">MTCU </w:t>
            </w:r>
            <w:r w:rsidR="005E3FF9">
              <w:rPr>
                <w:rFonts w:cs="Arial"/>
                <w:b/>
                <w:szCs w:val="22"/>
                <w:lang w:val="en-CA"/>
              </w:rPr>
              <w:t>55500</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2679A6" w:rsidP="002679A6">
            <w:pPr>
              <w:pStyle w:val="Header"/>
              <w:jc w:val="center"/>
              <w:rPr>
                <w:rFonts w:cs="Arial"/>
                <w:b/>
                <w:szCs w:val="22"/>
                <w:lang w:val="en-CA"/>
              </w:rPr>
            </w:pPr>
            <w:r>
              <w:rPr>
                <w:rFonts w:cs="Arial"/>
                <w:b/>
                <w:szCs w:val="22"/>
                <w:lang w:val="en-CA"/>
              </w:rPr>
              <w:t>SPRING</w:t>
            </w:r>
            <w:r w:rsidR="0075447B">
              <w:rPr>
                <w:rFonts w:cs="Arial"/>
                <w:b/>
                <w:szCs w:val="22"/>
                <w:lang w:val="en-CA"/>
              </w:rPr>
              <w:t xml:space="preserve"> 201</w:t>
            </w:r>
            <w:r>
              <w:rPr>
                <w:rFonts w:cs="Arial"/>
                <w:b/>
                <w:szCs w:val="22"/>
                <w:lang w:val="en-CA"/>
              </w:rPr>
              <w:t>5</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75447B" w:rsidP="0075447B">
            <w:pPr>
              <w:pStyle w:val="Header"/>
              <w:jc w:val="center"/>
              <w:rPr>
                <w:rFonts w:cs="Arial"/>
                <w:b/>
                <w:szCs w:val="22"/>
                <w:lang w:val="en-CA"/>
              </w:rPr>
            </w:pPr>
            <w:r>
              <w:rPr>
                <w:rFonts w:cs="Arial"/>
                <w:b/>
                <w:szCs w:val="22"/>
                <w:lang w:val="en-CA"/>
              </w:rPr>
              <w:t>HVT - Heating, Refrigeration, and Air Conditioning (HRAC)</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r>
              <w:rPr>
                <w:rFonts w:cs="Arial"/>
                <w:sz w:val="20"/>
              </w:rPr>
              <w:t>Are there 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related issues and trends identified over the past year and their potential impact on the program</w:t>
            </w:r>
            <w:r>
              <w:rPr>
                <w:rFonts w:cs="Arial"/>
                <w:sz w:val="20"/>
              </w:rPr>
              <w:t>?</w:t>
            </w:r>
          </w:p>
          <w:p w:rsidR="00373FD2"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rsidR="00E53856" w:rsidRDefault="00E53856" w:rsidP="00E53856">
            <w:pPr>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rsidR="00373FD2" w:rsidRDefault="00373FD2" w:rsidP="00373FD2">
            <w:pPr>
              <w:rPr>
                <w:rFonts w:cs="Arial"/>
                <w:sz w:val="20"/>
              </w:rPr>
            </w:pPr>
          </w:p>
          <w:p w:rsidR="00373FD2" w:rsidRPr="00902FB1"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rsidR="00373FD2" w:rsidRDefault="00373FD2" w:rsidP="00373FD2">
            <w:pPr>
              <w:rPr>
                <w:rFonts w:cs="Arial"/>
                <w:sz w:val="20"/>
              </w:rPr>
            </w:pPr>
          </w:p>
          <w:p w:rsidR="00373FD2" w:rsidRPr="00CE2383"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rsidR="00D10535" w:rsidRPr="00356C80" w:rsidRDefault="00D10535" w:rsidP="00D10535">
            <w:pPr>
              <w:ind w:left="72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rsidR="00934D14" w:rsidRDefault="00934D14" w:rsidP="00934D14">
            <w:pPr>
              <w:tabs>
                <w:tab w:val="left" w:pos="681"/>
                <w:tab w:val="left" w:pos="972"/>
              </w:tabs>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p>
          <w:p w:rsidR="00934D14" w:rsidRDefault="00934D14" w:rsidP="00934D14">
            <w:pPr>
              <w:tabs>
                <w:tab w:val="left" w:pos="681"/>
                <w:tab w:val="left" w:pos="972"/>
              </w:tabs>
              <w:ind w:left="72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r w:rsidR="00033EE1">
              <w:rPr>
                <w:rFonts w:cs="Arial"/>
                <w:sz w:val="20"/>
              </w:rPr>
              <w:t xml:space="preserve"> </w:t>
            </w:r>
          </w:p>
          <w:p w:rsidR="00033EE1" w:rsidRDefault="00033EE1" w:rsidP="00033EE1">
            <w:pPr>
              <w:tabs>
                <w:tab w:val="left" w:pos="681"/>
                <w:tab w:val="left" w:pos="972"/>
              </w:tabs>
              <w:ind w:left="681"/>
              <w:rPr>
                <w:rFonts w:cs="Arial"/>
                <w:sz w:val="20"/>
              </w:rPr>
            </w:pPr>
          </w:p>
          <w:p w:rsidR="009702C9" w:rsidRDefault="00033EE1" w:rsidP="00033EE1">
            <w:pPr>
              <w:tabs>
                <w:tab w:val="left" w:pos="681"/>
                <w:tab w:val="left" w:pos="972"/>
              </w:tabs>
              <w:ind w:left="681"/>
              <w:rPr>
                <w:rFonts w:cs="Arial"/>
                <w:sz w:val="20"/>
              </w:rPr>
            </w:pPr>
            <w:r>
              <w:rPr>
                <w:rFonts w:cs="Arial"/>
                <w:sz w:val="20"/>
              </w:rPr>
              <w:t xml:space="preserve">Students who complete the Mechanical Techniques – Plumbing or Trades Fundamentals Certificate programs can also pathway into HRAC. </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033EE1" w:rsidRDefault="00033EE1" w:rsidP="00033EE1">
            <w:pPr>
              <w:tabs>
                <w:tab w:val="left" w:pos="681"/>
                <w:tab w:val="left" w:pos="972"/>
              </w:tabs>
              <w:rPr>
                <w:rFonts w:cs="Arial"/>
                <w:sz w:val="20"/>
              </w:rPr>
            </w:pPr>
          </w:p>
          <w:p w:rsidR="00033EE1" w:rsidRDefault="00B10872" w:rsidP="00033EE1">
            <w:pPr>
              <w:tabs>
                <w:tab w:val="left" w:pos="681"/>
                <w:tab w:val="left" w:pos="972"/>
              </w:tabs>
              <w:ind w:left="681"/>
              <w:rPr>
                <w:rFonts w:cs="Arial"/>
                <w:sz w:val="20"/>
              </w:rPr>
            </w:pPr>
            <w:r>
              <w:rPr>
                <w:rFonts w:cs="Arial"/>
                <w:sz w:val="20"/>
              </w:rPr>
              <w:t xml:space="preserve">No, the newest HRAC program launch </w:t>
            </w:r>
            <w:r w:rsidR="000749E1">
              <w:rPr>
                <w:rFonts w:cs="Arial"/>
                <w:sz w:val="20"/>
              </w:rPr>
              <w:t xml:space="preserve">was </w:t>
            </w:r>
            <w:r>
              <w:rPr>
                <w:rFonts w:cs="Arial"/>
                <w:sz w:val="20"/>
              </w:rPr>
              <w:t xml:space="preserve">from Centennial College in fall 2012. </w:t>
            </w:r>
          </w:p>
          <w:p w:rsidR="00373FD2" w:rsidRPr="00356C80" w:rsidRDefault="00373FD2" w:rsidP="00373FD2">
            <w:pPr>
              <w:tabs>
                <w:tab w:val="left" w:pos="252"/>
                <w:tab w:val="left" w:pos="972"/>
              </w:tabs>
              <w:ind w:left="72"/>
              <w:rPr>
                <w:rFonts w:cs="Arial"/>
                <w:sz w:val="20"/>
              </w:rPr>
            </w:pPr>
          </w:p>
          <w:p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rsidR="00B10872" w:rsidRDefault="00B10872" w:rsidP="00B10872">
            <w:pPr>
              <w:tabs>
                <w:tab w:val="left" w:pos="681"/>
                <w:tab w:val="left" w:pos="972"/>
              </w:tabs>
              <w:ind w:left="681"/>
              <w:rPr>
                <w:rFonts w:cs="Arial"/>
                <w:sz w:val="20"/>
              </w:rPr>
            </w:pPr>
          </w:p>
          <w:p w:rsidR="00B10872" w:rsidRDefault="00111B5B" w:rsidP="00B10872">
            <w:pPr>
              <w:tabs>
                <w:tab w:val="left" w:pos="681"/>
                <w:tab w:val="left" w:pos="972"/>
              </w:tabs>
              <w:ind w:left="720"/>
              <w:rPr>
                <w:rFonts w:cs="Arial"/>
                <w:sz w:val="20"/>
              </w:rPr>
            </w:pPr>
            <w:r>
              <w:rPr>
                <w:rFonts w:cs="Arial"/>
                <w:sz w:val="20"/>
              </w:rPr>
              <w:t xml:space="preserve">Fleming continues to seek TDA status for a number of Trades.  </w:t>
            </w:r>
            <w:r w:rsidR="00DC58EB">
              <w:rPr>
                <w:rFonts w:cs="Arial"/>
                <w:sz w:val="20"/>
              </w:rPr>
              <w:t xml:space="preserve"> </w:t>
            </w:r>
          </w:p>
          <w:p w:rsidR="001D5C52" w:rsidRDefault="001D5C52" w:rsidP="001D5C52">
            <w:pPr>
              <w:pStyle w:val="ListParagraph"/>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rsidR="00373FD2" w:rsidRPr="00356C80" w:rsidRDefault="00373FD2" w:rsidP="000749E1">
            <w:pPr>
              <w:tabs>
                <w:tab w:val="left" w:pos="681"/>
                <w:tab w:val="left" w:pos="972"/>
              </w:tabs>
              <w:ind w:left="720"/>
              <w:rPr>
                <w:rFonts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4C2936">
            <w:pPr>
              <w:numPr>
                <w:ilvl w:val="1"/>
                <w:numId w:val="5"/>
              </w:numPr>
              <w:tabs>
                <w:tab w:val="left" w:pos="252"/>
                <w:tab w:val="left" w:pos="681"/>
              </w:tabs>
              <w:rPr>
                <w:rFonts w:cs="Arial"/>
                <w:sz w:val="20"/>
              </w:rPr>
            </w:pPr>
            <w:r>
              <w:rPr>
                <w:rFonts w:cs="Arial"/>
                <w:sz w:val="20"/>
              </w:rPr>
              <w:t>In the</w:t>
            </w:r>
            <w:r w:rsidR="0087727A">
              <w:rPr>
                <w:rFonts w:cs="Arial"/>
                <w:sz w:val="20"/>
              </w:rPr>
              <w:t xml:space="preserve"> 2013/14 academic year, </w:t>
            </w:r>
            <w:r>
              <w:rPr>
                <w:rFonts w:cs="Arial"/>
                <w:sz w:val="20"/>
              </w:rPr>
              <w:t>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p>
          <w:p w:rsidR="00111B5B" w:rsidRDefault="00111B5B" w:rsidP="00111B5B">
            <w:pPr>
              <w:tabs>
                <w:tab w:val="left" w:pos="252"/>
                <w:tab w:val="left" w:pos="681"/>
              </w:tabs>
              <w:rPr>
                <w:rFonts w:cs="Arial"/>
                <w:sz w:val="20"/>
              </w:rPr>
            </w:pPr>
          </w:p>
          <w:p w:rsidR="00111B5B" w:rsidRPr="003D338F" w:rsidRDefault="00111B5B" w:rsidP="00111B5B">
            <w:pPr>
              <w:tabs>
                <w:tab w:val="left" w:pos="252"/>
                <w:tab w:val="left" w:pos="681"/>
              </w:tabs>
              <w:ind w:left="720"/>
              <w:rPr>
                <w:rFonts w:cs="Arial"/>
                <w:sz w:val="20"/>
              </w:rPr>
            </w:pPr>
            <w:r>
              <w:rPr>
                <w:rFonts w:cs="Arial"/>
                <w:sz w:val="20"/>
              </w:rPr>
              <w:t>Applied learning is embedded throughout the program within hands-on labs.</w:t>
            </w:r>
          </w:p>
          <w:p w:rsidR="003D338F" w:rsidRDefault="003D338F" w:rsidP="003D338F">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111B5B" w:rsidRDefault="00111B5B" w:rsidP="00111B5B">
            <w:pPr>
              <w:tabs>
                <w:tab w:val="left" w:pos="252"/>
                <w:tab w:val="left" w:pos="681"/>
              </w:tabs>
              <w:rPr>
                <w:rFonts w:cs="Arial"/>
                <w:sz w:val="20"/>
              </w:rPr>
            </w:pPr>
          </w:p>
          <w:p w:rsidR="00111B5B" w:rsidRPr="001D5C52" w:rsidRDefault="00111B5B" w:rsidP="009702C9">
            <w:pPr>
              <w:tabs>
                <w:tab w:val="left" w:pos="252"/>
                <w:tab w:val="left" w:pos="681"/>
              </w:tabs>
              <w:ind w:left="720"/>
              <w:rPr>
                <w:rFonts w:cs="Arial"/>
                <w:sz w:val="20"/>
              </w:rPr>
            </w:pPr>
            <w:r>
              <w:rPr>
                <w:rFonts w:cs="Arial"/>
                <w:sz w:val="20"/>
              </w:rPr>
              <w:t>There is demand for HRAC students/graduates in the local area. The idea of introducing a paid co-op may be explored in the next 2-4 years.</w:t>
            </w:r>
          </w:p>
        </w:tc>
      </w:tr>
      <w:tr w:rsidR="00373FD2" w:rsidRPr="00356C80" w:rsidTr="00367B3B">
        <w:tc>
          <w:tcPr>
            <w:tcW w:w="10206" w:type="dxa"/>
            <w:tcMar>
              <w:top w:w="113" w:type="dxa"/>
              <w:bottom w:w="113" w:type="dxa"/>
            </w:tcMar>
          </w:tcPr>
          <w:p w:rsidR="00373FD2" w:rsidRPr="00E81B27" w:rsidRDefault="00C7383E" w:rsidP="00373FD2">
            <w:pPr>
              <w:tabs>
                <w:tab w:val="left" w:pos="252"/>
                <w:tab w:val="left" w:pos="972"/>
              </w:tabs>
              <w:ind w:left="252" w:hanging="180"/>
              <w:rPr>
                <w:rFonts w:cs="Arial"/>
                <w:b/>
                <w:sz w:val="20"/>
              </w:rPr>
            </w:pPr>
            <w:r>
              <w:br w:type="page"/>
            </w:r>
            <w:r w:rsidR="00373FD2"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9702C9"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D4238F" w:rsidRDefault="00D4238F" w:rsidP="00D4238F">
            <w:pPr>
              <w:tabs>
                <w:tab w:val="left" w:pos="681"/>
              </w:tabs>
              <w:ind w:left="1290" w:hanging="609"/>
              <w:rPr>
                <w:rFonts w:cs="Arial"/>
                <w:sz w:val="20"/>
              </w:rPr>
            </w:pPr>
            <w:r w:rsidRPr="00D4238F">
              <w:rPr>
                <w:rFonts w:cs="Arial"/>
                <w:sz w:val="20"/>
                <w:highlight w:val="yellow"/>
              </w:rPr>
              <w:t>Note the significant increase in satisfaction with the learning experience and teachers. Graduate satisfaction with the program is also above the system average.</w:t>
            </w:r>
            <w:r>
              <w:rPr>
                <w:rFonts w:cs="Arial"/>
                <w:sz w:val="20"/>
              </w:rPr>
              <w:t xml:space="preserve"> </w:t>
            </w:r>
          </w:p>
          <w:p w:rsidR="00D4238F" w:rsidRDefault="00D4238F" w:rsidP="00D4238F">
            <w:pPr>
              <w:tabs>
                <w:tab w:val="left" w:pos="7380"/>
              </w:tabs>
              <w:ind w:left="681" w:hanging="609"/>
              <w:rPr>
                <w:rFonts w:cs="Arial"/>
                <w:sz w:val="20"/>
              </w:rPr>
            </w:pPr>
            <w:r>
              <w:rPr>
                <w:rFonts w:cs="Arial"/>
                <w:sz w:val="20"/>
              </w:rPr>
              <w:tab/>
            </w:r>
            <w:r>
              <w:rPr>
                <w:rFonts w:cs="Arial"/>
                <w:sz w:val="20"/>
              </w:rPr>
              <w:tab/>
            </w:r>
          </w:p>
          <w:p w:rsidR="00563269" w:rsidRPr="00C7383E" w:rsidRDefault="00563269" w:rsidP="00563269">
            <w:pPr>
              <w:ind w:left="681"/>
              <w:rPr>
                <w:rFonts w:ascii="Times New Roman" w:hAnsi="Times New Roman"/>
                <w:sz w:val="24"/>
                <w:szCs w:val="24"/>
              </w:rPr>
            </w:pPr>
            <w:r w:rsidRPr="00C7383E">
              <w:rPr>
                <w:rFonts w:ascii="Times New Roman" w:hAnsi="Times New Roman"/>
                <w:sz w:val="24"/>
                <w:szCs w:val="24"/>
              </w:rPr>
              <w:t xml:space="preserve">HRAC KPI analysis for </w:t>
            </w:r>
            <w:r w:rsidRPr="00563269">
              <w:rPr>
                <w:rFonts w:ascii="Times New Roman" w:hAnsi="Times New Roman"/>
                <w:sz w:val="24"/>
                <w:szCs w:val="24"/>
                <w:highlight w:val="yellow"/>
              </w:rPr>
              <w:t>2014 Reporting Year</w:t>
            </w:r>
          </w:p>
          <w:tbl>
            <w:tblPr>
              <w:tblStyle w:val="TableGrid"/>
              <w:tblW w:w="7763" w:type="dxa"/>
              <w:tblInd w:w="607" w:type="dxa"/>
              <w:tblLayout w:type="fixed"/>
              <w:tblLook w:val="04A0" w:firstRow="1" w:lastRow="0" w:firstColumn="1" w:lastColumn="0" w:noHBand="0" w:noVBand="1"/>
            </w:tblPr>
            <w:tblGrid>
              <w:gridCol w:w="5495"/>
              <w:gridCol w:w="2268"/>
            </w:tblGrid>
            <w:tr w:rsidR="00563269" w:rsidRPr="00C7383E" w:rsidTr="00563269">
              <w:tc>
                <w:tcPr>
                  <w:tcW w:w="5495" w:type="dxa"/>
                </w:tcPr>
                <w:p w:rsidR="00563269" w:rsidRPr="00C7383E" w:rsidRDefault="00563269" w:rsidP="00563269">
                  <w:pPr>
                    <w:tabs>
                      <w:tab w:val="left" w:pos="1972"/>
                    </w:tabs>
                    <w:rPr>
                      <w:rFonts w:ascii="Times New Roman" w:hAnsi="Times New Roman"/>
                      <w:sz w:val="24"/>
                      <w:szCs w:val="24"/>
                    </w:rPr>
                  </w:pPr>
                  <w:r w:rsidRPr="00C7383E">
                    <w:rPr>
                      <w:rFonts w:ascii="Times New Roman" w:hAnsi="Times New Roman"/>
                      <w:sz w:val="24"/>
                      <w:szCs w:val="24"/>
                    </w:rPr>
                    <w:tab/>
                    <w:t>KPI Indicator</w:t>
                  </w:r>
                </w:p>
              </w:tc>
              <w:tc>
                <w:tcPr>
                  <w:tcW w:w="2268" w:type="dxa"/>
                </w:tcPr>
                <w:p w:rsidR="00563269" w:rsidRPr="00C7383E" w:rsidRDefault="00563269" w:rsidP="00563269">
                  <w:pPr>
                    <w:tabs>
                      <w:tab w:val="left" w:pos="1972"/>
                    </w:tabs>
                    <w:rPr>
                      <w:rFonts w:ascii="Times New Roman" w:hAnsi="Times New Roman"/>
                      <w:sz w:val="24"/>
                      <w:szCs w:val="24"/>
                    </w:rPr>
                  </w:pPr>
                  <w:r w:rsidRPr="00C7383E">
                    <w:rPr>
                      <w:rFonts w:ascii="Times New Roman" w:hAnsi="Times New Roman"/>
                      <w:sz w:val="24"/>
                      <w:szCs w:val="24"/>
                    </w:rPr>
                    <w:t>Benchmark Gap</w:t>
                  </w:r>
                </w:p>
              </w:tc>
            </w:tr>
            <w:tr w:rsidR="00563269" w:rsidRPr="00C7383E" w:rsidTr="00563269">
              <w:tc>
                <w:tcPr>
                  <w:tcW w:w="5495" w:type="dxa"/>
                </w:tcPr>
                <w:p w:rsidR="00563269" w:rsidRPr="00C7383E" w:rsidRDefault="00563269" w:rsidP="00563269">
                  <w:pPr>
                    <w:rPr>
                      <w:rFonts w:ascii="Times New Roman" w:hAnsi="Times New Roman"/>
                      <w:sz w:val="24"/>
                      <w:szCs w:val="24"/>
                    </w:rPr>
                  </w:pPr>
                  <w:r w:rsidRPr="00C7383E">
                    <w:rPr>
                      <w:rFonts w:ascii="Times New Roman" w:hAnsi="Times New Roman"/>
                      <w:sz w:val="24"/>
                      <w:szCs w:val="24"/>
                    </w:rPr>
                    <w:t xml:space="preserve">KPI#4: Graduate Satisfaction, Learning Outcomes   </w:t>
                  </w:r>
                </w:p>
              </w:tc>
              <w:tc>
                <w:tcPr>
                  <w:tcW w:w="2268" w:type="dxa"/>
                </w:tcPr>
                <w:p w:rsidR="00563269" w:rsidRPr="00C7383E" w:rsidRDefault="00563269" w:rsidP="00563269">
                  <w:pPr>
                    <w:jc w:val="center"/>
                    <w:rPr>
                      <w:rFonts w:ascii="Times New Roman" w:hAnsi="Times New Roman"/>
                      <w:sz w:val="24"/>
                      <w:szCs w:val="24"/>
                    </w:rPr>
                  </w:pPr>
                  <w:r w:rsidRPr="00C7383E">
                    <w:rPr>
                      <w:rFonts w:ascii="Times New Roman" w:hAnsi="Times New Roman"/>
                      <w:sz w:val="24"/>
                      <w:szCs w:val="24"/>
                    </w:rPr>
                    <w:t>N/A</w:t>
                  </w:r>
                </w:p>
              </w:tc>
            </w:tr>
            <w:tr w:rsidR="00563269" w:rsidRPr="00C7383E" w:rsidTr="00563269">
              <w:tc>
                <w:tcPr>
                  <w:tcW w:w="5495" w:type="dxa"/>
                </w:tcPr>
                <w:p w:rsidR="00563269" w:rsidRPr="00C7383E" w:rsidRDefault="00563269" w:rsidP="00563269">
                  <w:pPr>
                    <w:rPr>
                      <w:rFonts w:ascii="Times New Roman" w:hAnsi="Times New Roman"/>
                      <w:sz w:val="24"/>
                      <w:szCs w:val="24"/>
                    </w:rPr>
                  </w:pPr>
                  <w:r w:rsidRPr="00C7383E">
                    <w:rPr>
                      <w:rFonts w:ascii="Times New Roman" w:hAnsi="Times New Roman"/>
                      <w:sz w:val="24"/>
                      <w:szCs w:val="24"/>
                    </w:rPr>
                    <w:t xml:space="preserve">KPI#8: Student Satisfaction, Learning Experience </w:t>
                  </w:r>
                </w:p>
              </w:tc>
              <w:tc>
                <w:tcPr>
                  <w:tcW w:w="2268" w:type="dxa"/>
                </w:tcPr>
                <w:p w:rsidR="00563269" w:rsidRPr="00C7383E" w:rsidRDefault="00563269" w:rsidP="00563269">
                  <w:pPr>
                    <w:jc w:val="center"/>
                    <w:rPr>
                      <w:rFonts w:ascii="Times New Roman" w:hAnsi="Times New Roman"/>
                      <w:sz w:val="24"/>
                      <w:szCs w:val="24"/>
                    </w:rPr>
                  </w:pPr>
                  <w:r w:rsidRPr="00C7383E">
                    <w:rPr>
                      <w:rFonts w:ascii="Times New Roman" w:hAnsi="Times New Roman"/>
                      <w:sz w:val="24"/>
                      <w:szCs w:val="24"/>
                    </w:rPr>
                    <w:t>-27.85</w:t>
                  </w:r>
                </w:p>
              </w:tc>
            </w:tr>
            <w:tr w:rsidR="00563269" w:rsidRPr="00C7383E" w:rsidTr="00563269">
              <w:tc>
                <w:tcPr>
                  <w:tcW w:w="5495" w:type="dxa"/>
                </w:tcPr>
                <w:p w:rsidR="00563269" w:rsidRPr="00C7383E" w:rsidRDefault="00563269" w:rsidP="00563269">
                  <w:pPr>
                    <w:rPr>
                      <w:rFonts w:ascii="Times New Roman" w:hAnsi="Times New Roman"/>
                      <w:sz w:val="24"/>
                      <w:szCs w:val="24"/>
                    </w:rPr>
                  </w:pPr>
                  <w:r w:rsidRPr="00C7383E">
                    <w:rPr>
                      <w:rFonts w:ascii="Times New Roman" w:hAnsi="Times New Roman"/>
                      <w:sz w:val="24"/>
                      <w:szCs w:val="24"/>
                    </w:rPr>
                    <w:t>KPI#9: Student Satisfaction, Teachers</w:t>
                  </w:r>
                </w:p>
              </w:tc>
              <w:tc>
                <w:tcPr>
                  <w:tcW w:w="2268" w:type="dxa"/>
                </w:tcPr>
                <w:p w:rsidR="00563269" w:rsidRPr="00C7383E" w:rsidRDefault="00563269" w:rsidP="00563269">
                  <w:pPr>
                    <w:jc w:val="center"/>
                    <w:rPr>
                      <w:rFonts w:ascii="Times New Roman" w:hAnsi="Times New Roman"/>
                      <w:sz w:val="24"/>
                      <w:szCs w:val="24"/>
                    </w:rPr>
                  </w:pPr>
                  <w:r w:rsidRPr="00C7383E">
                    <w:rPr>
                      <w:rFonts w:ascii="Times New Roman" w:hAnsi="Times New Roman"/>
                      <w:sz w:val="24"/>
                      <w:szCs w:val="24"/>
                    </w:rPr>
                    <w:t>-9.30</w:t>
                  </w:r>
                </w:p>
              </w:tc>
            </w:tr>
            <w:tr w:rsidR="00563269" w:rsidRPr="00C7383E" w:rsidTr="00563269">
              <w:tc>
                <w:tcPr>
                  <w:tcW w:w="5495" w:type="dxa"/>
                </w:tcPr>
                <w:p w:rsidR="00563269" w:rsidRPr="00C7383E" w:rsidRDefault="00563269" w:rsidP="00563269">
                  <w:pPr>
                    <w:rPr>
                      <w:rFonts w:ascii="Times New Roman" w:hAnsi="Times New Roman"/>
                      <w:sz w:val="24"/>
                      <w:szCs w:val="24"/>
                    </w:rPr>
                  </w:pPr>
                  <w:r w:rsidRPr="00C7383E">
                    <w:rPr>
                      <w:rFonts w:ascii="Times New Roman" w:hAnsi="Times New Roman"/>
                      <w:sz w:val="24"/>
                      <w:szCs w:val="24"/>
                    </w:rPr>
                    <w:t xml:space="preserve">KPI#11: Graduate Satisfaction, Program </w:t>
                  </w:r>
                </w:p>
              </w:tc>
              <w:tc>
                <w:tcPr>
                  <w:tcW w:w="2268" w:type="dxa"/>
                </w:tcPr>
                <w:p w:rsidR="00563269" w:rsidRPr="00C7383E" w:rsidRDefault="00563269" w:rsidP="00563269">
                  <w:pPr>
                    <w:jc w:val="center"/>
                    <w:rPr>
                      <w:rFonts w:ascii="Times New Roman" w:hAnsi="Times New Roman"/>
                      <w:sz w:val="24"/>
                      <w:szCs w:val="24"/>
                    </w:rPr>
                  </w:pPr>
                  <w:r w:rsidRPr="00C7383E">
                    <w:rPr>
                      <w:rFonts w:ascii="Times New Roman" w:hAnsi="Times New Roman"/>
                      <w:sz w:val="24"/>
                      <w:szCs w:val="24"/>
                    </w:rPr>
                    <w:t>N/A</w:t>
                  </w:r>
                </w:p>
              </w:tc>
            </w:tr>
          </w:tbl>
          <w:p w:rsidR="00563269" w:rsidRDefault="00563269" w:rsidP="00C7383E">
            <w:pPr>
              <w:ind w:left="681"/>
              <w:rPr>
                <w:rFonts w:ascii="Times New Roman" w:hAnsi="Times New Roman"/>
                <w:sz w:val="24"/>
                <w:szCs w:val="24"/>
              </w:rPr>
            </w:pPr>
          </w:p>
          <w:p w:rsidR="00C7383E" w:rsidRPr="00C7383E" w:rsidRDefault="00C7383E" w:rsidP="00C7383E">
            <w:pPr>
              <w:ind w:left="681"/>
              <w:rPr>
                <w:rFonts w:ascii="Times New Roman" w:hAnsi="Times New Roman"/>
                <w:sz w:val="24"/>
                <w:szCs w:val="24"/>
              </w:rPr>
            </w:pPr>
            <w:r w:rsidRPr="00C7383E">
              <w:rPr>
                <w:rFonts w:ascii="Times New Roman" w:hAnsi="Times New Roman"/>
                <w:sz w:val="24"/>
                <w:szCs w:val="24"/>
              </w:rPr>
              <w:t xml:space="preserve">HRAC KPI analysis for </w:t>
            </w:r>
            <w:r w:rsidRPr="00563269">
              <w:rPr>
                <w:rFonts w:ascii="Times New Roman" w:hAnsi="Times New Roman"/>
                <w:sz w:val="24"/>
                <w:szCs w:val="24"/>
                <w:highlight w:val="yellow"/>
              </w:rPr>
              <w:t>2013 Reporting Year</w:t>
            </w:r>
          </w:p>
          <w:tbl>
            <w:tblPr>
              <w:tblStyle w:val="TableGrid"/>
              <w:tblW w:w="7763" w:type="dxa"/>
              <w:tblInd w:w="607" w:type="dxa"/>
              <w:tblLayout w:type="fixed"/>
              <w:tblLook w:val="04A0" w:firstRow="1" w:lastRow="0" w:firstColumn="1" w:lastColumn="0" w:noHBand="0" w:noVBand="1"/>
            </w:tblPr>
            <w:tblGrid>
              <w:gridCol w:w="5495"/>
              <w:gridCol w:w="2268"/>
            </w:tblGrid>
            <w:tr w:rsidR="00C7383E" w:rsidRPr="00C7383E" w:rsidTr="00C7383E">
              <w:tc>
                <w:tcPr>
                  <w:tcW w:w="5495" w:type="dxa"/>
                </w:tcPr>
                <w:p w:rsidR="00C7383E" w:rsidRPr="00C7383E" w:rsidRDefault="00C7383E" w:rsidP="00C7383E">
                  <w:pPr>
                    <w:tabs>
                      <w:tab w:val="left" w:pos="1972"/>
                    </w:tabs>
                    <w:rPr>
                      <w:rFonts w:ascii="Times New Roman" w:hAnsi="Times New Roman"/>
                      <w:sz w:val="24"/>
                      <w:szCs w:val="24"/>
                    </w:rPr>
                  </w:pPr>
                  <w:r w:rsidRPr="00C7383E">
                    <w:rPr>
                      <w:rFonts w:ascii="Times New Roman" w:hAnsi="Times New Roman"/>
                      <w:sz w:val="24"/>
                      <w:szCs w:val="24"/>
                    </w:rPr>
                    <w:tab/>
                    <w:t>KPI Indicator</w:t>
                  </w:r>
                </w:p>
              </w:tc>
              <w:tc>
                <w:tcPr>
                  <w:tcW w:w="2268" w:type="dxa"/>
                </w:tcPr>
                <w:p w:rsidR="00C7383E" w:rsidRPr="00C7383E" w:rsidRDefault="00C7383E" w:rsidP="00C7383E">
                  <w:pPr>
                    <w:tabs>
                      <w:tab w:val="left" w:pos="1972"/>
                    </w:tabs>
                    <w:rPr>
                      <w:rFonts w:ascii="Times New Roman" w:hAnsi="Times New Roman"/>
                      <w:sz w:val="24"/>
                      <w:szCs w:val="24"/>
                    </w:rPr>
                  </w:pPr>
                  <w:r w:rsidRPr="00C7383E">
                    <w:rPr>
                      <w:rFonts w:ascii="Times New Roman" w:hAnsi="Times New Roman"/>
                      <w:sz w:val="24"/>
                      <w:szCs w:val="24"/>
                    </w:rPr>
                    <w:t>Benchmark Gap</w:t>
                  </w:r>
                </w:p>
              </w:tc>
            </w:tr>
            <w:tr w:rsidR="00C7383E" w:rsidRPr="00C7383E" w:rsidTr="00C7383E">
              <w:tc>
                <w:tcPr>
                  <w:tcW w:w="5495" w:type="dxa"/>
                </w:tcPr>
                <w:p w:rsidR="00C7383E" w:rsidRPr="00C7383E" w:rsidRDefault="00C7383E" w:rsidP="00C7383E">
                  <w:pPr>
                    <w:rPr>
                      <w:rFonts w:ascii="Times New Roman" w:hAnsi="Times New Roman"/>
                      <w:sz w:val="24"/>
                      <w:szCs w:val="24"/>
                    </w:rPr>
                  </w:pPr>
                  <w:r w:rsidRPr="00C7383E">
                    <w:rPr>
                      <w:rFonts w:ascii="Times New Roman" w:hAnsi="Times New Roman"/>
                      <w:sz w:val="24"/>
                      <w:szCs w:val="24"/>
                    </w:rPr>
                    <w:t xml:space="preserve">KPI#4: Graduate Satisfaction, Learning Outcomes   </w:t>
                  </w:r>
                </w:p>
              </w:tc>
              <w:tc>
                <w:tcPr>
                  <w:tcW w:w="2268" w:type="dxa"/>
                </w:tcPr>
                <w:p w:rsidR="00C7383E" w:rsidRPr="00C7383E" w:rsidRDefault="00563269" w:rsidP="00563269">
                  <w:pPr>
                    <w:jc w:val="center"/>
                    <w:rPr>
                      <w:rFonts w:ascii="Times New Roman" w:hAnsi="Times New Roman"/>
                      <w:sz w:val="24"/>
                      <w:szCs w:val="24"/>
                    </w:rPr>
                  </w:pPr>
                  <w:r>
                    <w:rPr>
                      <w:rFonts w:ascii="Times New Roman" w:hAnsi="Times New Roman"/>
                      <w:sz w:val="24"/>
                      <w:szCs w:val="24"/>
                    </w:rPr>
                    <w:t>-9.85</w:t>
                  </w:r>
                </w:p>
              </w:tc>
            </w:tr>
            <w:tr w:rsidR="00C7383E" w:rsidRPr="00C7383E" w:rsidTr="00C7383E">
              <w:tc>
                <w:tcPr>
                  <w:tcW w:w="5495" w:type="dxa"/>
                </w:tcPr>
                <w:p w:rsidR="00C7383E" w:rsidRPr="00C7383E" w:rsidRDefault="00C7383E" w:rsidP="00C7383E">
                  <w:pPr>
                    <w:rPr>
                      <w:rFonts w:ascii="Times New Roman" w:hAnsi="Times New Roman"/>
                      <w:sz w:val="24"/>
                      <w:szCs w:val="24"/>
                    </w:rPr>
                  </w:pPr>
                  <w:r w:rsidRPr="00C7383E">
                    <w:rPr>
                      <w:rFonts w:ascii="Times New Roman" w:hAnsi="Times New Roman"/>
                      <w:sz w:val="24"/>
                      <w:szCs w:val="24"/>
                    </w:rPr>
                    <w:t xml:space="preserve">KPI#8: Student Satisfaction, Learning Experience </w:t>
                  </w:r>
                </w:p>
              </w:tc>
              <w:tc>
                <w:tcPr>
                  <w:tcW w:w="2268" w:type="dxa"/>
                </w:tcPr>
                <w:p w:rsidR="00C7383E" w:rsidRPr="00C7383E" w:rsidRDefault="00563269" w:rsidP="00563269">
                  <w:pPr>
                    <w:jc w:val="center"/>
                    <w:rPr>
                      <w:rFonts w:ascii="Times New Roman" w:hAnsi="Times New Roman"/>
                      <w:sz w:val="24"/>
                      <w:szCs w:val="24"/>
                    </w:rPr>
                  </w:pPr>
                  <w:r>
                    <w:rPr>
                      <w:rFonts w:ascii="Times New Roman" w:hAnsi="Times New Roman"/>
                      <w:sz w:val="24"/>
                      <w:szCs w:val="24"/>
                    </w:rPr>
                    <w:t>-4.55</w:t>
                  </w:r>
                </w:p>
              </w:tc>
            </w:tr>
            <w:tr w:rsidR="00C7383E" w:rsidRPr="00C7383E" w:rsidTr="00C7383E">
              <w:tc>
                <w:tcPr>
                  <w:tcW w:w="5495" w:type="dxa"/>
                </w:tcPr>
                <w:p w:rsidR="00C7383E" w:rsidRPr="00C7383E" w:rsidRDefault="00C7383E" w:rsidP="00C7383E">
                  <w:pPr>
                    <w:rPr>
                      <w:rFonts w:ascii="Times New Roman" w:hAnsi="Times New Roman"/>
                      <w:sz w:val="24"/>
                      <w:szCs w:val="24"/>
                    </w:rPr>
                  </w:pPr>
                  <w:r w:rsidRPr="00C7383E">
                    <w:rPr>
                      <w:rFonts w:ascii="Times New Roman" w:hAnsi="Times New Roman"/>
                      <w:sz w:val="24"/>
                      <w:szCs w:val="24"/>
                    </w:rPr>
                    <w:t>KPI#9: Student Satisfaction, Teachers</w:t>
                  </w:r>
                </w:p>
              </w:tc>
              <w:tc>
                <w:tcPr>
                  <w:tcW w:w="2268" w:type="dxa"/>
                </w:tcPr>
                <w:p w:rsidR="00C7383E" w:rsidRPr="00C7383E" w:rsidRDefault="00563269" w:rsidP="00563269">
                  <w:pPr>
                    <w:jc w:val="center"/>
                    <w:rPr>
                      <w:rFonts w:ascii="Times New Roman" w:hAnsi="Times New Roman"/>
                      <w:sz w:val="24"/>
                      <w:szCs w:val="24"/>
                    </w:rPr>
                  </w:pPr>
                  <w:r>
                    <w:rPr>
                      <w:rFonts w:ascii="Times New Roman" w:hAnsi="Times New Roman"/>
                      <w:sz w:val="24"/>
                      <w:szCs w:val="24"/>
                    </w:rPr>
                    <w:t>-2.56</w:t>
                  </w:r>
                </w:p>
              </w:tc>
            </w:tr>
            <w:tr w:rsidR="00C7383E" w:rsidRPr="00C7383E" w:rsidTr="00C7383E">
              <w:tc>
                <w:tcPr>
                  <w:tcW w:w="5495" w:type="dxa"/>
                </w:tcPr>
                <w:p w:rsidR="00C7383E" w:rsidRPr="00C7383E" w:rsidRDefault="00C7383E" w:rsidP="00C7383E">
                  <w:pPr>
                    <w:rPr>
                      <w:rFonts w:ascii="Times New Roman" w:hAnsi="Times New Roman"/>
                      <w:sz w:val="24"/>
                      <w:szCs w:val="24"/>
                    </w:rPr>
                  </w:pPr>
                  <w:r w:rsidRPr="00C7383E">
                    <w:rPr>
                      <w:rFonts w:ascii="Times New Roman" w:hAnsi="Times New Roman"/>
                      <w:sz w:val="24"/>
                      <w:szCs w:val="24"/>
                    </w:rPr>
                    <w:t xml:space="preserve">KPI#11: Graduate Satisfaction, Program </w:t>
                  </w:r>
                </w:p>
              </w:tc>
              <w:tc>
                <w:tcPr>
                  <w:tcW w:w="2268" w:type="dxa"/>
                </w:tcPr>
                <w:p w:rsidR="00C7383E" w:rsidRPr="00C7383E" w:rsidRDefault="00563269" w:rsidP="00563269">
                  <w:pPr>
                    <w:jc w:val="center"/>
                    <w:rPr>
                      <w:rFonts w:ascii="Times New Roman" w:hAnsi="Times New Roman"/>
                      <w:sz w:val="24"/>
                      <w:szCs w:val="24"/>
                    </w:rPr>
                  </w:pPr>
                  <w:r>
                    <w:rPr>
                      <w:rFonts w:ascii="Times New Roman" w:hAnsi="Times New Roman"/>
                      <w:sz w:val="24"/>
                      <w:szCs w:val="24"/>
                    </w:rPr>
                    <w:t>1.67</w:t>
                  </w:r>
                </w:p>
              </w:tc>
            </w:tr>
          </w:tbl>
          <w:p w:rsidR="00C7383E" w:rsidRPr="00C7383E" w:rsidRDefault="00C7383E" w:rsidP="00C7383E">
            <w:pPr>
              <w:ind w:left="252"/>
              <w:rPr>
                <w:rFonts w:ascii="Times New Roman" w:hAnsi="Times New Roman"/>
                <w:i/>
                <w:sz w:val="16"/>
                <w:szCs w:val="16"/>
              </w:rPr>
            </w:pPr>
            <w:r w:rsidRPr="00C7383E">
              <w:rPr>
                <w:rFonts w:ascii="Times New Roman" w:hAnsi="Times New Roman"/>
                <w:i/>
                <w:sz w:val="16"/>
                <w:szCs w:val="16"/>
              </w:rPr>
              <w:t>BENCHMARK GAP is Program Difference minus the College Difference. If the Benchmark Gap is positive, Fleming's program difference is above the college difference and the program does not have to increase its performance on this KPI. If the Benchmark Gap is negative, Fleming's program difference is below the college difference and the program needs to increase its performance on this KPI by the value of the Benchmark gap.</w:t>
            </w:r>
          </w:p>
          <w:p w:rsidR="009702C9" w:rsidRDefault="009702C9" w:rsidP="009702C9">
            <w:pPr>
              <w:tabs>
                <w:tab w:val="left" w:pos="681"/>
              </w:tabs>
              <w:ind w:left="1290" w:hanging="609"/>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C7383E" w:rsidRDefault="00C7383E" w:rsidP="00373FD2">
            <w:pPr>
              <w:tabs>
                <w:tab w:val="left" w:pos="252"/>
                <w:tab w:val="left" w:pos="972"/>
              </w:tabs>
              <w:ind w:left="252" w:hanging="180"/>
              <w:rPr>
                <w:rFonts w:cs="Arial"/>
                <w:sz w:val="20"/>
              </w:rPr>
            </w:pPr>
          </w:p>
          <w:p w:rsidR="00C7383E" w:rsidRDefault="00D4238F" w:rsidP="00220AD8">
            <w:pPr>
              <w:ind w:left="630" w:hanging="18"/>
              <w:rPr>
                <w:rFonts w:cs="Arial"/>
                <w:sz w:val="20"/>
              </w:rPr>
            </w:pPr>
            <w:r w:rsidRPr="003E2A75">
              <w:rPr>
                <w:rFonts w:cs="Arial"/>
                <w:sz w:val="20"/>
                <w:highlight w:val="yellow"/>
              </w:rPr>
              <w:t>67 students began in the fall and 52 continued to SEM2 – 78% of students retained.</w:t>
            </w:r>
            <w:r w:rsidR="00220AD8">
              <w:rPr>
                <w:rFonts w:cs="Arial"/>
                <w:sz w:val="20"/>
              </w:rPr>
              <w:t xml:space="preserve"> </w:t>
            </w: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220AD8" w:rsidRDefault="00220AD8" w:rsidP="00373FD2">
            <w:pPr>
              <w:rPr>
                <w:rFonts w:cs="Arial"/>
                <w:b/>
                <w:i/>
                <w:sz w:val="20"/>
              </w:rPr>
            </w:pPr>
            <w:r w:rsidRPr="00220AD8">
              <w:rPr>
                <w:rFonts w:cs="Arial"/>
                <w:b/>
                <w:i/>
                <w:sz w:val="20"/>
              </w:rPr>
              <w:t>(Update as appropriate based on feedback from team)</w:t>
            </w:r>
          </w:p>
          <w:p w:rsidR="00220AD8" w:rsidRDefault="00220AD8" w:rsidP="00373FD2">
            <w:pPr>
              <w:rPr>
                <w:rFonts w:cs="Arial"/>
                <w:b/>
                <w:sz w:val="20"/>
              </w:rPr>
            </w:pPr>
          </w:p>
          <w:p w:rsidR="00220AD8" w:rsidRDefault="00220AD8" w:rsidP="00373FD2">
            <w:pPr>
              <w:rPr>
                <w:rFonts w:cs="Arial"/>
                <w:b/>
                <w:sz w:val="20"/>
              </w:rPr>
            </w:pPr>
            <w:r>
              <w:rPr>
                <w:rFonts w:cs="Arial"/>
                <w:b/>
                <w:sz w:val="20"/>
              </w:rPr>
              <w:t>Strengths:</w:t>
            </w:r>
          </w:p>
          <w:p w:rsidR="00220AD8" w:rsidRPr="00356C80" w:rsidRDefault="00220AD8" w:rsidP="00373FD2">
            <w:pPr>
              <w:rPr>
                <w:rFonts w:cs="Arial"/>
                <w:b/>
                <w:sz w:val="20"/>
              </w:rPr>
            </w:pPr>
          </w:p>
          <w:p w:rsidR="00373FD2" w:rsidRPr="00356C80" w:rsidRDefault="009F2F3E" w:rsidP="003E2A75">
            <w:pPr>
              <w:numPr>
                <w:ilvl w:val="0"/>
                <w:numId w:val="2"/>
              </w:numPr>
              <w:rPr>
                <w:rFonts w:cs="Arial"/>
                <w:b/>
                <w:sz w:val="20"/>
              </w:rPr>
            </w:pPr>
            <w:r>
              <w:rPr>
                <w:rFonts w:cs="Arial"/>
                <w:b/>
                <w:sz w:val="20"/>
              </w:rPr>
              <w:t>Program is 45 weeks compressed and stu</w:t>
            </w:r>
            <w:r w:rsidR="00D4238F">
              <w:rPr>
                <w:rFonts w:cs="Arial"/>
                <w:b/>
                <w:sz w:val="20"/>
              </w:rPr>
              <w:t>dents graduate with 2 licenses and multiple certificates</w:t>
            </w:r>
          </w:p>
          <w:p w:rsidR="00373FD2" w:rsidRPr="000673C8" w:rsidRDefault="00A658C9" w:rsidP="003E2A75">
            <w:pPr>
              <w:numPr>
                <w:ilvl w:val="0"/>
                <w:numId w:val="2"/>
              </w:numPr>
              <w:rPr>
                <w:rFonts w:cs="Arial"/>
                <w:b/>
                <w:sz w:val="20"/>
              </w:rPr>
            </w:pPr>
            <w:r>
              <w:rPr>
                <w:rFonts w:cs="Arial"/>
                <w:b/>
                <w:sz w:val="20"/>
              </w:rPr>
              <w:t>The program is Technical Standards &amp; Safety Authority (TSSA) accredited and the curriculum preps them to write the TSSA test.</w:t>
            </w:r>
          </w:p>
          <w:p w:rsidR="00537A16" w:rsidRPr="00537A16" w:rsidRDefault="00537A16" w:rsidP="003E2A75">
            <w:pPr>
              <w:numPr>
                <w:ilvl w:val="0"/>
                <w:numId w:val="2"/>
              </w:numPr>
              <w:rPr>
                <w:rFonts w:cs="Arial"/>
                <w:b/>
                <w:sz w:val="20"/>
              </w:rPr>
            </w:pPr>
            <w:r w:rsidRPr="00537A16">
              <w:rPr>
                <w:rFonts w:cs="Arial"/>
                <w:b/>
                <w:sz w:val="20"/>
              </w:rPr>
              <w:t xml:space="preserve">Refrigeration </w:t>
            </w:r>
            <w:r w:rsidR="00A658C9" w:rsidRPr="00537A16">
              <w:rPr>
                <w:rFonts w:cs="Arial"/>
                <w:b/>
                <w:sz w:val="20"/>
              </w:rPr>
              <w:t>apprenticeship level I</w:t>
            </w:r>
            <w:r w:rsidRPr="00537A16">
              <w:rPr>
                <w:rFonts w:cs="Arial"/>
                <w:b/>
                <w:sz w:val="20"/>
              </w:rPr>
              <w:t xml:space="preserve"> is embedded</w:t>
            </w:r>
            <w:r w:rsidR="00A658C9" w:rsidRPr="00537A16">
              <w:rPr>
                <w:rFonts w:cs="Arial"/>
                <w:b/>
                <w:sz w:val="20"/>
              </w:rPr>
              <w:t xml:space="preserve"> </w:t>
            </w:r>
            <w:r w:rsidRPr="00537A16">
              <w:rPr>
                <w:rFonts w:cs="Arial"/>
                <w:b/>
                <w:sz w:val="20"/>
              </w:rPr>
              <w:t>in the HRAC curriculum.</w:t>
            </w:r>
          </w:p>
          <w:p w:rsidR="00537A16" w:rsidRPr="00537A16" w:rsidRDefault="00537A16" w:rsidP="003E2A75">
            <w:pPr>
              <w:pStyle w:val="ListParagraph"/>
              <w:numPr>
                <w:ilvl w:val="0"/>
                <w:numId w:val="2"/>
              </w:numPr>
              <w:rPr>
                <w:rFonts w:cs="Arial"/>
                <w:b/>
                <w:sz w:val="20"/>
              </w:rPr>
            </w:pPr>
            <w:r w:rsidRPr="00537A16">
              <w:rPr>
                <w:rFonts w:cs="Arial"/>
                <w:b/>
                <w:sz w:val="20"/>
              </w:rPr>
              <w:t>Math131 and SCIE156 serve as Gr. 12 C equivalencies needed for AU entry.</w:t>
            </w:r>
          </w:p>
          <w:p w:rsidR="003E2A75" w:rsidRDefault="00537A16" w:rsidP="003E2A75">
            <w:pPr>
              <w:pStyle w:val="ListParagraph"/>
              <w:numPr>
                <w:ilvl w:val="0"/>
                <w:numId w:val="2"/>
              </w:numPr>
              <w:rPr>
                <w:rFonts w:cs="Arial"/>
                <w:b/>
                <w:sz w:val="20"/>
              </w:rPr>
            </w:pPr>
            <w:r w:rsidRPr="00537A16">
              <w:rPr>
                <w:rFonts w:cs="Arial"/>
                <w:b/>
                <w:sz w:val="20"/>
              </w:rPr>
              <w:t>Many extra certifications are available to HRAC students, making them more “job ready”</w:t>
            </w:r>
            <w:r>
              <w:rPr>
                <w:rFonts w:cs="Arial"/>
                <w:b/>
                <w:sz w:val="20"/>
              </w:rPr>
              <w:t>.</w:t>
            </w:r>
          </w:p>
          <w:p w:rsidR="003E2A75" w:rsidRPr="003E2A75" w:rsidRDefault="003E2A75" w:rsidP="003E2A75">
            <w:pPr>
              <w:pStyle w:val="ListParagraph"/>
              <w:numPr>
                <w:ilvl w:val="0"/>
                <w:numId w:val="2"/>
              </w:numPr>
              <w:rPr>
                <w:rFonts w:cs="Arial"/>
                <w:b/>
                <w:sz w:val="20"/>
                <w:highlight w:val="yellow"/>
              </w:rPr>
            </w:pPr>
            <w:r w:rsidRPr="003E2A75">
              <w:rPr>
                <w:rFonts w:cs="Arial"/>
                <w:b/>
                <w:sz w:val="20"/>
                <w:highlight w:val="yellow"/>
              </w:rPr>
              <w:t xml:space="preserve">Recent change has seen TSSA recommend 30 max students with a 10:1 ratio of instructor/tech:student. </w:t>
            </w:r>
          </w:p>
          <w:p w:rsidR="00373FD2" w:rsidRPr="003E2A75" w:rsidRDefault="00373FD2" w:rsidP="003E2A75">
            <w:pPr>
              <w:ind w:left="360"/>
              <w:rPr>
                <w:rFonts w:cs="Arial"/>
                <w:b/>
                <w:sz w:val="20"/>
              </w:rPr>
            </w:pPr>
          </w:p>
          <w:p w:rsidR="00220AD8" w:rsidRDefault="00220AD8" w:rsidP="00220AD8">
            <w:pPr>
              <w:rPr>
                <w:rFonts w:cs="Arial"/>
                <w:b/>
                <w:sz w:val="20"/>
              </w:rPr>
            </w:pPr>
            <w:r>
              <w:rPr>
                <w:rFonts w:cs="Arial"/>
                <w:b/>
                <w:sz w:val="20"/>
              </w:rPr>
              <w:t>Weaknesses:</w:t>
            </w:r>
          </w:p>
          <w:p w:rsidR="00220AD8" w:rsidRPr="003E2A75" w:rsidRDefault="003E2A75" w:rsidP="003E2A75">
            <w:pPr>
              <w:pStyle w:val="ListParagraph"/>
              <w:numPr>
                <w:ilvl w:val="0"/>
                <w:numId w:val="7"/>
              </w:numPr>
              <w:rPr>
                <w:rFonts w:cs="Arial"/>
                <w:b/>
                <w:sz w:val="20"/>
                <w:highlight w:val="yellow"/>
              </w:rPr>
            </w:pPr>
            <w:r w:rsidRPr="003E2A75">
              <w:rPr>
                <w:rFonts w:cs="Arial"/>
                <w:b/>
                <w:sz w:val="20"/>
                <w:highlight w:val="yellow"/>
              </w:rPr>
              <w:t>Fall enrollment was pushed to 67 instead of planned 30 with no apparent explanation</w:t>
            </w:r>
            <w:r>
              <w:rPr>
                <w:rFonts w:cs="Arial"/>
                <w:b/>
                <w:sz w:val="20"/>
                <w:highlight w:val="yellow"/>
              </w:rPr>
              <w:t>.</w:t>
            </w:r>
          </w:p>
          <w:p w:rsidR="00537A16" w:rsidRDefault="00D4238F" w:rsidP="003E2A75">
            <w:pPr>
              <w:pStyle w:val="ListParagraph"/>
              <w:numPr>
                <w:ilvl w:val="0"/>
                <w:numId w:val="2"/>
              </w:numPr>
              <w:rPr>
                <w:rFonts w:cs="Arial"/>
                <w:b/>
                <w:sz w:val="20"/>
              </w:rPr>
            </w:pPr>
            <w:r>
              <w:rPr>
                <w:rFonts w:cs="Arial"/>
                <w:b/>
                <w:sz w:val="20"/>
              </w:rPr>
              <w:t xml:space="preserve">Two </w:t>
            </w:r>
            <w:r w:rsidR="00537A16">
              <w:rPr>
                <w:rFonts w:cs="Arial"/>
                <w:b/>
                <w:sz w:val="20"/>
              </w:rPr>
              <w:t>full-time faculty member</w:t>
            </w:r>
            <w:r>
              <w:rPr>
                <w:rFonts w:cs="Arial"/>
                <w:b/>
                <w:sz w:val="20"/>
              </w:rPr>
              <w:t>s</w:t>
            </w:r>
            <w:r w:rsidR="00537A16">
              <w:rPr>
                <w:rFonts w:cs="Arial"/>
                <w:b/>
                <w:sz w:val="20"/>
              </w:rPr>
              <w:t xml:space="preserve"> with </w:t>
            </w:r>
            <w:r w:rsidR="003E2A75">
              <w:rPr>
                <w:rFonts w:cs="Arial"/>
                <w:b/>
                <w:sz w:val="20"/>
              </w:rPr>
              <w:t>many p</w:t>
            </w:r>
            <w:r w:rsidR="00537A16">
              <w:rPr>
                <w:rFonts w:cs="Arial"/>
                <w:b/>
                <w:sz w:val="20"/>
              </w:rPr>
              <w:t xml:space="preserve">artial load faculty that are maxed out. At any one time, there is 20 different HRAC courses running in one term. </w:t>
            </w:r>
          </w:p>
          <w:p w:rsidR="00220AD8" w:rsidRPr="003E2A75" w:rsidRDefault="00220AD8" w:rsidP="003E2A75">
            <w:pPr>
              <w:ind w:left="360"/>
              <w:rPr>
                <w:rFonts w:cs="Arial"/>
                <w:b/>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537A16" w:rsidRDefault="003E2A75" w:rsidP="004C2936">
            <w:pPr>
              <w:numPr>
                <w:ilvl w:val="0"/>
                <w:numId w:val="2"/>
              </w:numPr>
              <w:rPr>
                <w:rFonts w:cs="Arial"/>
                <w:b/>
                <w:sz w:val="20"/>
              </w:rPr>
            </w:pPr>
            <w:r>
              <w:rPr>
                <w:rFonts w:cs="Arial"/>
                <w:b/>
                <w:sz w:val="20"/>
              </w:rPr>
              <w:t xml:space="preserve">Ken to </w:t>
            </w:r>
            <w:r w:rsidR="00537A16">
              <w:rPr>
                <w:rFonts w:cs="Arial"/>
                <w:b/>
                <w:sz w:val="20"/>
              </w:rPr>
              <w:t xml:space="preserve">attend </w:t>
            </w:r>
            <w:r>
              <w:rPr>
                <w:rFonts w:cs="Arial"/>
                <w:b/>
                <w:sz w:val="20"/>
              </w:rPr>
              <w:t>“</w:t>
            </w:r>
            <w:r w:rsidR="00537A16">
              <w:rPr>
                <w:rFonts w:cs="Arial"/>
                <w:b/>
                <w:sz w:val="20"/>
              </w:rPr>
              <w:t xml:space="preserve">Focus on Learning” </w:t>
            </w:r>
            <w:r>
              <w:rPr>
                <w:rFonts w:cs="Arial"/>
                <w:b/>
                <w:sz w:val="20"/>
              </w:rPr>
              <w:t>in June.</w:t>
            </w:r>
          </w:p>
          <w:p w:rsidR="00361A74" w:rsidRPr="00361A74" w:rsidRDefault="00361A74" w:rsidP="00361A74">
            <w:pPr>
              <w:ind w:left="360"/>
              <w:rPr>
                <w:rFonts w:cs="Arial"/>
                <w:b/>
                <w:sz w:val="20"/>
              </w:rPr>
            </w:pPr>
          </w:p>
          <w:p w:rsidR="00537A16" w:rsidRDefault="003E2A75" w:rsidP="00537A16">
            <w:pPr>
              <w:pStyle w:val="ListParagraph"/>
              <w:numPr>
                <w:ilvl w:val="0"/>
                <w:numId w:val="2"/>
              </w:numPr>
              <w:rPr>
                <w:rFonts w:cs="Arial"/>
                <w:b/>
                <w:sz w:val="20"/>
              </w:rPr>
            </w:pPr>
            <w:r>
              <w:rPr>
                <w:rFonts w:cs="Arial"/>
                <w:b/>
                <w:sz w:val="20"/>
              </w:rPr>
              <w:t xml:space="preserve">In progress - </w:t>
            </w:r>
            <w:r w:rsidR="00537A16">
              <w:rPr>
                <w:rFonts w:cs="Arial"/>
                <w:b/>
                <w:sz w:val="20"/>
              </w:rPr>
              <w:t>Course Binders for all HRAC curriculum needs to be collected, and stored electronically within the new SKTR sub-folder system.</w:t>
            </w:r>
          </w:p>
          <w:p w:rsidR="00361A74" w:rsidRPr="00361A74" w:rsidRDefault="00361A74" w:rsidP="00361A74">
            <w:pPr>
              <w:ind w:left="360"/>
              <w:rPr>
                <w:rFonts w:cs="Arial"/>
                <w:b/>
                <w:sz w:val="20"/>
              </w:rPr>
            </w:pPr>
          </w:p>
          <w:p w:rsidR="00373FD2" w:rsidRPr="003E2A75" w:rsidRDefault="00537A16" w:rsidP="00537A16">
            <w:pPr>
              <w:pStyle w:val="ListParagraph"/>
              <w:numPr>
                <w:ilvl w:val="0"/>
                <w:numId w:val="2"/>
              </w:numPr>
              <w:rPr>
                <w:rFonts w:cs="Arial"/>
                <w:b/>
                <w:sz w:val="20"/>
                <w:highlight w:val="yellow"/>
              </w:rPr>
            </w:pPr>
            <w:r w:rsidRPr="003E2A75">
              <w:rPr>
                <w:rFonts w:cs="Arial"/>
                <w:b/>
                <w:sz w:val="20"/>
                <w:highlight w:val="yellow"/>
              </w:rPr>
              <w:t xml:space="preserve">HRAC program team to </w:t>
            </w:r>
            <w:r w:rsidR="003E2A75" w:rsidRPr="003E2A75">
              <w:rPr>
                <w:rFonts w:cs="Arial"/>
                <w:b/>
                <w:sz w:val="20"/>
                <w:highlight w:val="yellow"/>
              </w:rPr>
              <w:t xml:space="preserve">further refine existing rubrics to include one for electrical. Team acknowledges that several different rubrics may be more appropriate. </w:t>
            </w:r>
            <w:r w:rsidR="00373FD2" w:rsidRPr="003E2A75">
              <w:rPr>
                <w:rFonts w:cs="Arial"/>
                <w:b/>
                <w:sz w:val="20"/>
                <w:highlight w:val="yellow"/>
              </w:rPr>
              <w:br/>
            </w:r>
          </w:p>
          <w:p w:rsidR="003E2A75" w:rsidRDefault="00361A74" w:rsidP="003E2A75">
            <w:pPr>
              <w:numPr>
                <w:ilvl w:val="0"/>
                <w:numId w:val="2"/>
              </w:numPr>
              <w:rPr>
                <w:rFonts w:cs="Arial"/>
                <w:b/>
                <w:sz w:val="20"/>
              </w:rPr>
            </w:pPr>
            <w:r>
              <w:rPr>
                <w:rFonts w:cs="Arial"/>
                <w:b/>
                <w:sz w:val="20"/>
              </w:rPr>
              <w:t xml:space="preserve">Program coordinator </w:t>
            </w:r>
            <w:r w:rsidR="003E2A75">
              <w:rPr>
                <w:rFonts w:cs="Arial"/>
                <w:b/>
                <w:sz w:val="20"/>
              </w:rPr>
              <w:t xml:space="preserve">will continue to investigate </w:t>
            </w:r>
            <w:r>
              <w:rPr>
                <w:rFonts w:cs="Arial"/>
                <w:b/>
                <w:sz w:val="20"/>
              </w:rPr>
              <w:t>contacts at U of T re: LEED training and certification for teaching team or other faculty if appropriate</w:t>
            </w:r>
          </w:p>
          <w:p w:rsidR="003E2A75" w:rsidRDefault="003E2A75" w:rsidP="003E2A75">
            <w:pPr>
              <w:ind w:left="360"/>
              <w:rPr>
                <w:rFonts w:cs="Arial"/>
                <w:b/>
                <w:sz w:val="20"/>
              </w:rPr>
            </w:pPr>
          </w:p>
          <w:p w:rsidR="00B23453" w:rsidRDefault="003E2A75" w:rsidP="003E2A75">
            <w:pPr>
              <w:pStyle w:val="ListParagraph"/>
              <w:numPr>
                <w:ilvl w:val="0"/>
                <w:numId w:val="2"/>
              </w:numPr>
              <w:rPr>
                <w:rFonts w:cs="Arial"/>
                <w:b/>
                <w:sz w:val="20"/>
              </w:rPr>
            </w:pPr>
            <w:r w:rsidRPr="003E2A75">
              <w:rPr>
                <w:rFonts w:cs="Arial"/>
                <w:b/>
                <w:sz w:val="20"/>
                <w:highlight w:val="yellow"/>
              </w:rPr>
              <w:t>Faculty have many positive testimonials that could be used in marketing of HRAC program – Team to organize a meet with Heather Kerrigan.</w:t>
            </w:r>
          </w:p>
          <w:p w:rsidR="00B23453" w:rsidRPr="00B23453" w:rsidRDefault="00B23453" w:rsidP="00B23453">
            <w:pPr>
              <w:pStyle w:val="ListParagraph"/>
              <w:rPr>
                <w:rFonts w:cs="Arial"/>
                <w:b/>
                <w:sz w:val="20"/>
              </w:rPr>
            </w:pPr>
          </w:p>
          <w:p w:rsidR="000C469C" w:rsidRDefault="00B23453" w:rsidP="003E2A75">
            <w:pPr>
              <w:pStyle w:val="ListParagraph"/>
              <w:numPr>
                <w:ilvl w:val="0"/>
                <w:numId w:val="2"/>
              </w:numPr>
              <w:rPr>
                <w:rFonts w:cs="Arial"/>
                <w:b/>
                <w:sz w:val="20"/>
              </w:rPr>
            </w:pPr>
            <w:r w:rsidRPr="00B23453">
              <w:rPr>
                <w:rFonts w:cs="Arial"/>
                <w:b/>
                <w:sz w:val="20"/>
                <w:highlight w:val="yellow"/>
              </w:rPr>
              <w:t>Prepare for PAC</w:t>
            </w:r>
          </w:p>
          <w:p w:rsidR="000C469C" w:rsidRPr="000C469C" w:rsidRDefault="000C469C" w:rsidP="000C469C">
            <w:pPr>
              <w:pStyle w:val="ListParagraph"/>
              <w:rPr>
                <w:rFonts w:cs="Arial"/>
                <w:b/>
                <w:sz w:val="20"/>
              </w:rPr>
            </w:pPr>
          </w:p>
          <w:p w:rsidR="00373FD2" w:rsidRPr="003E2A75" w:rsidRDefault="000C469C" w:rsidP="000C469C">
            <w:pPr>
              <w:pStyle w:val="ListParagraph"/>
              <w:numPr>
                <w:ilvl w:val="0"/>
                <w:numId w:val="2"/>
              </w:numPr>
              <w:rPr>
                <w:rFonts w:cs="Arial"/>
                <w:b/>
                <w:sz w:val="20"/>
              </w:rPr>
            </w:pPr>
            <w:r w:rsidRPr="000C469C">
              <w:rPr>
                <w:rFonts w:cs="Arial"/>
                <w:b/>
                <w:sz w:val="20"/>
                <w:highlight w:val="yellow"/>
              </w:rPr>
              <w:t>Update Sept 2015 start curriculum map – see file path below.</w:t>
            </w:r>
            <w:r>
              <w:rPr>
                <w:rFonts w:cs="Arial"/>
                <w:b/>
                <w:sz w:val="20"/>
              </w:rPr>
              <w:t xml:space="preserve"> </w:t>
            </w:r>
            <w:r w:rsidR="00373FD2" w:rsidRPr="003E2A75">
              <w:rPr>
                <w:rFonts w:cs="Arial"/>
                <w:b/>
                <w:sz w:val="20"/>
              </w:rPr>
              <w:br/>
            </w: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361A74" w:rsidP="004C2936">
            <w:pPr>
              <w:numPr>
                <w:ilvl w:val="0"/>
                <w:numId w:val="2"/>
              </w:numPr>
              <w:rPr>
                <w:rFonts w:cs="Arial"/>
                <w:b/>
                <w:sz w:val="20"/>
              </w:rPr>
            </w:pPr>
            <w:r>
              <w:rPr>
                <w:rFonts w:cs="Arial"/>
                <w:b/>
                <w:sz w:val="20"/>
              </w:rPr>
              <w:t>Investigate the potential for a co-op semester with the HRAC program</w:t>
            </w:r>
            <w:r w:rsidR="00373FD2" w:rsidRPr="00356C80">
              <w:rPr>
                <w:rFonts w:cs="Arial"/>
                <w:b/>
                <w:sz w:val="20"/>
              </w:rPr>
              <w:br/>
            </w:r>
          </w:p>
          <w:p w:rsidR="00373FD2" w:rsidRPr="00356C80" w:rsidRDefault="00361A74" w:rsidP="004C2936">
            <w:pPr>
              <w:numPr>
                <w:ilvl w:val="0"/>
                <w:numId w:val="2"/>
              </w:numPr>
              <w:rPr>
                <w:rFonts w:cs="Arial"/>
                <w:b/>
                <w:sz w:val="20"/>
              </w:rPr>
            </w:pPr>
            <w:r>
              <w:rPr>
                <w:rFonts w:cs="Arial"/>
                <w:b/>
                <w:sz w:val="20"/>
              </w:rPr>
              <w:t>Monitor the progress within the school re: TDA application status.</w:t>
            </w:r>
            <w:r w:rsidR="00373FD2"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Default="00DE1384" w:rsidP="00373FD2">
            <w:pPr>
              <w:rPr>
                <w:rFonts w:cs="Arial"/>
                <w:b/>
                <w:color w:val="FF3300"/>
              </w:rPr>
            </w:pPr>
            <w:r w:rsidRPr="00DE1384">
              <w:rPr>
                <w:rFonts w:cs="Arial"/>
                <w:b/>
                <w:color w:val="FF3300"/>
                <w:highlight w:val="yellow"/>
              </w:rPr>
              <w:t>S:\shared data\CLT\STT\Trades_TechPROGRAMS\HeatingRefrig_AirConditioning_HVT\Program Curriculum Map</w:t>
            </w:r>
          </w:p>
          <w:p w:rsidR="00DE1384" w:rsidRDefault="00DE1384" w:rsidP="00373FD2">
            <w:pPr>
              <w:rPr>
                <w:rFonts w:cs="Arial"/>
                <w:b/>
                <w:color w:val="FF3300"/>
              </w:rPr>
            </w:pPr>
          </w:p>
          <w:p w:rsidR="00DE1384" w:rsidRPr="00356C80" w:rsidRDefault="00DE1384" w:rsidP="00373FD2">
            <w:pPr>
              <w:rPr>
                <w:rFonts w:cs="Arial"/>
                <w:b/>
                <w:sz w:val="20"/>
              </w:rPr>
            </w:pP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A75" w:rsidRDefault="003E2A75">
      <w:r>
        <w:separator/>
      </w:r>
    </w:p>
  </w:endnote>
  <w:endnote w:type="continuationSeparator" w:id="0">
    <w:p w:rsidR="003E2A75" w:rsidRDefault="003E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A75" w:rsidRDefault="003E2A75">
      <w:r>
        <w:separator/>
      </w:r>
    </w:p>
  </w:footnote>
  <w:footnote w:type="continuationSeparator" w:id="0">
    <w:p w:rsidR="003E2A75" w:rsidRDefault="003E2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80557E8"/>
    <w:multiLevelType w:val="hybridMultilevel"/>
    <w:tmpl w:val="3C587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DC333A3"/>
    <w:multiLevelType w:val="hybridMultilevel"/>
    <w:tmpl w:val="87F42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D7818B3"/>
    <w:multiLevelType w:val="hybridMultilevel"/>
    <w:tmpl w:val="206064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1A33"/>
    <w:rsid w:val="00022124"/>
    <w:rsid w:val="00024210"/>
    <w:rsid w:val="000244CB"/>
    <w:rsid w:val="0002559E"/>
    <w:rsid w:val="00026362"/>
    <w:rsid w:val="000270AE"/>
    <w:rsid w:val="00027E73"/>
    <w:rsid w:val="00032D3D"/>
    <w:rsid w:val="00033EE1"/>
    <w:rsid w:val="00033F7D"/>
    <w:rsid w:val="000411E2"/>
    <w:rsid w:val="00041BA8"/>
    <w:rsid w:val="0004217A"/>
    <w:rsid w:val="000457E2"/>
    <w:rsid w:val="0005070E"/>
    <w:rsid w:val="0005072B"/>
    <w:rsid w:val="00051CFA"/>
    <w:rsid w:val="00054DB6"/>
    <w:rsid w:val="000550AC"/>
    <w:rsid w:val="0006043C"/>
    <w:rsid w:val="00060FB8"/>
    <w:rsid w:val="00062EBC"/>
    <w:rsid w:val="00065690"/>
    <w:rsid w:val="000673C8"/>
    <w:rsid w:val="000702A9"/>
    <w:rsid w:val="00071AD2"/>
    <w:rsid w:val="00071E5E"/>
    <w:rsid w:val="000749E1"/>
    <w:rsid w:val="00076B83"/>
    <w:rsid w:val="00076FC8"/>
    <w:rsid w:val="00086F07"/>
    <w:rsid w:val="00087BAF"/>
    <w:rsid w:val="00093594"/>
    <w:rsid w:val="000952B4"/>
    <w:rsid w:val="0009601B"/>
    <w:rsid w:val="000A2D88"/>
    <w:rsid w:val="000B0EAB"/>
    <w:rsid w:val="000B133B"/>
    <w:rsid w:val="000B1F4E"/>
    <w:rsid w:val="000B3585"/>
    <w:rsid w:val="000B3813"/>
    <w:rsid w:val="000B4D92"/>
    <w:rsid w:val="000C3A38"/>
    <w:rsid w:val="000C469C"/>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E7DD1"/>
    <w:rsid w:val="000F39A4"/>
    <w:rsid w:val="000F41EA"/>
    <w:rsid w:val="000F6700"/>
    <w:rsid w:val="000F6810"/>
    <w:rsid w:val="000F74BD"/>
    <w:rsid w:val="001002F7"/>
    <w:rsid w:val="001028DF"/>
    <w:rsid w:val="00103E3D"/>
    <w:rsid w:val="00104F5A"/>
    <w:rsid w:val="00111B5B"/>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39CF"/>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0AD8"/>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9A6"/>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1A74"/>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E2A75"/>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A63"/>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0DE"/>
    <w:rsid w:val="005024F9"/>
    <w:rsid w:val="005040E5"/>
    <w:rsid w:val="005050EC"/>
    <w:rsid w:val="00505B52"/>
    <w:rsid w:val="00510FCA"/>
    <w:rsid w:val="00514008"/>
    <w:rsid w:val="005142E6"/>
    <w:rsid w:val="00514BE0"/>
    <w:rsid w:val="00520F60"/>
    <w:rsid w:val="005261C7"/>
    <w:rsid w:val="00535572"/>
    <w:rsid w:val="005376A9"/>
    <w:rsid w:val="00537A16"/>
    <w:rsid w:val="00537AFD"/>
    <w:rsid w:val="00537DDC"/>
    <w:rsid w:val="00540BAC"/>
    <w:rsid w:val="005413EF"/>
    <w:rsid w:val="005453BE"/>
    <w:rsid w:val="00545C54"/>
    <w:rsid w:val="00546783"/>
    <w:rsid w:val="005547A3"/>
    <w:rsid w:val="00555C8C"/>
    <w:rsid w:val="005601DC"/>
    <w:rsid w:val="00560EB2"/>
    <w:rsid w:val="00560F26"/>
    <w:rsid w:val="0056276D"/>
    <w:rsid w:val="00563269"/>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3FF9"/>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2F79"/>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7B"/>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0D7F"/>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4D14"/>
    <w:rsid w:val="00935190"/>
    <w:rsid w:val="00935F12"/>
    <w:rsid w:val="0093671D"/>
    <w:rsid w:val="00940B7A"/>
    <w:rsid w:val="00947477"/>
    <w:rsid w:val="00950F66"/>
    <w:rsid w:val="0095567E"/>
    <w:rsid w:val="00960F4D"/>
    <w:rsid w:val="0096463C"/>
    <w:rsid w:val="00966F2D"/>
    <w:rsid w:val="009702C9"/>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2F3E"/>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658C9"/>
    <w:rsid w:val="00A7123A"/>
    <w:rsid w:val="00A71E86"/>
    <w:rsid w:val="00A740F0"/>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550F"/>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0872"/>
    <w:rsid w:val="00B1275A"/>
    <w:rsid w:val="00B12A20"/>
    <w:rsid w:val="00B12B3F"/>
    <w:rsid w:val="00B1360A"/>
    <w:rsid w:val="00B15A2F"/>
    <w:rsid w:val="00B17CDB"/>
    <w:rsid w:val="00B23453"/>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230"/>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83E"/>
    <w:rsid w:val="00C73F06"/>
    <w:rsid w:val="00C74C81"/>
    <w:rsid w:val="00C77E6D"/>
    <w:rsid w:val="00C8154C"/>
    <w:rsid w:val="00C82130"/>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624"/>
    <w:rsid w:val="00D03AC6"/>
    <w:rsid w:val="00D10535"/>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38F"/>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58EB"/>
    <w:rsid w:val="00DC726F"/>
    <w:rsid w:val="00DD40E9"/>
    <w:rsid w:val="00DD4B31"/>
    <w:rsid w:val="00DD62A0"/>
    <w:rsid w:val="00DD6307"/>
    <w:rsid w:val="00DD68BE"/>
    <w:rsid w:val="00DD6C79"/>
    <w:rsid w:val="00DD6E08"/>
    <w:rsid w:val="00DD7117"/>
    <w:rsid w:val="00DD7740"/>
    <w:rsid w:val="00DD7D31"/>
    <w:rsid w:val="00DE0515"/>
    <w:rsid w:val="00DE1384"/>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856"/>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178DE"/>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272"/>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351A95C7-3D0F-47B6-A4C3-E50A9F5F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C907-43BF-4035-9B26-B1F28C96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F630EE34</Template>
  <TotalTime>0</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Tracey Bell</cp:lastModifiedBy>
  <cp:revision>2</cp:revision>
  <cp:lastPrinted>2012-04-04T19:04:00Z</cp:lastPrinted>
  <dcterms:created xsi:type="dcterms:W3CDTF">2016-01-19T22:31:00Z</dcterms:created>
  <dcterms:modified xsi:type="dcterms:W3CDTF">2016-01-19T22:31:00Z</dcterms:modified>
</cp:coreProperties>
</file>