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F2" w:rsidRDefault="002818F2" w:rsidP="00373D5B">
      <w:pPr>
        <w:tabs>
          <w:tab w:val="center" w:pos="4680"/>
        </w:tabs>
        <w:jc w:val="right"/>
        <w:rPr>
          <w:rFonts w:ascii="Segoe UI" w:hAnsi="Segoe UI" w:cs="Segoe UI"/>
          <w:smallCaps/>
        </w:rPr>
      </w:pPr>
    </w:p>
    <w:p w:rsidR="002818F2" w:rsidRDefault="007A4706" w:rsidP="00373D5B">
      <w:pPr>
        <w:tabs>
          <w:tab w:val="center" w:pos="4680"/>
        </w:tabs>
        <w:jc w:val="right"/>
        <w:rPr>
          <w:rFonts w:ascii="Segoe UI" w:hAnsi="Segoe UI" w:cs="Segoe UI"/>
          <w:smallCaps/>
        </w:rPr>
      </w:pPr>
      <w:r w:rsidRPr="008D5860">
        <w:rPr>
          <w:rFonts w:ascii="Segoe UI" w:hAnsi="Segoe UI" w:cs="Segoe UI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E41920C" wp14:editId="248CAF00">
            <wp:simplePos x="0" y="0"/>
            <wp:positionH relativeFrom="column">
              <wp:posOffset>5356018</wp:posOffset>
            </wp:positionH>
            <wp:positionV relativeFrom="paragraph">
              <wp:posOffset>15240</wp:posOffset>
            </wp:positionV>
            <wp:extent cx="1565274" cy="54224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99"/>
                    <a:stretch/>
                  </pic:blipFill>
                  <pic:spPr bwMode="auto">
                    <a:xfrm>
                      <a:off x="0" y="0"/>
                      <a:ext cx="1565274" cy="5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8F2" w:rsidRDefault="002818F2" w:rsidP="00373D5B">
      <w:pPr>
        <w:tabs>
          <w:tab w:val="center" w:pos="4680"/>
        </w:tabs>
        <w:jc w:val="right"/>
        <w:rPr>
          <w:rFonts w:ascii="Segoe UI" w:hAnsi="Segoe UI" w:cs="Segoe UI"/>
          <w:smallCaps/>
        </w:rPr>
      </w:pPr>
    </w:p>
    <w:p w:rsidR="00233A93" w:rsidRPr="008D5860" w:rsidRDefault="00233A93" w:rsidP="00373D5B">
      <w:pPr>
        <w:tabs>
          <w:tab w:val="center" w:pos="4680"/>
        </w:tabs>
        <w:jc w:val="right"/>
        <w:rPr>
          <w:rFonts w:ascii="Segoe UI" w:hAnsi="Segoe UI" w:cs="Segoe UI"/>
          <w:smallCaps/>
        </w:rPr>
      </w:pPr>
    </w:p>
    <w:p w:rsidR="00494111" w:rsidRPr="00A04BC6" w:rsidRDefault="00494111" w:rsidP="00494111">
      <w:pPr>
        <w:tabs>
          <w:tab w:val="center" w:pos="4680"/>
        </w:tabs>
        <w:rPr>
          <w:rFonts w:ascii="Tw Cen MT" w:hAnsi="Tw Cen MT" w:cs="Segoe UI"/>
          <w:smallCaps/>
          <w:sz w:val="12"/>
          <w:szCs w:val="12"/>
        </w:rPr>
      </w:pPr>
    </w:p>
    <w:p w:rsidR="000D2749" w:rsidRPr="008D5860" w:rsidRDefault="00233A93" w:rsidP="002205AA">
      <w:pPr>
        <w:pBdr>
          <w:bottom w:val="single" w:sz="18" w:space="1" w:color="auto"/>
        </w:pBdr>
        <w:shd w:val="clear" w:color="auto" w:fill="C2DBD9" w:themeFill="accent3" w:themeFillShade="E6"/>
        <w:tabs>
          <w:tab w:val="center" w:pos="4680"/>
        </w:tabs>
        <w:rPr>
          <w:rFonts w:ascii="Tw Cen MT" w:hAnsi="Tw Cen MT" w:cs="Segoe UI"/>
          <w:smallCaps/>
          <w:sz w:val="36"/>
          <w:szCs w:val="36"/>
        </w:rPr>
      </w:pPr>
      <w:r w:rsidRPr="008D5860">
        <w:rPr>
          <w:rFonts w:ascii="Tw Cen MT" w:hAnsi="Tw Cen MT" w:cs="Segoe UI"/>
          <w:smallCaps/>
          <w:sz w:val="36"/>
          <w:szCs w:val="36"/>
        </w:rPr>
        <w:t>EXECUTIVE SUMMARY FOR PROGRAM REVIEW</w:t>
      </w:r>
    </w:p>
    <w:p w:rsidR="008D5860" w:rsidRPr="007A4706" w:rsidRDefault="008D5860" w:rsidP="00233A93">
      <w:pPr>
        <w:rPr>
          <w:rFonts w:ascii="Segoe UI" w:hAnsi="Segoe UI" w:cs="Segoe UI"/>
          <w:i/>
          <w:sz w:val="16"/>
          <w:szCs w:val="16"/>
        </w:rPr>
      </w:pPr>
    </w:p>
    <w:p w:rsidR="000D2749" w:rsidRDefault="00233A93" w:rsidP="00C84D56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Segoe UI" w:hAnsi="Segoe UI" w:cs="Segoe UI"/>
          <w:i/>
          <w:sz w:val="22"/>
          <w:szCs w:val="22"/>
        </w:rPr>
      </w:pPr>
      <w:r w:rsidRPr="008D5860">
        <w:rPr>
          <w:rFonts w:ascii="Segoe UI" w:hAnsi="Segoe UI" w:cs="Segoe UI"/>
          <w:i/>
          <w:sz w:val="22"/>
          <w:szCs w:val="22"/>
        </w:rPr>
        <w:t xml:space="preserve">The Executive Summary will be presented to </w:t>
      </w:r>
      <w:r w:rsidR="00494111" w:rsidRPr="008D5860">
        <w:rPr>
          <w:rFonts w:ascii="Segoe UI" w:hAnsi="Segoe UI" w:cs="Segoe UI"/>
          <w:i/>
          <w:sz w:val="22"/>
          <w:szCs w:val="22"/>
        </w:rPr>
        <w:t>Fleming College’s</w:t>
      </w:r>
      <w:r w:rsidRPr="008D5860">
        <w:rPr>
          <w:rFonts w:ascii="Segoe UI" w:hAnsi="Segoe UI" w:cs="Segoe UI"/>
          <w:i/>
          <w:sz w:val="22"/>
          <w:szCs w:val="22"/>
        </w:rPr>
        <w:t xml:space="preserve"> </w:t>
      </w:r>
      <w:r w:rsidR="00494111" w:rsidRPr="008D5860">
        <w:rPr>
          <w:rFonts w:ascii="Segoe UI" w:hAnsi="Segoe UI" w:cs="Segoe UI"/>
          <w:i/>
          <w:sz w:val="22"/>
          <w:szCs w:val="22"/>
        </w:rPr>
        <w:t>Academic Council</w:t>
      </w:r>
      <w:r w:rsidR="00502B70" w:rsidRPr="008D5860">
        <w:rPr>
          <w:rFonts w:ascii="Segoe UI" w:hAnsi="Segoe UI" w:cs="Segoe UI"/>
          <w:i/>
          <w:sz w:val="22"/>
          <w:szCs w:val="22"/>
        </w:rPr>
        <w:t xml:space="preserve"> and Executive Leadership Team</w:t>
      </w:r>
      <w:r w:rsidR="00494111" w:rsidRPr="008D5860">
        <w:rPr>
          <w:rFonts w:ascii="Segoe UI" w:hAnsi="Segoe UI" w:cs="Segoe UI"/>
          <w:i/>
          <w:sz w:val="22"/>
          <w:szCs w:val="22"/>
        </w:rPr>
        <w:t xml:space="preserve"> </w:t>
      </w:r>
      <w:r w:rsidRPr="008D5860">
        <w:rPr>
          <w:rFonts w:ascii="Segoe UI" w:hAnsi="Segoe UI" w:cs="Segoe UI"/>
          <w:i/>
          <w:sz w:val="22"/>
          <w:szCs w:val="22"/>
        </w:rPr>
        <w:t>for information and feedback.</w:t>
      </w:r>
      <w:r w:rsidR="00494111" w:rsidRPr="008D5860">
        <w:rPr>
          <w:rFonts w:ascii="Segoe UI" w:hAnsi="Segoe UI" w:cs="Segoe UI"/>
          <w:i/>
          <w:sz w:val="22"/>
          <w:szCs w:val="22"/>
        </w:rPr>
        <w:t xml:space="preserve"> The Executive Summary will also be provided</w:t>
      </w:r>
      <w:r w:rsidR="00F076E3">
        <w:rPr>
          <w:rFonts w:ascii="Segoe UI" w:hAnsi="Segoe UI" w:cs="Segoe UI"/>
          <w:i/>
          <w:sz w:val="22"/>
          <w:szCs w:val="22"/>
        </w:rPr>
        <w:t xml:space="preserve"> </w:t>
      </w:r>
      <w:r w:rsidR="00494111" w:rsidRPr="008D5860">
        <w:rPr>
          <w:rFonts w:ascii="Segoe UI" w:hAnsi="Segoe UI" w:cs="Segoe UI"/>
          <w:i/>
          <w:sz w:val="22"/>
          <w:szCs w:val="22"/>
        </w:rPr>
        <w:t xml:space="preserve">to Fleming College’s Board of Governors. </w:t>
      </w:r>
    </w:p>
    <w:p w:rsidR="000D2749" w:rsidRDefault="000D2749" w:rsidP="000D2749">
      <w:pPr>
        <w:tabs>
          <w:tab w:val="center" w:pos="4680"/>
        </w:tabs>
        <w:rPr>
          <w:rFonts w:ascii="Segoe UI" w:hAnsi="Segoe UI" w:cs="Segoe UI"/>
          <w:i/>
          <w:sz w:val="22"/>
          <w:szCs w:val="22"/>
        </w:rPr>
      </w:pPr>
    </w:p>
    <w:p w:rsidR="005243B5" w:rsidRPr="008D5860" w:rsidRDefault="005243B5" w:rsidP="000D2749">
      <w:pPr>
        <w:tabs>
          <w:tab w:val="center" w:pos="4680"/>
        </w:tabs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7"/>
        <w:gridCol w:w="8791"/>
      </w:tblGrid>
      <w:tr w:rsidR="008D5860" w:rsidRPr="008D5860" w:rsidTr="005243B5">
        <w:trPr>
          <w:trHeight w:val="311"/>
        </w:trPr>
        <w:tc>
          <w:tcPr>
            <w:tcW w:w="1977" w:type="dxa"/>
          </w:tcPr>
          <w:p w:rsidR="008D5860" w:rsidRPr="008D5860" w:rsidRDefault="008D5860" w:rsidP="00233A93">
            <w:pPr>
              <w:tabs>
                <w:tab w:val="center" w:pos="4680"/>
              </w:tabs>
              <w:rPr>
                <w:rFonts w:ascii="Segoe UI" w:hAnsi="Segoe UI" w:cs="Segoe UI"/>
                <w:sz w:val="22"/>
                <w:szCs w:val="22"/>
              </w:rPr>
            </w:pPr>
            <w:r w:rsidRPr="008D5860">
              <w:rPr>
                <w:rFonts w:ascii="Segoe UI" w:hAnsi="Segoe UI" w:cs="Segoe UI"/>
                <w:sz w:val="22"/>
                <w:szCs w:val="22"/>
              </w:rPr>
              <w:t>Subject:</w:t>
            </w:r>
          </w:p>
        </w:tc>
        <w:tc>
          <w:tcPr>
            <w:tcW w:w="8791" w:type="dxa"/>
          </w:tcPr>
          <w:p w:rsidR="008D5860" w:rsidRPr="005243B5" w:rsidRDefault="00672353" w:rsidP="00233A93">
            <w:pPr>
              <w:tabs>
                <w:tab w:val="center" w:pos="46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Theme="minorEastAsia" w:hAnsi="Segoe UI" w:cs="Segoe UI" w:hint="eastAsia"/>
                <w:sz w:val="22"/>
                <w:szCs w:val="22"/>
                <w:lang w:eastAsia="ko-KR"/>
              </w:rPr>
              <w:t xml:space="preserve">School of Trades and Technology, </w:t>
            </w:r>
            <w:r w:rsidR="005243B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D5860" w:rsidRPr="005243B5">
              <w:rPr>
                <w:rFonts w:ascii="Segoe UI" w:hAnsi="Segoe UI" w:cs="Segoe UI"/>
                <w:sz w:val="22"/>
                <w:szCs w:val="22"/>
              </w:rPr>
              <w:t xml:space="preserve">Program Review Report </w:t>
            </w:r>
          </w:p>
        </w:tc>
      </w:tr>
      <w:tr w:rsidR="000D2749" w:rsidRPr="008D5860" w:rsidTr="005243B5">
        <w:tc>
          <w:tcPr>
            <w:tcW w:w="1977" w:type="dxa"/>
          </w:tcPr>
          <w:p w:rsidR="000D2749" w:rsidRPr="008D5860" w:rsidRDefault="005243B5" w:rsidP="00233A93">
            <w:pPr>
              <w:tabs>
                <w:tab w:val="center" w:pos="46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Program Name:</w:t>
            </w:r>
          </w:p>
        </w:tc>
        <w:tc>
          <w:tcPr>
            <w:tcW w:w="8791" w:type="dxa"/>
          </w:tcPr>
          <w:p w:rsidR="000D2749" w:rsidRPr="00672353" w:rsidRDefault="00AB7127" w:rsidP="005243B5">
            <w:pPr>
              <w:tabs>
                <w:tab w:val="center" w:pos="4680"/>
              </w:tabs>
              <w:rPr>
                <w:rFonts w:ascii="Segoe UI" w:eastAsiaTheme="minorEastAsia" w:hAnsi="Segoe UI" w:cs="Segoe UI"/>
                <w:sz w:val="22"/>
                <w:szCs w:val="22"/>
                <w:lang w:eastAsia="ko-KR"/>
              </w:rPr>
            </w:pPr>
            <w:r>
              <w:rPr>
                <w:rFonts w:ascii="Segoe UI" w:eastAsiaTheme="minorEastAsia" w:hAnsi="Segoe UI" w:cs="Segoe UI"/>
                <w:sz w:val="22"/>
                <w:szCs w:val="22"/>
                <w:lang w:eastAsia="ko-KR"/>
              </w:rPr>
              <w:t>Instrumentation and Control Technician</w:t>
            </w:r>
          </w:p>
        </w:tc>
      </w:tr>
      <w:tr w:rsidR="005243B5" w:rsidRPr="008D5860" w:rsidTr="005243B5">
        <w:tc>
          <w:tcPr>
            <w:tcW w:w="1977" w:type="dxa"/>
          </w:tcPr>
          <w:p w:rsidR="005243B5" w:rsidRPr="008D5860" w:rsidRDefault="005243B5" w:rsidP="00233A93">
            <w:pPr>
              <w:tabs>
                <w:tab w:val="center" w:pos="46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Presented By:</w:t>
            </w:r>
          </w:p>
        </w:tc>
        <w:tc>
          <w:tcPr>
            <w:tcW w:w="8791" w:type="dxa"/>
          </w:tcPr>
          <w:p w:rsidR="005243B5" w:rsidRPr="00672353" w:rsidRDefault="00672353" w:rsidP="00233A93">
            <w:pPr>
              <w:tabs>
                <w:tab w:val="center" w:pos="4680"/>
              </w:tabs>
              <w:rPr>
                <w:rFonts w:ascii="Segoe UI" w:eastAsiaTheme="minorEastAsia" w:hAnsi="Segoe UI" w:cs="Segoe UI"/>
                <w:sz w:val="22"/>
                <w:szCs w:val="22"/>
                <w:lang w:eastAsia="ko-KR"/>
              </w:rPr>
            </w:pPr>
            <w:r>
              <w:rPr>
                <w:rFonts w:ascii="Segoe UI" w:eastAsiaTheme="minorEastAsia" w:hAnsi="Segoe UI" w:cs="Segoe UI" w:hint="eastAsia"/>
                <w:sz w:val="22"/>
                <w:szCs w:val="22"/>
                <w:lang w:eastAsia="ko-KR"/>
              </w:rPr>
              <w:t>Maxine Mann</w:t>
            </w:r>
          </w:p>
        </w:tc>
      </w:tr>
      <w:tr w:rsidR="000D2749" w:rsidRPr="008D5860" w:rsidTr="005243B5">
        <w:tc>
          <w:tcPr>
            <w:tcW w:w="1977" w:type="dxa"/>
          </w:tcPr>
          <w:p w:rsidR="000D2749" w:rsidRPr="008D5860" w:rsidRDefault="000D2749" w:rsidP="00233A93">
            <w:pPr>
              <w:tabs>
                <w:tab w:val="center" w:pos="4680"/>
              </w:tabs>
              <w:rPr>
                <w:rFonts w:ascii="Segoe UI" w:hAnsi="Segoe UI" w:cs="Segoe UI"/>
                <w:sz w:val="22"/>
                <w:szCs w:val="22"/>
              </w:rPr>
            </w:pPr>
            <w:r w:rsidRPr="008D5860">
              <w:rPr>
                <w:rFonts w:ascii="Segoe UI" w:hAnsi="Segoe UI" w:cs="Segoe UI"/>
                <w:sz w:val="22"/>
                <w:szCs w:val="22"/>
              </w:rPr>
              <w:t>Action:</w:t>
            </w:r>
          </w:p>
        </w:tc>
        <w:tc>
          <w:tcPr>
            <w:tcW w:w="8791" w:type="dxa"/>
          </w:tcPr>
          <w:p w:rsidR="000D2749" w:rsidRPr="008D5860" w:rsidRDefault="000D2749" w:rsidP="00233A93">
            <w:pPr>
              <w:tabs>
                <w:tab w:val="center" w:pos="4680"/>
              </w:tabs>
              <w:rPr>
                <w:rFonts w:ascii="Segoe UI" w:hAnsi="Segoe UI" w:cs="Segoe UI"/>
                <w:smallCaps/>
                <w:sz w:val="22"/>
                <w:szCs w:val="22"/>
              </w:rPr>
            </w:pPr>
            <w:r w:rsidRPr="008D5860">
              <w:rPr>
                <w:rFonts w:ascii="Segoe UI" w:hAnsi="Segoe UI" w:cs="Segoe UI"/>
                <w:sz w:val="22"/>
                <w:szCs w:val="22"/>
              </w:rPr>
              <w:t xml:space="preserve">For Discussion / Information  </w:t>
            </w:r>
          </w:p>
        </w:tc>
      </w:tr>
    </w:tbl>
    <w:p w:rsidR="008D5860" w:rsidRPr="008D5860" w:rsidRDefault="008D5860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</w:p>
    <w:p w:rsidR="000D2749" w:rsidRPr="008D5860" w:rsidRDefault="000D2749" w:rsidP="007861A9">
      <w:pPr>
        <w:shd w:val="pct10" w:color="auto" w:fill="auto"/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SOURCE</w:t>
      </w:r>
    </w:p>
    <w:p w:rsidR="00C84D56" w:rsidRDefault="00C84D56" w:rsidP="00C84D56">
      <w:pPr>
        <w:pStyle w:val="ListParagraph"/>
        <w:numPr>
          <w:ilvl w:val="0"/>
          <w:numId w:val="5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Fleming College’s </w:t>
      </w:r>
      <w:r w:rsidRPr="00C84D56">
        <w:rPr>
          <w:rFonts w:ascii="Segoe UI" w:hAnsi="Segoe UI" w:cs="Segoe UI"/>
          <w:sz w:val="22"/>
          <w:szCs w:val="22"/>
        </w:rPr>
        <w:t>Curriculum Renewal and Program Review</w:t>
      </w:r>
      <w:r>
        <w:rPr>
          <w:rFonts w:ascii="Segoe UI" w:hAnsi="Segoe UI" w:cs="Segoe UI"/>
          <w:sz w:val="22"/>
          <w:szCs w:val="22"/>
        </w:rPr>
        <w:t xml:space="preserve"> (College Policy 2-207)</w:t>
      </w:r>
    </w:p>
    <w:p w:rsidR="00C84D56" w:rsidRPr="00C84D56" w:rsidRDefault="00C84D56" w:rsidP="00C84D56">
      <w:pPr>
        <w:pStyle w:val="ListParagraph"/>
        <w:numPr>
          <w:ilvl w:val="0"/>
          <w:numId w:val="5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Fleming College’s</w:t>
      </w:r>
      <w:r w:rsidRPr="008D5860">
        <w:rPr>
          <w:rFonts w:ascii="Segoe UI" w:hAnsi="Segoe UI" w:cs="Segoe UI"/>
          <w:sz w:val="22"/>
          <w:szCs w:val="22"/>
        </w:rPr>
        <w:t xml:space="preserve"> Quality Assura</w:t>
      </w:r>
      <w:r>
        <w:rPr>
          <w:rFonts w:ascii="Segoe UI" w:hAnsi="Segoe UI" w:cs="Segoe UI"/>
          <w:sz w:val="22"/>
          <w:szCs w:val="22"/>
        </w:rPr>
        <w:t>nce Policy (College Policy 2-213</w:t>
      </w:r>
      <w:r w:rsidRPr="008D5860">
        <w:rPr>
          <w:rFonts w:ascii="Segoe UI" w:hAnsi="Segoe UI" w:cs="Segoe UI"/>
          <w:sz w:val="22"/>
          <w:szCs w:val="22"/>
        </w:rPr>
        <w:t>)</w:t>
      </w:r>
    </w:p>
    <w:p w:rsidR="000D2749" w:rsidRDefault="00502B70" w:rsidP="00EB410E">
      <w:pPr>
        <w:pStyle w:val="ListParagraph"/>
        <w:numPr>
          <w:ilvl w:val="0"/>
          <w:numId w:val="5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Board of Gove</w:t>
      </w:r>
      <w:r w:rsidR="008D5860" w:rsidRPr="008D5860">
        <w:rPr>
          <w:rFonts w:ascii="Segoe UI" w:hAnsi="Segoe UI" w:cs="Segoe UI"/>
          <w:sz w:val="22"/>
          <w:szCs w:val="22"/>
        </w:rPr>
        <w:t>rnors By</w:t>
      </w:r>
      <w:r w:rsidR="008D5860">
        <w:rPr>
          <w:rFonts w:ascii="Segoe UI" w:hAnsi="Segoe UI" w:cs="Segoe UI"/>
          <w:sz w:val="22"/>
          <w:szCs w:val="22"/>
        </w:rPr>
        <w:t>-</w:t>
      </w:r>
      <w:r w:rsidR="00C84D56">
        <w:rPr>
          <w:rFonts w:ascii="Segoe UI" w:hAnsi="Segoe UI" w:cs="Segoe UI"/>
          <w:sz w:val="22"/>
          <w:szCs w:val="22"/>
        </w:rPr>
        <w:t>law (1-102 - reference section 39.6</w:t>
      </w:r>
      <w:r w:rsidR="008D5860" w:rsidRPr="008D5860">
        <w:rPr>
          <w:rFonts w:ascii="Segoe UI" w:hAnsi="Segoe UI" w:cs="Segoe UI"/>
          <w:sz w:val="22"/>
          <w:szCs w:val="22"/>
        </w:rPr>
        <w:t>)</w:t>
      </w:r>
    </w:p>
    <w:p w:rsidR="008D5860" w:rsidRPr="008D5860" w:rsidRDefault="008D5860" w:rsidP="008D5860">
      <w:pPr>
        <w:pStyle w:val="ListParagraph"/>
        <w:numPr>
          <w:ilvl w:val="0"/>
          <w:numId w:val="5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 xml:space="preserve">Academic Council Terms of Reference </w:t>
      </w:r>
      <w:r>
        <w:rPr>
          <w:rFonts w:ascii="Segoe UI" w:hAnsi="Segoe UI" w:cs="Segoe UI"/>
          <w:sz w:val="22"/>
          <w:szCs w:val="22"/>
        </w:rPr>
        <w:t>(</w:t>
      </w:r>
      <w:r w:rsidRPr="008D5860">
        <w:rPr>
          <w:rFonts w:ascii="Segoe UI" w:hAnsi="Segoe UI" w:cs="Segoe UI"/>
          <w:sz w:val="22"/>
          <w:szCs w:val="22"/>
        </w:rPr>
        <w:t>https://department.flemingcollege.ca/vpa/academic-council/terms-of-reference/</w:t>
      </w:r>
      <w:r>
        <w:rPr>
          <w:rFonts w:ascii="Segoe UI" w:hAnsi="Segoe UI" w:cs="Segoe UI"/>
          <w:sz w:val="22"/>
          <w:szCs w:val="22"/>
        </w:rPr>
        <w:t>)</w:t>
      </w:r>
    </w:p>
    <w:p w:rsidR="008D5860" w:rsidRPr="008D5860" w:rsidRDefault="008D5860" w:rsidP="008D5860">
      <w:p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</w:p>
    <w:p w:rsidR="008D5860" w:rsidRPr="008D5860" w:rsidRDefault="008D5860" w:rsidP="008D5860">
      <w:p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Reference </w:t>
      </w:r>
      <w:r w:rsidRPr="008D5860">
        <w:rPr>
          <w:rFonts w:ascii="Segoe UI" w:hAnsi="Segoe UI" w:cs="Segoe UI"/>
          <w:sz w:val="22"/>
          <w:szCs w:val="22"/>
        </w:rPr>
        <w:t>Documents</w:t>
      </w:r>
    </w:p>
    <w:p w:rsidR="008D5860" w:rsidRPr="008D5860" w:rsidRDefault="008D5860" w:rsidP="008D5860">
      <w:pPr>
        <w:pStyle w:val="ListParagraph"/>
        <w:numPr>
          <w:ilvl w:val="0"/>
          <w:numId w:val="6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Ministry of Training Colleges and Universities: Minister’s Binding Policy Directive, Framework for</w:t>
      </w:r>
    </w:p>
    <w:p w:rsidR="008D5860" w:rsidRPr="008D5860" w:rsidRDefault="008D5860" w:rsidP="008D5860">
      <w:pPr>
        <w:pStyle w:val="ListParagraph"/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Programs of Instruction http://www.accc.ca/ftp/es-ce/MTCUCollegeFramework.pdf</w:t>
      </w:r>
    </w:p>
    <w:p w:rsidR="008D5860" w:rsidRPr="008D5860" w:rsidRDefault="008D5860" w:rsidP="008D5860">
      <w:pPr>
        <w:pStyle w:val="ListParagraph"/>
        <w:numPr>
          <w:ilvl w:val="0"/>
          <w:numId w:val="6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Guidelines for the Program Review and Curriculum Renewal process and templates are located on the Centre for Learning and Teaching Website. http://flemingclt.ca</w:t>
      </w:r>
    </w:p>
    <w:p w:rsidR="008D5860" w:rsidRPr="008D5860" w:rsidRDefault="008D5860" w:rsidP="008D5860">
      <w:pPr>
        <w:pStyle w:val="ListParagraph"/>
        <w:numPr>
          <w:ilvl w:val="0"/>
          <w:numId w:val="6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Ontario College Quality Assurance Service - http://www.ocqas.org</w:t>
      </w:r>
      <w:r w:rsidRPr="008D5860">
        <w:rPr>
          <w:rFonts w:ascii="Segoe UI" w:hAnsi="Segoe UI" w:cs="Segoe UI"/>
          <w:sz w:val="22"/>
          <w:szCs w:val="22"/>
        </w:rPr>
        <w:cr/>
      </w:r>
    </w:p>
    <w:p w:rsidR="008D5860" w:rsidRPr="008D5860" w:rsidRDefault="008D5860" w:rsidP="008D5860">
      <w:p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</w:p>
    <w:p w:rsidR="000D2749" w:rsidRPr="008D5860" w:rsidRDefault="000D2749" w:rsidP="007861A9">
      <w:pPr>
        <w:shd w:val="pct10" w:color="auto" w:fill="auto"/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 xml:space="preserve">BACKGROUND </w:t>
      </w:r>
    </w:p>
    <w:p w:rsidR="000D2749" w:rsidRPr="008D5860" w:rsidRDefault="000D2749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Flemin</w:t>
      </w:r>
      <w:r w:rsidR="00233A93" w:rsidRPr="008D5860">
        <w:rPr>
          <w:rFonts w:ascii="Segoe UI" w:hAnsi="Segoe UI" w:cs="Segoe UI"/>
          <w:sz w:val="22"/>
          <w:szCs w:val="22"/>
        </w:rPr>
        <w:t>g’s quality assurance process includes a two-staged process that includes</w:t>
      </w:r>
      <w:r w:rsidRPr="008D5860">
        <w:rPr>
          <w:rFonts w:ascii="Segoe UI" w:hAnsi="Segoe UI" w:cs="Segoe UI"/>
          <w:sz w:val="22"/>
          <w:szCs w:val="22"/>
        </w:rPr>
        <w:t>:  Curriculum Renewal (</w:t>
      </w:r>
      <w:r w:rsidR="00233A93" w:rsidRPr="008D5860">
        <w:rPr>
          <w:rFonts w:ascii="Segoe UI" w:hAnsi="Segoe UI" w:cs="Segoe UI"/>
          <w:sz w:val="22"/>
          <w:szCs w:val="22"/>
        </w:rPr>
        <w:t xml:space="preserve">conducted </w:t>
      </w:r>
      <w:r w:rsidRPr="008D5860">
        <w:rPr>
          <w:rFonts w:ascii="Segoe UI" w:hAnsi="Segoe UI" w:cs="Segoe UI"/>
          <w:sz w:val="22"/>
          <w:szCs w:val="22"/>
        </w:rPr>
        <w:t>annual</w:t>
      </w:r>
      <w:r w:rsidR="00233A93" w:rsidRPr="008D5860">
        <w:rPr>
          <w:rFonts w:ascii="Segoe UI" w:hAnsi="Segoe UI" w:cs="Segoe UI"/>
          <w:sz w:val="22"/>
          <w:szCs w:val="22"/>
        </w:rPr>
        <w:t>ly</w:t>
      </w:r>
      <w:r w:rsidRPr="008D5860">
        <w:rPr>
          <w:rFonts w:ascii="Segoe UI" w:hAnsi="Segoe UI" w:cs="Segoe UI"/>
          <w:sz w:val="22"/>
          <w:szCs w:val="22"/>
        </w:rPr>
        <w:t>) and Program Review (</w:t>
      </w:r>
      <w:r w:rsidR="00233A93" w:rsidRPr="008D5860">
        <w:rPr>
          <w:rFonts w:ascii="Segoe UI" w:hAnsi="Segoe UI" w:cs="Segoe UI"/>
          <w:sz w:val="22"/>
          <w:szCs w:val="22"/>
        </w:rPr>
        <w:t xml:space="preserve">conducted </w:t>
      </w:r>
      <w:r w:rsidRPr="008D5860">
        <w:rPr>
          <w:rFonts w:ascii="Segoe UI" w:hAnsi="Segoe UI" w:cs="Segoe UI"/>
          <w:sz w:val="22"/>
          <w:szCs w:val="22"/>
        </w:rPr>
        <w:t>every five years)</w:t>
      </w:r>
      <w:r w:rsidR="00233A93" w:rsidRPr="008D5860">
        <w:rPr>
          <w:rFonts w:ascii="Segoe UI" w:hAnsi="Segoe UI" w:cs="Segoe UI"/>
          <w:sz w:val="22"/>
          <w:szCs w:val="22"/>
        </w:rPr>
        <w:t>.  T</w:t>
      </w:r>
      <w:r w:rsidRPr="008D5860">
        <w:rPr>
          <w:rFonts w:ascii="Segoe UI" w:hAnsi="Segoe UI" w:cs="Segoe UI"/>
          <w:sz w:val="22"/>
          <w:szCs w:val="22"/>
        </w:rPr>
        <w:t xml:space="preserve">hese two internal processes are integrated so there is an </w:t>
      </w:r>
      <w:r w:rsidRPr="008D5860">
        <w:rPr>
          <w:rFonts w:ascii="Segoe UI" w:hAnsi="Segoe UI" w:cs="Segoe UI"/>
          <w:i/>
          <w:sz w:val="22"/>
          <w:szCs w:val="22"/>
        </w:rPr>
        <w:t>ongoing</w:t>
      </w:r>
      <w:r w:rsidRPr="008D5860">
        <w:rPr>
          <w:rFonts w:ascii="Segoe UI" w:hAnsi="Segoe UI" w:cs="Segoe UI"/>
          <w:sz w:val="22"/>
          <w:szCs w:val="22"/>
        </w:rPr>
        <w:t xml:space="preserve"> focus on curriculum quality.</w:t>
      </w:r>
    </w:p>
    <w:p w:rsidR="000D2749" w:rsidRPr="008D5860" w:rsidRDefault="000D2749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</w:p>
    <w:p w:rsidR="000D2749" w:rsidRPr="008D5860" w:rsidRDefault="000D2749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 xml:space="preserve">The Program Review process is characterized by both depth and breadth of analysis.  </w:t>
      </w:r>
      <w:r w:rsidR="00233A93" w:rsidRPr="008D5860">
        <w:rPr>
          <w:rFonts w:ascii="Segoe UI" w:hAnsi="Segoe UI" w:cs="Segoe UI"/>
          <w:sz w:val="22"/>
          <w:szCs w:val="22"/>
        </w:rPr>
        <w:t>Program da</w:t>
      </w:r>
      <w:r w:rsidRPr="008D5860">
        <w:rPr>
          <w:rFonts w:ascii="Segoe UI" w:hAnsi="Segoe UI" w:cs="Segoe UI"/>
          <w:sz w:val="22"/>
          <w:szCs w:val="22"/>
        </w:rPr>
        <w:t xml:space="preserve">ta is collated, reviewed and assessed against given criteria, providing a measure of both the vitality and viability of each program.  </w:t>
      </w:r>
      <w:r w:rsidR="00DF00A7" w:rsidRPr="008D5860">
        <w:rPr>
          <w:rFonts w:ascii="Segoe UI" w:hAnsi="Segoe UI" w:cs="Segoe UI"/>
          <w:sz w:val="22"/>
          <w:szCs w:val="22"/>
        </w:rPr>
        <w:t>Based on this analysis, l</w:t>
      </w:r>
      <w:r w:rsidRPr="008D5860">
        <w:rPr>
          <w:rFonts w:ascii="Segoe UI" w:hAnsi="Segoe UI" w:cs="Segoe UI"/>
          <w:sz w:val="22"/>
          <w:szCs w:val="22"/>
        </w:rPr>
        <w:t>ong-term plans are then created to guide continuous curriculum improvement and build on the cumulative outcomes of annual curriculum renewal.  At the end of this process, a Program Review Panel (convened by the Dean) is charged with the responsibility of making recommendations concerning program viability as well as suggesting program/curriculum revisions.</w:t>
      </w:r>
    </w:p>
    <w:p w:rsidR="00DF00A7" w:rsidRPr="008D5860" w:rsidRDefault="00DF00A7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</w:p>
    <w:p w:rsidR="00DF00A7" w:rsidRPr="008D5860" w:rsidRDefault="00DF00A7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 xml:space="preserve">In adhering to the mandate of the </w:t>
      </w:r>
      <w:r w:rsidR="00494111" w:rsidRPr="008D5860">
        <w:rPr>
          <w:rFonts w:ascii="Segoe UI" w:hAnsi="Segoe UI" w:cs="Segoe UI"/>
          <w:sz w:val="22"/>
          <w:szCs w:val="22"/>
        </w:rPr>
        <w:t xml:space="preserve">Academic Council </w:t>
      </w:r>
      <w:r w:rsidRPr="008D5860">
        <w:rPr>
          <w:rFonts w:ascii="Segoe UI" w:hAnsi="Segoe UI" w:cs="Segoe UI"/>
          <w:sz w:val="22"/>
          <w:szCs w:val="22"/>
        </w:rPr>
        <w:t xml:space="preserve">to receive reviews of existing programs of instruction, the Executive Summary </w:t>
      </w:r>
      <w:r w:rsidR="00373D5B" w:rsidRPr="008D5860">
        <w:rPr>
          <w:rFonts w:ascii="Segoe UI" w:hAnsi="Segoe UI" w:cs="Segoe UI"/>
          <w:sz w:val="22"/>
          <w:szCs w:val="22"/>
        </w:rPr>
        <w:t>for</w:t>
      </w:r>
      <w:r w:rsidR="00513C50">
        <w:rPr>
          <w:rFonts w:ascii="Segoe UI" w:hAnsi="Segoe UI" w:cs="Segoe UI"/>
          <w:sz w:val="22"/>
          <w:szCs w:val="22"/>
        </w:rPr>
        <w:t xml:space="preserve"> the School of </w:t>
      </w:r>
      <w:r w:rsidR="00672353">
        <w:rPr>
          <w:rFonts w:ascii="Segoe UI" w:eastAsiaTheme="minorEastAsia" w:hAnsi="Segoe UI" w:cs="Segoe UI" w:hint="eastAsia"/>
          <w:sz w:val="22"/>
          <w:szCs w:val="22"/>
          <w:lang w:eastAsia="ko-KR"/>
        </w:rPr>
        <w:t>Trades and Technology</w:t>
      </w:r>
      <w:r w:rsidRPr="008D5860">
        <w:rPr>
          <w:rFonts w:ascii="Segoe UI" w:hAnsi="Segoe UI" w:cs="Segoe UI"/>
          <w:sz w:val="22"/>
          <w:szCs w:val="22"/>
        </w:rPr>
        <w:t xml:space="preserve"> is hereby provided, for the </w:t>
      </w:r>
      <w:r w:rsidR="00494111" w:rsidRPr="008D5860">
        <w:rPr>
          <w:rFonts w:ascii="Segoe UI" w:hAnsi="Segoe UI" w:cs="Segoe UI"/>
          <w:sz w:val="22"/>
          <w:szCs w:val="22"/>
        </w:rPr>
        <w:t>Council’s</w:t>
      </w:r>
      <w:r w:rsidRPr="008D5860">
        <w:rPr>
          <w:rFonts w:ascii="Segoe UI" w:hAnsi="Segoe UI" w:cs="Segoe UI"/>
          <w:sz w:val="22"/>
          <w:szCs w:val="22"/>
        </w:rPr>
        <w:t xml:space="preserve"> information.</w:t>
      </w:r>
    </w:p>
    <w:p w:rsidR="008D5860" w:rsidRPr="008D5860" w:rsidRDefault="008D5860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</w:p>
    <w:p w:rsidR="000D2749" w:rsidRPr="008D5860" w:rsidRDefault="00233A93" w:rsidP="007861A9">
      <w:pPr>
        <w:shd w:val="pct10" w:color="auto" w:fill="auto"/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lastRenderedPageBreak/>
        <w:t>PROGRAM STRENGTHS</w:t>
      </w:r>
    </w:p>
    <w:p w:rsidR="000D2749" w:rsidRPr="002B3EE8" w:rsidRDefault="00672353" w:rsidP="002B3EE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2B3EE8">
        <w:rPr>
          <w:rFonts w:ascii="Segoe UI" w:eastAsiaTheme="minorEastAsia" w:hAnsi="Segoe UI" w:cs="Segoe UI" w:hint="eastAsia"/>
          <w:sz w:val="22"/>
          <w:szCs w:val="22"/>
          <w:lang w:eastAsia="ko-KR"/>
        </w:rPr>
        <w:t>Complete safety certifications in WHIMIS, Fall Arrest, Confined Spaces, and Basic First Aid/CPR</w:t>
      </w:r>
    </w:p>
    <w:p w:rsidR="00672353" w:rsidRDefault="00AB7127" w:rsidP="002B3EE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Segoe UI" w:eastAsiaTheme="minorEastAsia" w:hAnsi="Segoe UI" w:cs="Segoe UI" w:hint="eastAsia"/>
          <w:sz w:val="22"/>
          <w:szCs w:val="22"/>
          <w:lang w:eastAsia="ko-KR"/>
        </w:rPr>
      </w:pPr>
      <w:r>
        <w:rPr>
          <w:rFonts w:ascii="Segoe UI" w:eastAsiaTheme="minorEastAsia" w:hAnsi="Segoe UI" w:cs="Segoe UI" w:hint="eastAsia"/>
          <w:sz w:val="22"/>
          <w:szCs w:val="22"/>
          <w:lang w:eastAsia="ko-KR"/>
        </w:rPr>
        <w:t>Students in good standing can obtain Siemens T1 1 week professional train</w:t>
      </w:r>
      <w:r>
        <w:rPr>
          <w:rFonts w:ascii="Segoe UI" w:eastAsiaTheme="minorEastAsia" w:hAnsi="Segoe UI" w:cs="Segoe UI"/>
          <w:sz w:val="22"/>
          <w:szCs w:val="22"/>
          <w:lang w:eastAsia="ko-KR"/>
        </w:rPr>
        <w:t>ing</w:t>
      </w:r>
      <w:r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for free</w:t>
      </w:r>
    </w:p>
    <w:p w:rsidR="00AB7127" w:rsidRDefault="00AB7127" w:rsidP="002B3EE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rFonts w:ascii="Segoe UI" w:eastAsiaTheme="minorEastAsia" w:hAnsi="Segoe UI" w:cs="Segoe UI"/>
          <w:sz w:val="22"/>
          <w:szCs w:val="22"/>
          <w:lang w:eastAsia="ko-KR"/>
        </w:rPr>
        <w:t>Well balance using STEM.  Science Technology Engineering Math concepts.</w:t>
      </w:r>
    </w:p>
    <w:p w:rsidR="00AB7127" w:rsidRPr="002B3EE8" w:rsidRDefault="00AB7127" w:rsidP="00AB7127">
      <w:pPr>
        <w:pStyle w:val="ListParagraph"/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9524D9" w:rsidRPr="00693CFE" w:rsidRDefault="009524D9" w:rsidP="000D2749">
      <w:p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233A93" w:rsidRPr="008D5860" w:rsidRDefault="00233A93" w:rsidP="007861A9">
      <w:pPr>
        <w:shd w:val="pct10" w:color="auto" w:fill="auto"/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PROGRAM CHALLENGES</w:t>
      </w:r>
    </w:p>
    <w:p w:rsidR="00672353" w:rsidRPr="002B3EE8" w:rsidRDefault="00672353" w:rsidP="002B3EE8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2B3EE8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Math </w:t>
      </w:r>
      <w:r w:rsidR="009700B6">
        <w:rPr>
          <w:rFonts w:ascii="Segoe UI" w:eastAsiaTheme="minorEastAsia" w:hAnsi="Segoe UI" w:cs="Segoe UI"/>
          <w:sz w:val="22"/>
          <w:szCs w:val="22"/>
          <w:lang w:eastAsia="ko-KR"/>
        </w:rPr>
        <w:t xml:space="preserve">and Electronics </w:t>
      </w:r>
      <w:r w:rsidR="009700B6">
        <w:rPr>
          <w:rFonts w:ascii="Segoe UI" w:eastAsiaTheme="minorEastAsia" w:hAnsi="Segoe UI" w:cs="Segoe UI" w:hint="eastAsia"/>
          <w:sz w:val="22"/>
          <w:szCs w:val="22"/>
          <w:lang w:eastAsia="ko-KR"/>
        </w:rPr>
        <w:t>skills need improvment</w:t>
      </w:r>
    </w:p>
    <w:p w:rsidR="00AB7127" w:rsidRDefault="00672353" w:rsidP="002B3EE8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="Segoe UI" w:eastAsiaTheme="minorEastAsia" w:hAnsi="Segoe UI" w:cs="Segoe UI" w:hint="eastAsia"/>
          <w:sz w:val="22"/>
          <w:szCs w:val="22"/>
          <w:lang w:eastAsia="ko-KR"/>
        </w:rPr>
      </w:pPr>
      <w:r w:rsidRPr="002B3EE8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Need to have updated laboratory </w:t>
      </w:r>
      <w:r w:rsidRPr="002B3EE8">
        <w:rPr>
          <w:rFonts w:ascii="Segoe UI" w:eastAsiaTheme="minorEastAsia" w:hAnsi="Segoe UI" w:cs="Segoe UI"/>
          <w:sz w:val="22"/>
          <w:szCs w:val="22"/>
          <w:lang w:eastAsia="ko-KR"/>
        </w:rPr>
        <w:t>equipment</w:t>
      </w:r>
      <w:r w:rsidR="00AB712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in technology field</w:t>
      </w:r>
    </w:p>
    <w:p w:rsidR="00672353" w:rsidRPr="002B3EE8" w:rsidRDefault="00AB7127" w:rsidP="002B3EE8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rFonts w:ascii="Segoe UI" w:eastAsiaTheme="minorEastAsia" w:hAnsi="Segoe UI" w:cs="Segoe UI"/>
          <w:sz w:val="22"/>
          <w:szCs w:val="22"/>
          <w:lang w:eastAsia="ko-KR"/>
        </w:rPr>
        <w:t>Marketing due to abstract name “Instrumentation”  not well understood by parents and students</w:t>
      </w:r>
      <w:r w:rsidR="00672353" w:rsidRPr="002B3EE8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</w:t>
      </w:r>
    </w:p>
    <w:p w:rsidR="009524D9" w:rsidRPr="00693CFE" w:rsidRDefault="009524D9" w:rsidP="000D2749">
      <w:p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9524D9" w:rsidRPr="008D5860" w:rsidRDefault="005022EF" w:rsidP="005022EF">
      <w:pPr>
        <w:shd w:val="clear" w:color="auto" w:fill="D9D9D9" w:themeFill="background1" w:themeFillShade="D9"/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KPI RESULTS</w:t>
      </w:r>
    </w:p>
    <w:tbl>
      <w:tblPr>
        <w:tblW w:w="9093" w:type="dxa"/>
        <w:jc w:val="center"/>
        <w:tblLook w:val="04A0" w:firstRow="1" w:lastRow="0" w:firstColumn="1" w:lastColumn="0" w:noHBand="0" w:noVBand="1"/>
      </w:tblPr>
      <w:tblGrid>
        <w:gridCol w:w="3979"/>
        <w:gridCol w:w="717"/>
        <w:gridCol w:w="13"/>
        <w:gridCol w:w="704"/>
        <w:gridCol w:w="26"/>
        <w:gridCol w:w="691"/>
        <w:gridCol w:w="39"/>
        <w:gridCol w:w="585"/>
        <w:gridCol w:w="145"/>
        <w:gridCol w:w="572"/>
        <w:gridCol w:w="158"/>
        <w:gridCol w:w="559"/>
        <w:gridCol w:w="171"/>
        <w:gridCol w:w="734"/>
      </w:tblGrid>
      <w:tr w:rsidR="00672353" w:rsidRPr="00672353" w:rsidTr="00AF3D63">
        <w:trPr>
          <w:trHeight w:val="364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57364" w:rsidP="00672353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color w:val="FF0000"/>
                <w:sz w:val="22"/>
                <w:szCs w:val="22"/>
                <w:lang w:eastAsia="ja-JP"/>
              </w:rPr>
              <w:t>Student satisfaction in Red highlighted.</w:t>
            </w:r>
          </w:p>
        </w:tc>
        <w:tc>
          <w:tcPr>
            <w:tcW w:w="5114" w:type="dxa"/>
            <w:gridSpan w:val="13"/>
            <w:tcBorders>
              <w:top w:val="single" w:sz="4" w:space="0" w:color="1F497D"/>
              <w:left w:val="single" w:sz="4" w:space="0" w:color="1F497D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72353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ja-JP"/>
              </w:rPr>
              <w:t>KPI Score (%)</w:t>
            </w:r>
          </w:p>
        </w:tc>
      </w:tr>
      <w:tr w:rsidR="00672353" w:rsidRPr="00672353" w:rsidTr="00AF3D63">
        <w:trPr>
          <w:trHeight w:val="251"/>
          <w:jc w:val="center"/>
        </w:trPr>
        <w:tc>
          <w:tcPr>
            <w:tcW w:w="3979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72353" w:rsidRDefault="00672353" w:rsidP="00672353">
            <w:pPr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  <w:t>Review Year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  <w:t>KPI1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  <w:t>KPI2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  <w:t>KPI3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  <w:t>KP4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0"/>
                <w:szCs w:val="20"/>
                <w:lang w:eastAsia="ja-JP"/>
              </w:rPr>
              <w:t>KPI8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57364" w:rsidRDefault="00672353" w:rsidP="00672353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0"/>
                <w:szCs w:val="20"/>
                <w:lang w:eastAsia="ja-JP"/>
              </w:rPr>
              <w:t>KPI9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497D"/>
            </w:tcBorders>
            <w:shd w:val="clear" w:color="366092" w:fill="366092"/>
            <w:noWrap/>
            <w:vAlign w:val="bottom"/>
            <w:hideMark/>
          </w:tcPr>
          <w:p w:rsidR="00672353" w:rsidRPr="00672353" w:rsidRDefault="00672353" w:rsidP="00672353">
            <w:pPr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  <w:t>KPI11</w:t>
            </w:r>
          </w:p>
        </w:tc>
      </w:tr>
      <w:tr w:rsidR="00AF3D63" w:rsidRPr="00AF3D63" w:rsidTr="00AF3D63">
        <w:tblPrEx>
          <w:jc w:val="left"/>
        </w:tblPrEx>
        <w:trPr>
          <w:trHeight w:val="251"/>
        </w:trPr>
        <w:tc>
          <w:tcPr>
            <w:tcW w:w="3979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AF3D63" w:rsidRPr="00AF3D63" w:rsidRDefault="00AF3D63" w:rsidP="00AF3D63">
            <w:pPr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  <w:t>Instrumentation and Control Eng Techn</w:t>
            </w:r>
          </w:p>
        </w:tc>
        <w:tc>
          <w:tcPr>
            <w:tcW w:w="73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  <w:t>73</w:t>
            </w:r>
          </w:p>
        </w:tc>
        <w:tc>
          <w:tcPr>
            <w:tcW w:w="730" w:type="dxa"/>
            <w:gridSpan w:val="2"/>
            <w:tcBorders>
              <w:top w:val="single" w:sz="4" w:space="0" w:color="1F497D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  <w:t>71</w:t>
            </w:r>
          </w:p>
        </w:tc>
        <w:tc>
          <w:tcPr>
            <w:tcW w:w="730" w:type="dxa"/>
            <w:gridSpan w:val="2"/>
            <w:tcBorders>
              <w:top w:val="single" w:sz="4" w:space="0" w:color="1F497D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  <w:t>42</w:t>
            </w:r>
          </w:p>
        </w:tc>
        <w:tc>
          <w:tcPr>
            <w:tcW w:w="730" w:type="dxa"/>
            <w:gridSpan w:val="2"/>
            <w:tcBorders>
              <w:top w:val="single" w:sz="4" w:space="0" w:color="1F497D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  <w:t>68</w:t>
            </w:r>
          </w:p>
        </w:tc>
        <w:tc>
          <w:tcPr>
            <w:tcW w:w="730" w:type="dxa"/>
            <w:gridSpan w:val="2"/>
            <w:tcBorders>
              <w:top w:val="single" w:sz="4" w:space="0" w:color="1F497D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  <w:t>61</w:t>
            </w:r>
          </w:p>
        </w:tc>
        <w:tc>
          <w:tcPr>
            <w:tcW w:w="730" w:type="dxa"/>
            <w:gridSpan w:val="2"/>
            <w:tcBorders>
              <w:top w:val="single" w:sz="4" w:space="0" w:color="1F497D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  <w:t>50</w:t>
            </w:r>
          </w:p>
        </w:tc>
        <w:tc>
          <w:tcPr>
            <w:tcW w:w="734" w:type="dxa"/>
            <w:tcBorders>
              <w:top w:val="single" w:sz="4" w:space="0" w:color="1F497D"/>
              <w:left w:val="nil"/>
              <w:bottom w:val="single" w:sz="4" w:space="0" w:color="DCE6F1"/>
              <w:right w:val="single" w:sz="4" w:space="0" w:color="1F497D"/>
            </w:tcBorders>
            <w:shd w:val="clear" w:color="95B3D7" w:fill="95B3D7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FFFFFF"/>
                <w:sz w:val="22"/>
                <w:szCs w:val="22"/>
                <w:lang w:eastAsia="en-CA"/>
              </w:rPr>
              <w:t>59</w:t>
            </w:r>
          </w:p>
        </w:tc>
      </w:tr>
      <w:tr w:rsidR="00AF3D63" w:rsidRPr="00AF3D63" w:rsidTr="00AF3D63">
        <w:tblPrEx>
          <w:jc w:val="left"/>
        </w:tblPrEx>
        <w:trPr>
          <w:trHeight w:val="251"/>
        </w:trPr>
        <w:tc>
          <w:tcPr>
            <w:tcW w:w="3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2011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single" w:sz="4" w:space="0" w:color="1F497D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33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30</w:t>
            </w:r>
          </w:p>
        </w:tc>
        <w:tc>
          <w:tcPr>
            <w:tcW w:w="734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  <w:tr w:rsidR="00AF3D63" w:rsidRPr="00AF3D63" w:rsidTr="00AF3D63">
        <w:tblPrEx>
          <w:jc w:val="left"/>
        </w:tblPrEx>
        <w:trPr>
          <w:trHeight w:val="251"/>
        </w:trPr>
        <w:tc>
          <w:tcPr>
            <w:tcW w:w="397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2012</w:t>
            </w:r>
          </w:p>
        </w:tc>
        <w:tc>
          <w:tcPr>
            <w:tcW w:w="730" w:type="dxa"/>
            <w:gridSpan w:val="2"/>
            <w:tcBorders>
              <w:top w:val="single" w:sz="4" w:space="0" w:color="366092"/>
              <w:left w:val="single" w:sz="4" w:space="0" w:color="1F497D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33</w:t>
            </w:r>
          </w:p>
        </w:tc>
        <w:tc>
          <w:tcPr>
            <w:tcW w:w="730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31</w:t>
            </w:r>
          </w:p>
        </w:tc>
        <w:tc>
          <w:tcPr>
            <w:tcW w:w="7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  <w:tr w:rsidR="00AF3D63" w:rsidRPr="00AF3D63" w:rsidTr="00AF3D63">
        <w:tblPrEx>
          <w:jc w:val="left"/>
        </w:tblPrEx>
        <w:trPr>
          <w:trHeight w:val="251"/>
        </w:trPr>
        <w:tc>
          <w:tcPr>
            <w:tcW w:w="3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2013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single" w:sz="4" w:space="0" w:color="1F497D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80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60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64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77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60</w:t>
            </w:r>
          </w:p>
        </w:tc>
        <w:tc>
          <w:tcPr>
            <w:tcW w:w="734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64</w:t>
            </w:r>
          </w:p>
        </w:tc>
      </w:tr>
      <w:tr w:rsidR="00AF3D63" w:rsidRPr="00AF3D63" w:rsidTr="00AF3D63">
        <w:tblPrEx>
          <w:jc w:val="left"/>
        </w:tblPrEx>
        <w:trPr>
          <w:trHeight w:val="251"/>
        </w:trPr>
        <w:tc>
          <w:tcPr>
            <w:tcW w:w="397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2014</w:t>
            </w:r>
          </w:p>
        </w:tc>
        <w:tc>
          <w:tcPr>
            <w:tcW w:w="730" w:type="dxa"/>
            <w:gridSpan w:val="2"/>
            <w:tcBorders>
              <w:top w:val="single" w:sz="4" w:space="0" w:color="366092"/>
              <w:left w:val="single" w:sz="4" w:space="0" w:color="1F497D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67</w:t>
            </w:r>
          </w:p>
        </w:tc>
        <w:tc>
          <w:tcPr>
            <w:tcW w:w="730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33</w:t>
            </w:r>
          </w:p>
        </w:tc>
        <w:tc>
          <w:tcPr>
            <w:tcW w:w="730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59</w:t>
            </w:r>
          </w:p>
        </w:tc>
        <w:tc>
          <w:tcPr>
            <w:tcW w:w="730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81</w:t>
            </w:r>
          </w:p>
        </w:tc>
        <w:tc>
          <w:tcPr>
            <w:tcW w:w="730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75</w:t>
            </w:r>
          </w:p>
        </w:tc>
        <w:tc>
          <w:tcPr>
            <w:tcW w:w="7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43</w:t>
            </w:r>
          </w:p>
        </w:tc>
      </w:tr>
      <w:tr w:rsidR="00AF3D63" w:rsidRPr="00AF3D63" w:rsidTr="00AF3D63">
        <w:tblPrEx>
          <w:jc w:val="left"/>
        </w:tblPrEx>
        <w:trPr>
          <w:trHeight w:val="251"/>
        </w:trPr>
        <w:tc>
          <w:tcPr>
            <w:tcW w:w="3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2015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single" w:sz="4" w:space="0" w:color="1F497D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73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67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33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81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77</w:t>
            </w:r>
          </w:p>
        </w:tc>
        <w:tc>
          <w:tcPr>
            <w:tcW w:w="73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52</w:t>
            </w:r>
          </w:p>
        </w:tc>
        <w:tc>
          <w:tcPr>
            <w:tcW w:w="734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AF3D63" w:rsidRPr="00AF3D63" w:rsidRDefault="00AF3D63" w:rsidP="00AF3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AF3D6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72</w:t>
            </w:r>
          </w:p>
        </w:tc>
      </w:tr>
    </w:tbl>
    <w:p w:rsidR="005022EF" w:rsidRDefault="0091070F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9182485" wp14:editId="0E3DF57C">
            <wp:simplePos x="0" y="0"/>
            <wp:positionH relativeFrom="column">
              <wp:posOffset>3441940</wp:posOffset>
            </wp:positionH>
            <wp:positionV relativeFrom="paragraph">
              <wp:posOffset>135806</wp:posOffset>
            </wp:positionV>
            <wp:extent cx="3648075" cy="2898476"/>
            <wp:effectExtent l="0" t="0" r="9525" b="1651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6E3EEE7" wp14:editId="1150D901">
            <wp:simplePos x="0" y="0"/>
            <wp:positionH relativeFrom="column">
              <wp:posOffset>-43132</wp:posOffset>
            </wp:positionH>
            <wp:positionV relativeFrom="paragraph">
              <wp:posOffset>118553</wp:posOffset>
            </wp:positionV>
            <wp:extent cx="3424555" cy="2932981"/>
            <wp:effectExtent l="0" t="0" r="4445" b="127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91070F" w:rsidRDefault="0091070F" w:rsidP="00AF3D63">
      <w:pPr>
        <w:tabs>
          <w:tab w:val="left" w:pos="-1440"/>
        </w:tabs>
        <w:rPr>
          <w:rFonts w:ascii="Segoe UI" w:eastAsiaTheme="minorEastAsia" w:hAnsi="Segoe UI" w:cs="Segoe UI"/>
          <w:b/>
          <w:sz w:val="22"/>
          <w:szCs w:val="22"/>
          <w:lang w:eastAsia="ko-KR"/>
        </w:rPr>
      </w:pPr>
    </w:p>
    <w:p w:rsidR="0091070F" w:rsidRDefault="0091070F" w:rsidP="00AF3D63">
      <w:pPr>
        <w:tabs>
          <w:tab w:val="left" w:pos="-1440"/>
        </w:tabs>
        <w:rPr>
          <w:rFonts w:ascii="Segoe UI" w:eastAsiaTheme="minorEastAsia" w:hAnsi="Segoe UI" w:cs="Segoe UI"/>
          <w:b/>
          <w:sz w:val="22"/>
          <w:szCs w:val="22"/>
          <w:lang w:eastAsia="ko-KR"/>
        </w:rPr>
      </w:pPr>
    </w:p>
    <w:p w:rsidR="00AF3D63" w:rsidRPr="00AF3D63" w:rsidRDefault="00AF3D63" w:rsidP="00AF3D63">
      <w:pPr>
        <w:tabs>
          <w:tab w:val="left" w:pos="-1440"/>
        </w:tabs>
        <w:rPr>
          <w:rFonts w:ascii="Segoe UI" w:eastAsiaTheme="minorEastAsia" w:hAnsi="Segoe UI" w:cs="Segoe UI"/>
          <w:b/>
          <w:sz w:val="22"/>
          <w:szCs w:val="22"/>
          <w:lang w:eastAsia="ko-KR"/>
        </w:rPr>
      </w:pPr>
      <w:r w:rsidRPr="00AF3D63">
        <w:rPr>
          <w:rFonts w:ascii="Segoe UI" w:eastAsiaTheme="minorEastAsia" w:hAnsi="Segoe UI" w:cs="Segoe UI"/>
          <w:b/>
          <w:sz w:val="22"/>
          <w:szCs w:val="22"/>
          <w:lang w:eastAsia="ko-KR"/>
        </w:rPr>
        <w:t>Interpretation:</w:t>
      </w:r>
    </w:p>
    <w:p w:rsidR="00AF3D63" w:rsidRDefault="00AF3D63" w:rsidP="00AF3D63">
      <w:p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91070F" w:rsidP="00AF3D63">
      <w:p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rFonts w:ascii="Segoe UI" w:eastAsiaTheme="minorEastAsia" w:hAnsi="Segoe UI" w:cs="Segoe UI"/>
          <w:sz w:val="22"/>
          <w:szCs w:val="22"/>
          <w:lang w:eastAsia="ko-KR"/>
        </w:rPr>
        <w:t>-</w:t>
      </w:r>
      <w:r w:rsidR="00AF3D63">
        <w:rPr>
          <w:rFonts w:ascii="Segoe UI" w:eastAsiaTheme="minorEastAsia" w:hAnsi="Segoe UI" w:cs="Segoe UI"/>
          <w:sz w:val="22"/>
          <w:szCs w:val="22"/>
          <w:lang w:eastAsia="ko-KR"/>
        </w:rPr>
        <w:t>Improvements made to Learning Experiences have been made and sustained and competitive with province.</w:t>
      </w:r>
    </w:p>
    <w:p w:rsidR="00AF3D63" w:rsidRDefault="0091070F" w:rsidP="00AF3D63">
      <w:p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rFonts w:ascii="Segoe UI" w:eastAsiaTheme="minorEastAsia" w:hAnsi="Segoe UI" w:cs="Segoe UI"/>
          <w:sz w:val="22"/>
          <w:szCs w:val="22"/>
          <w:lang w:eastAsia="ko-KR"/>
        </w:rPr>
        <w:t>-</w:t>
      </w:r>
      <w:r w:rsidR="00AF3D63">
        <w:rPr>
          <w:rFonts w:ascii="Segoe UI" w:eastAsiaTheme="minorEastAsia" w:hAnsi="Segoe UI" w:cs="Segoe UI"/>
          <w:sz w:val="22"/>
          <w:szCs w:val="22"/>
          <w:lang w:eastAsia="ko-KR"/>
        </w:rPr>
        <w:t xml:space="preserve">Satisfaction with teachers </w:t>
      </w:r>
      <w:r w:rsidR="009700B6">
        <w:rPr>
          <w:rFonts w:ascii="Segoe UI" w:eastAsiaTheme="minorEastAsia" w:hAnsi="Segoe UI" w:cs="Segoe UI"/>
          <w:sz w:val="22"/>
          <w:szCs w:val="22"/>
          <w:lang w:eastAsia="ko-KR"/>
        </w:rPr>
        <w:t>obviously</w:t>
      </w:r>
      <w:r w:rsidR="00AF3D63">
        <w:rPr>
          <w:rFonts w:ascii="Segoe UI" w:eastAsiaTheme="minorEastAsia" w:hAnsi="Segoe UI" w:cs="Segoe UI"/>
          <w:sz w:val="22"/>
          <w:szCs w:val="22"/>
          <w:lang w:eastAsia="ko-KR"/>
        </w:rPr>
        <w:t xml:space="preserve"> dropped in 2015 but was on incline prior too. </w:t>
      </w:r>
    </w:p>
    <w:p w:rsidR="00AF3D63" w:rsidRDefault="0091070F" w:rsidP="00AF3D63">
      <w:p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rFonts w:ascii="Segoe UI" w:eastAsiaTheme="minorEastAsia" w:hAnsi="Segoe UI" w:cs="Segoe UI"/>
          <w:sz w:val="22"/>
          <w:szCs w:val="22"/>
          <w:lang w:eastAsia="ko-KR"/>
        </w:rPr>
        <w:t>-Graduate and employer satisfaction numbers are not statistically valid as there are typically</w:t>
      </w:r>
      <w:r w:rsidR="009700B6">
        <w:rPr>
          <w:rFonts w:ascii="Segoe UI" w:eastAsiaTheme="minorEastAsia" w:hAnsi="Segoe UI" w:cs="Segoe UI"/>
          <w:sz w:val="22"/>
          <w:szCs w:val="22"/>
          <w:lang w:eastAsia="ko-KR"/>
        </w:rPr>
        <w:t xml:space="preserve"> only</w:t>
      </w:r>
      <w:r>
        <w:rPr>
          <w:rFonts w:ascii="Segoe UI" w:eastAsiaTheme="minorEastAsia" w:hAnsi="Segoe UI" w:cs="Segoe UI"/>
          <w:sz w:val="22"/>
          <w:szCs w:val="22"/>
          <w:lang w:eastAsia="ko-KR"/>
        </w:rPr>
        <w:t xml:space="preserve"> 3-5 respondents.</w:t>
      </w:r>
    </w:p>
    <w:p w:rsidR="00AF3D63" w:rsidRDefault="00AF3D63" w:rsidP="00AF3D63">
      <w:p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AF3D63" w:rsidRDefault="00AF3D63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1B43DE" w:rsidRPr="002C79C7" w:rsidRDefault="001B43DE" w:rsidP="009700B6">
      <w:p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0D2749" w:rsidRPr="008D5860" w:rsidRDefault="00233A93" w:rsidP="007861A9">
      <w:pPr>
        <w:shd w:val="pct12" w:color="auto" w:fill="auto"/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 xml:space="preserve">SUMMARY OF </w:t>
      </w:r>
      <w:r w:rsidR="000D2749" w:rsidRPr="008D5860">
        <w:rPr>
          <w:rFonts w:ascii="Segoe UI" w:hAnsi="Segoe UI" w:cs="Segoe UI"/>
          <w:sz w:val="22"/>
          <w:szCs w:val="22"/>
        </w:rPr>
        <w:t>RECOMMENDATION</w:t>
      </w:r>
      <w:r w:rsidRPr="008D5860">
        <w:rPr>
          <w:rFonts w:ascii="Segoe UI" w:hAnsi="Segoe UI" w:cs="Segoe UI"/>
          <w:sz w:val="22"/>
          <w:szCs w:val="22"/>
        </w:rPr>
        <w:t>S</w:t>
      </w: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 xml:space="preserve">A </w:t>
      </w:r>
      <w:r w:rsidRPr="008D5860">
        <w:rPr>
          <w:rFonts w:ascii="Segoe UI" w:hAnsi="Segoe UI" w:cs="Segoe UI"/>
          <w:sz w:val="22"/>
          <w:szCs w:val="22"/>
          <w:u w:val="single"/>
        </w:rPr>
        <w:t>summary</w:t>
      </w:r>
      <w:r w:rsidRPr="008D5860">
        <w:rPr>
          <w:rFonts w:ascii="Segoe UI" w:hAnsi="Segoe UI" w:cs="Segoe UI"/>
          <w:sz w:val="22"/>
          <w:szCs w:val="22"/>
        </w:rPr>
        <w:t xml:space="preserve"> of the recommendations contained within the full report.        </w:t>
      </w: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i/>
          <w:sz w:val="22"/>
          <w:szCs w:val="22"/>
        </w:rPr>
      </w:pPr>
      <w:r w:rsidRPr="008D5860">
        <w:rPr>
          <w:rFonts w:ascii="Segoe UI" w:hAnsi="Segoe UI" w:cs="Segoe UI"/>
          <w:i/>
          <w:sz w:val="22"/>
          <w:szCs w:val="22"/>
          <w:u w:val="single"/>
        </w:rPr>
        <w:t>NOTE</w:t>
      </w:r>
      <w:r w:rsidRPr="008D5860">
        <w:rPr>
          <w:rFonts w:ascii="Segoe UI" w:hAnsi="Segoe UI" w:cs="Segoe UI"/>
          <w:i/>
          <w:sz w:val="22"/>
          <w:szCs w:val="22"/>
        </w:rPr>
        <w:t xml:space="preserve">:  Recommendations should clearly differentiate between those strategies that </w:t>
      </w:r>
      <w:r w:rsidRPr="008D5860">
        <w:rPr>
          <w:rFonts w:ascii="Segoe UI" w:hAnsi="Segoe UI" w:cs="Segoe UI"/>
          <w:i/>
          <w:sz w:val="22"/>
          <w:szCs w:val="22"/>
          <w:u w:val="single"/>
        </w:rPr>
        <w:t>build upon strengths</w:t>
      </w:r>
      <w:r w:rsidRPr="008D5860">
        <w:rPr>
          <w:rFonts w:ascii="Segoe UI" w:hAnsi="Segoe UI" w:cs="Segoe UI"/>
          <w:i/>
          <w:sz w:val="22"/>
          <w:szCs w:val="22"/>
        </w:rPr>
        <w:t xml:space="preserve"> versus those developed to </w:t>
      </w:r>
      <w:r w:rsidRPr="008D5860">
        <w:rPr>
          <w:rFonts w:ascii="Segoe UI" w:hAnsi="Segoe UI" w:cs="Segoe UI"/>
          <w:i/>
          <w:sz w:val="22"/>
          <w:szCs w:val="22"/>
          <w:u w:val="single"/>
        </w:rPr>
        <w:t>address any gaps</w:t>
      </w:r>
      <w:r w:rsidRPr="008D5860">
        <w:rPr>
          <w:rFonts w:ascii="Segoe UI" w:hAnsi="Segoe UI" w:cs="Segoe UI"/>
          <w:i/>
          <w:sz w:val="22"/>
          <w:szCs w:val="22"/>
        </w:rPr>
        <w:t xml:space="preserve"> that may exist</w:t>
      </w: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</w:p>
    <w:p w:rsidR="00EB5128" w:rsidRDefault="00EB5128" w:rsidP="009700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  <w:u w:val="single"/>
        </w:rPr>
        <w:t>Recommendations Building on Program Strengths</w:t>
      </w:r>
      <w:r w:rsidRPr="008D5860">
        <w:rPr>
          <w:rFonts w:ascii="Segoe UI" w:hAnsi="Segoe UI" w:cs="Segoe UI"/>
          <w:sz w:val="22"/>
          <w:szCs w:val="22"/>
        </w:rPr>
        <w:t>:</w:t>
      </w:r>
    </w:p>
    <w:p w:rsidR="009700B6" w:rsidRPr="008D5860" w:rsidRDefault="009700B6" w:rsidP="009700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</w:p>
    <w:p w:rsidR="00EB5128" w:rsidRPr="002C79C7" w:rsidRDefault="009700B6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rFonts w:ascii="Segoe UI" w:hAnsi="Segoe UI" w:cs="Segoe UI"/>
          <w:sz w:val="22"/>
          <w:szCs w:val="22"/>
        </w:rPr>
        <w:t>1</w:t>
      </w:r>
      <w:r w:rsidR="00EB5128" w:rsidRPr="008D5860">
        <w:rPr>
          <w:rFonts w:ascii="Segoe UI" w:hAnsi="Segoe UI" w:cs="Segoe UI"/>
          <w:sz w:val="22"/>
          <w:szCs w:val="22"/>
        </w:rPr>
        <w:t>)</w:t>
      </w:r>
      <w:r w:rsidR="005A0524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</w:t>
      </w:r>
      <w:r w:rsidR="005A0524">
        <w:rPr>
          <w:rFonts w:ascii="Segoe UI" w:eastAsiaTheme="minorEastAsia" w:hAnsi="Segoe UI" w:cs="Segoe UI"/>
          <w:sz w:val="22"/>
          <w:szCs w:val="22"/>
          <w:lang w:eastAsia="ko-KR"/>
        </w:rPr>
        <w:t>Improve Apparatus for</w:t>
      </w:r>
      <w:r w:rsidR="005A0524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Physics and mechanisms</w:t>
      </w:r>
      <w:r w:rsidR="005A0524">
        <w:rPr>
          <w:rFonts w:ascii="Segoe UI" w:eastAsiaTheme="minorEastAsia" w:hAnsi="Segoe UI" w:cs="Segoe UI"/>
          <w:sz w:val="22"/>
          <w:szCs w:val="22"/>
          <w:lang w:eastAsia="ko-KR"/>
        </w:rPr>
        <w:t xml:space="preserve"> teaching</w:t>
      </w:r>
    </w:p>
    <w:p w:rsidR="00EB5128" w:rsidRDefault="005A0524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</w:t>
      </w:r>
      <w:r w:rsidR="00EB5128" w:rsidRPr="008D5860">
        <w:rPr>
          <w:rFonts w:ascii="Segoe UI" w:hAnsi="Segoe UI" w:cs="Segoe UI"/>
          <w:sz w:val="22"/>
          <w:szCs w:val="22"/>
        </w:rPr>
        <w:t>)</w:t>
      </w:r>
      <w:r>
        <w:rPr>
          <w:rFonts w:ascii="Segoe UI" w:hAnsi="Segoe UI" w:cs="Segoe UI"/>
          <w:sz w:val="22"/>
          <w:szCs w:val="22"/>
        </w:rPr>
        <w:t xml:space="preserve"> Leverage our Applied learning labs so that students will learn Project Management in the context of  a small process improvement or product design project.</w:t>
      </w:r>
    </w:p>
    <w:p w:rsidR="005A0524" w:rsidRPr="002C79C7" w:rsidRDefault="005A0524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rFonts w:ascii="Segoe UI" w:hAnsi="Segoe UI" w:cs="Segoe UI"/>
          <w:sz w:val="22"/>
          <w:szCs w:val="22"/>
        </w:rPr>
        <w:t>3)investigate 3</w:t>
      </w:r>
      <w:r w:rsidRPr="005A0524">
        <w:rPr>
          <w:rFonts w:ascii="Segoe UI" w:hAnsi="Segoe UI" w:cs="Segoe UI"/>
          <w:sz w:val="22"/>
          <w:szCs w:val="22"/>
          <w:vertAlign w:val="superscript"/>
        </w:rPr>
        <w:t>rd</w:t>
      </w:r>
      <w:r>
        <w:rPr>
          <w:rFonts w:ascii="Segoe UI" w:hAnsi="Segoe UI" w:cs="Segoe UI"/>
          <w:sz w:val="22"/>
          <w:szCs w:val="22"/>
        </w:rPr>
        <w:t xml:space="preserve"> year Technologist or articulation with a University in order for students to obtain advanced standing.</w:t>
      </w: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  <w:u w:val="single"/>
        </w:rPr>
        <w:t>Recommendations Developed to Address Gaps Identified</w:t>
      </w:r>
      <w:r w:rsidRPr="008D5860">
        <w:rPr>
          <w:rFonts w:ascii="Segoe UI" w:hAnsi="Segoe UI" w:cs="Segoe UI"/>
          <w:sz w:val="22"/>
          <w:szCs w:val="22"/>
        </w:rPr>
        <w:t>:</w:t>
      </w: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</w:p>
    <w:p w:rsidR="00EB5128" w:rsidRPr="002C79C7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>1)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ab/>
      </w:r>
      <w:r w:rsidR="00FF4B84">
        <w:rPr>
          <w:rFonts w:ascii="Segoe UI" w:eastAsiaTheme="minorEastAsia" w:hAnsi="Segoe UI" w:cs="Segoe UI"/>
          <w:sz w:val="22"/>
          <w:szCs w:val="22"/>
          <w:lang w:eastAsia="ko-KR"/>
        </w:rPr>
        <w:t>David/Blane meet</w:t>
      </w:r>
      <w:r w:rsidR="005A0524">
        <w:rPr>
          <w:rFonts w:ascii="Segoe UI" w:eastAsiaTheme="minorEastAsia" w:hAnsi="Segoe UI" w:cs="Segoe UI"/>
          <w:sz w:val="22"/>
          <w:szCs w:val="22"/>
          <w:lang w:eastAsia="ko-KR"/>
        </w:rPr>
        <w:t xml:space="preserve"> with Math coordinator and faculty to fix Math 122, 123, 124 progression</w:t>
      </w:r>
      <w:r w:rsidR="00FF4B84">
        <w:rPr>
          <w:rFonts w:ascii="Segoe UI" w:eastAsiaTheme="minorEastAsia" w:hAnsi="Segoe UI" w:cs="Segoe UI"/>
          <w:sz w:val="22"/>
          <w:szCs w:val="22"/>
          <w:lang w:eastAsia="ko-KR"/>
        </w:rPr>
        <w:t xml:space="preserve"> and realign.</w:t>
      </w:r>
    </w:p>
    <w:p w:rsidR="00EB5128" w:rsidRPr="002C79C7" w:rsidRDefault="00EB5128" w:rsidP="005A05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>2)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ab/>
      </w:r>
      <w:r w:rsidR="005A0524">
        <w:rPr>
          <w:rFonts w:ascii="Segoe UI" w:eastAsiaTheme="minorEastAsia" w:hAnsi="Segoe UI" w:cs="Segoe UI"/>
          <w:sz w:val="22"/>
          <w:szCs w:val="22"/>
          <w:lang w:eastAsia="ko-KR"/>
        </w:rPr>
        <w:t>Reduce program hours with suggested curriculum changes to les</w:t>
      </w:r>
      <w:r w:rsidR="00FF4B84">
        <w:rPr>
          <w:rFonts w:ascii="Segoe UI" w:eastAsiaTheme="minorEastAsia" w:hAnsi="Segoe UI" w:cs="Segoe UI"/>
          <w:sz w:val="22"/>
          <w:szCs w:val="22"/>
          <w:lang w:eastAsia="ko-KR"/>
        </w:rPr>
        <w:t xml:space="preserve">s than 1400 hours and balance over all </w:t>
      </w:r>
      <w:r w:rsidR="005A0524">
        <w:rPr>
          <w:rFonts w:ascii="Segoe UI" w:eastAsiaTheme="minorEastAsia" w:hAnsi="Segoe UI" w:cs="Segoe UI"/>
          <w:sz w:val="22"/>
          <w:szCs w:val="22"/>
          <w:lang w:eastAsia="ko-KR"/>
        </w:rPr>
        <w:t xml:space="preserve">  semesters</w:t>
      </w:r>
      <w:r w:rsidR="00FF4B84">
        <w:rPr>
          <w:rFonts w:ascii="Segoe UI" w:eastAsiaTheme="minorEastAsia" w:hAnsi="Segoe UI" w:cs="Segoe UI"/>
          <w:sz w:val="22"/>
          <w:szCs w:val="22"/>
          <w:lang w:eastAsia="ko-KR"/>
        </w:rPr>
        <w:t>.  IMPLEMENT FOR FALL 2016.</w:t>
      </w:r>
      <w:bookmarkStart w:id="0" w:name="_GoBack"/>
      <w:bookmarkEnd w:id="0"/>
    </w:p>
    <w:p w:rsidR="00657364" w:rsidRDefault="00EB5128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>3)</w:t>
      </w:r>
      <w:r w:rsidR="00310167">
        <w:rPr>
          <w:rFonts w:ascii="Segoe UI" w:eastAsiaTheme="minorEastAsia" w:hAnsi="Segoe UI" w:cs="Segoe UI" w:hint="eastAsia"/>
          <w:sz w:val="22"/>
          <w:szCs w:val="22"/>
          <w:lang w:eastAsia="ko-KR"/>
        </w:rPr>
        <w:tab/>
      </w:r>
      <w:r w:rsidR="00657364">
        <w:rPr>
          <w:rFonts w:ascii="Segoe UI" w:eastAsiaTheme="minorEastAsia" w:hAnsi="Segoe UI" w:cs="Segoe UI"/>
          <w:sz w:val="22"/>
          <w:szCs w:val="22"/>
          <w:lang w:eastAsia="ko-KR"/>
        </w:rPr>
        <w:t xml:space="preserve">KPI Improvement Strategy: </w:t>
      </w:r>
    </w:p>
    <w:p w:rsidR="00657364" w:rsidRDefault="00657364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rFonts w:ascii="Segoe UI" w:eastAsiaTheme="minorEastAsia" w:hAnsi="Segoe UI" w:cs="Segoe UI"/>
          <w:sz w:val="22"/>
          <w:szCs w:val="22"/>
          <w:lang w:eastAsia="ko-KR"/>
        </w:rPr>
        <w:tab/>
      </w:r>
      <w:r w:rsidRPr="00657364">
        <w:rPr>
          <w:rFonts w:ascii="Segoe UI" w:eastAsiaTheme="minorEastAsia" w:hAnsi="Segoe UI" w:cs="Segoe UI"/>
          <w:sz w:val="22"/>
          <w:szCs w:val="22"/>
          <w:lang w:eastAsia="ko-KR"/>
        </w:rPr>
        <w:sym w:font="Wingdings" w:char="F0E0"/>
      </w:r>
      <w:r w:rsidR="005A0524">
        <w:rPr>
          <w:rFonts w:ascii="Segoe UI" w:eastAsiaTheme="minorEastAsia" w:hAnsi="Segoe UI" w:cs="Segoe UI"/>
          <w:sz w:val="22"/>
          <w:szCs w:val="22"/>
          <w:lang w:eastAsia="ko-KR"/>
        </w:rPr>
        <w:t xml:space="preserve">Replace main </w:t>
      </w:r>
      <w:r w:rsidR="00FF4B84">
        <w:rPr>
          <w:rFonts w:ascii="Segoe UI" w:eastAsiaTheme="minorEastAsia" w:hAnsi="Segoe UI" w:cs="Segoe UI"/>
          <w:sz w:val="22"/>
          <w:szCs w:val="22"/>
          <w:lang w:eastAsia="ko-KR"/>
        </w:rPr>
        <w:t xml:space="preserve">programmable </w:t>
      </w:r>
      <w:r w:rsidR="005A0524">
        <w:rPr>
          <w:rFonts w:ascii="Segoe UI" w:eastAsiaTheme="minorEastAsia" w:hAnsi="Segoe UI" w:cs="Segoe UI"/>
          <w:sz w:val="22"/>
          <w:szCs w:val="22"/>
          <w:lang w:eastAsia="ko-KR"/>
        </w:rPr>
        <w:t>control equipment (PLC with Siemens)</w:t>
      </w:r>
    </w:p>
    <w:p w:rsidR="009524D9" w:rsidRDefault="00657364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rFonts w:ascii="Segoe UI" w:eastAsiaTheme="minorEastAsia" w:hAnsi="Segoe UI" w:cs="Segoe UI"/>
          <w:sz w:val="22"/>
          <w:szCs w:val="22"/>
          <w:lang w:eastAsia="ko-KR"/>
        </w:rPr>
        <w:tab/>
      </w:r>
      <w:r w:rsidRPr="00657364">
        <w:rPr>
          <w:rFonts w:ascii="Segoe UI" w:eastAsiaTheme="minorEastAsia" w:hAnsi="Segoe UI" w:cs="Segoe UI"/>
          <w:sz w:val="22"/>
          <w:szCs w:val="22"/>
          <w:lang w:eastAsia="ko-KR"/>
        </w:rPr>
        <w:sym w:font="Wingdings" w:char="F0E0"/>
      </w:r>
      <w:r>
        <w:rPr>
          <w:rFonts w:ascii="Segoe UI" w:eastAsiaTheme="minorEastAsia" w:hAnsi="Segoe UI" w:cs="Segoe UI"/>
          <w:sz w:val="22"/>
          <w:szCs w:val="22"/>
          <w:lang w:eastAsia="ko-KR"/>
        </w:rPr>
        <w:t>Evaluate Section Size (Tech support required if more than 20 students</w:t>
      </w:r>
      <w:r w:rsidR="005A0524">
        <w:rPr>
          <w:rFonts w:ascii="Segoe UI" w:eastAsiaTheme="minorEastAsia" w:hAnsi="Segoe UI" w:cs="Segoe UI"/>
          <w:sz w:val="22"/>
          <w:szCs w:val="22"/>
          <w:lang w:eastAsia="ko-KR"/>
        </w:rPr>
        <w:t xml:space="preserve"> for courses identified as high need</w:t>
      </w:r>
      <w:r>
        <w:rPr>
          <w:rFonts w:ascii="Segoe UI" w:eastAsiaTheme="minorEastAsia" w:hAnsi="Segoe UI" w:cs="Segoe UI"/>
          <w:sz w:val="22"/>
          <w:szCs w:val="22"/>
          <w:lang w:eastAsia="ko-KR"/>
        </w:rPr>
        <w:t>)</w:t>
      </w:r>
    </w:p>
    <w:p w:rsidR="00270A74" w:rsidRPr="00310167" w:rsidRDefault="00270A74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9524D9" w:rsidRPr="002C79C7" w:rsidRDefault="00233A93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 xml:space="preserve">Program Review Panel </w:t>
      </w:r>
      <w:r w:rsidR="009524D9" w:rsidRPr="008D5860">
        <w:rPr>
          <w:rFonts w:ascii="Segoe UI" w:hAnsi="Segoe UI" w:cs="Segoe UI"/>
          <w:sz w:val="22"/>
          <w:szCs w:val="22"/>
        </w:rPr>
        <w:t>Meeting Date</w:t>
      </w:r>
      <w:r w:rsidR="005A0524">
        <w:rPr>
          <w:rFonts w:ascii="Segoe UI" w:hAnsi="Segoe UI" w:cs="Segoe UI"/>
          <w:sz w:val="22"/>
          <w:szCs w:val="22"/>
        </w:rPr>
        <w:t>s concurrent with EE review</w:t>
      </w:r>
      <w:r w:rsidR="009524D9" w:rsidRPr="008D5860">
        <w:rPr>
          <w:rFonts w:ascii="Segoe UI" w:hAnsi="Segoe UI" w:cs="Segoe UI"/>
          <w:sz w:val="22"/>
          <w:szCs w:val="22"/>
        </w:rPr>
        <w:t>: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 May 11, May 25, June 08, June 25, 2015</w:t>
      </w:r>
    </w:p>
    <w:p w:rsidR="005022EF" w:rsidRPr="008D5860" w:rsidRDefault="005022EF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</w:p>
    <w:p w:rsidR="009524D9" w:rsidRPr="002C79C7" w:rsidRDefault="009524D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>Program Review Panel Participants: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</w:t>
      </w:r>
    </w:p>
    <w:p w:rsidR="00C54829" w:rsidRPr="008D5860" w:rsidRDefault="00C5482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ab/>
      </w:r>
    </w:p>
    <w:p w:rsidR="005022EF" w:rsidRPr="002C79C7" w:rsidRDefault="00C5482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ab/>
        <w:t>Dean: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Maxine Mann</w:t>
      </w:r>
    </w:p>
    <w:p w:rsidR="00C54829" w:rsidRPr="002C79C7" w:rsidRDefault="00C5482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ab/>
        <w:t>Program Co-ordinator:</w:t>
      </w:r>
      <w:r w:rsidR="005A0524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</w:t>
      </w:r>
    </w:p>
    <w:p w:rsidR="00C54829" w:rsidRPr="002C79C7" w:rsidRDefault="00C5482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ab/>
        <w:t>Academic Lead:</w:t>
      </w:r>
      <w:r w:rsidR="005A0524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Blane Bell</w:t>
      </w:r>
    </w:p>
    <w:p w:rsidR="00C54829" w:rsidRPr="002C79C7" w:rsidRDefault="00C5482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ab/>
        <w:t>Curriculum Consultant: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</w:t>
      </w:r>
      <w:r w:rsidR="002C79C7" w:rsidRPr="002C79C7">
        <w:rPr>
          <w:rFonts w:ascii="Segoe UI" w:eastAsiaTheme="minorEastAsia" w:hAnsi="Segoe UI" w:cs="Segoe UI"/>
          <w:sz w:val="22"/>
          <w:szCs w:val="22"/>
          <w:lang w:eastAsia="ko-KR"/>
        </w:rPr>
        <w:t>Kari Draker-Fortis</w:t>
      </w:r>
    </w:p>
    <w:p w:rsidR="00C54829" w:rsidRPr="002C79C7" w:rsidRDefault="00C5482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ab/>
        <w:t>Program Faculty/Support (max</w:t>
      </w:r>
      <w:r w:rsidR="001759A2" w:rsidRPr="008D5860">
        <w:rPr>
          <w:rFonts w:ascii="Segoe UI" w:hAnsi="Segoe UI" w:cs="Segoe UI"/>
          <w:sz w:val="22"/>
          <w:szCs w:val="22"/>
        </w:rPr>
        <w:t>imum</w:t>
      </w:r>
      <w:r w:rsidRPr="008D5860">
        <w:rPr>
          <w:rFonts w:ascii="Segoe UI" w:hAnsi="Segoe UI" w:cs="Segoe UI"/>
          <w:sz w:val="22"/>
          <w:szCs w:val="22"/>
        </w:rPr>
        <w:t xml:space="preserve"> 4) :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David Choi, Spencer Craig, Xiang Li, Blane Bell, Hans Forster</w:t>
      </w:r>
    </w:p>
    <w:p w:rsidR="00EB5128" w:rsidRPr="002C79C7" w:rsidRDefault="001759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ab/>
        <w:t xml:space="preserve">External Members (minimum </w:t>
      </w:r>
      <w:r w:rsidR="00EE1E53">
        <w:rPr>
          <w:rFonts w:ascii="Segoe UI" w:hAnsi="Segoe UI" w:cs="Segoe UI"/>
          <w:sz w:val="22"/>
          <w:szCs w:val="22"/>
        </w:rPr>
        <w:t>3)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: </w:t>
      </w:r>
      <w:r w:rsidR="00704D16" w:rsidRPr="00704D16">
        <w:rPr>
          <w:rFonts w:ascii="Segoe UI" w:eastAsiaTheme="minorEastAsia" w:hAnsi="Segoe UI" w:cs="Segoe UI"/>
          <w:sz w:val="22"/>
          <w:szCs w:val="22"/>
          <w:lang w:eastAsia="ko-KR"/>
        </w:rPr>
        <w:t xml:space="preserve">Soobia Siddiqui </w:t>
      </w:r>
      <w:r w:rsidR="005A0524">
        <w:rPr>
          <w:rFonts w:ascii="Segoe UI" w:eastAsiaTheme="minorEastAsia" w:hAnsi="Segoe UI" w:cs="Segoe UI" w:hint="eastAsia"/>
          <w:sz w:val="22"/>
          <w:szCs w:val="22"/>
          <w:lang w:eastAsia="ko-KR"/>
        </w:rPr>
        <w:t>(Math),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Clive </w:t>
      </w:r>
      <w:r w:rsidR="00704D16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Russell 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>(Math)</w:t>
      </w:r>
      <w:r w:rsidR="005A0524">
        <w:rPr>
          <w:rFonts w:ascii="Segoe UI" w:eastAsiaTheme="minorEastAsia" w:hAnsi="Segoe UI" w:cs="Segoe UI"/>
          <w:sz w:val="22"/>
          <w:szCs w:val="22"/>
          <w:lang w:eastAsia="ko-KR"/>
        </w:rPr>
        <w:t>, Ghada Hussein</w:t>
      </w:r>
    </w:p>
    <w:sectPr w:rsidR="00EB5128" w:rsidRPr="002C79C7" w:rsidSect="008D5860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55" w:rsidRDefault="00C00B55" w:rsidP="00373D5B">
      <w:r>
        <w:separator/>
      </w:r>
    </w:p>
  </w:endnote>
  <w:endnote w:type="continuationSeparator" w:id="0">
    <w:p w:rsidR="00C00B55" w:rsidRDefault="00C00B55" w:rsidP="0037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05016"/>
      <w:docPartObj>
        <w:docPartGallery w:val="Page Numbers (Bottom of Page)"/>
        <w:docPartUnique/>
      </w:docPartObj>
    </w:sdtPr>
    <w:sdtEndPr/>
    <w:sdtContent>
      <w:p w:rsidR="00373D5B" w:rsidRDefault="00A04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D5B" w:rsidRDefault="00373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55" w:rsidRDefault="00C00B55" w:rsidP="00373D5B">
      <w:r>
        <w:separator/>
      </w:r>
    </w:p>
  </w:footnote>
  <w:footnote w:type="continuationSeparator" w:id="0">
    <w:p w:rsidR="00C00B55" w:rsidRDefault="00C00B55" w:rsidP="0037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149"/>
    <w:multiLevelType w:val="hybridMultilevel"/>
    <w:tmpl w:val="FF0C3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58AB"/>
    <w:multiLevelType w:val="hybridMultilevel"/>
    <w:tmpl w:val="E6B66F62"/>
    <w:lvl w:ilvl="0" w:tplc="4D60C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6190"/>
    <w:multiLevelType w:val="hybridMultilevel"/>
    <w:tmpl w:val="18C80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A0F16"/>
    <w:multiLevelType w:val="hybridMultilevel"/>
    <w:tmpl w:val="F3FE1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97C9B"/>
    <w:multiLevelType w:val="hybridMultilevel"/>
    <w:tmpl w:val="36F4A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764B2"/>
    <w:multiLevelType w:val="hybridMultilevel"/>
    <w:tmpl w:val="15966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B2F89"/>
    <w:multiLevelType w:val="hybridMultilevel"/>
    <w:tmpl w:val="A07677BC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2D0FA5"/>
    <w:multiLevelType w:val="hybridMultilevel"/>
    <w:tmpl w:val="C6C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13A8D"/>
    <w:multiLevelType w:val="hybridMultilevel"/>
    <w:tmpl w:val="EAB4B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49"/>
    <w:rsid w:val="000D2749"/>
    <w:rsid w:val="00146DCB"/>
    <w:rsid w:val="001759A2"/>
    <w:rsid w:val="001B43DE"/>
    <w:rsid w:val="001D4C2F"/>
    <w:rsid w:val="002205AA"/>
    <w:rsid w:val="00233A93"/>
    <w:rsid w:val="00243E58"/>
    <w:rsid w:val="00270A74"/>
    <w:rsid w:val="002818F2"/>
    <w:rsid w:val="002B3EE8"/>
    <w:rsid w:val="002C79C7"/>
    <w:rsid w:val="00310167"/>
    <w:rsid w:val="0031640B"/>
    <w:rsid w:val="00370B5B"/>
    <w:rsid w:val="00372474"/>
    <w:rsid w:val="00373D5B"/>
    <w:rsid w:val="004509EC"/>
    <w:rsid w:val="00494111"/>
    <w:rsid w:val="005022EF"/>
    <w:rsid w:val="00502B70"/>
    <w:rsid w:val="00513C50"/>
    <w:rsid w:val="005243B5"/>
    <w:rsid w:val="005A0524"/>
    <w:rsid w:val="005A7284"/>
    <w:rsid w:val="00636A87"/>
    <w:rsid w:val="00657364"/>
    <w:rsid w:val="00672353"/>
    <w:rsid w:val="00693CFE"/>
    <w:rsid w:val="006A058A"/>
    <w:rsid w:val="00704D16"/>
    <w:rsid w:val="00752182"/>
    <w:rsid w:val="007861A9"/>
    <w:rsid w:val="007A4706"/>
    <w:rsid w:val="008448C4"/>
    <w:rsid w:val="00882951"/>
    <w:rsid w:val="008D5860"/>
    <w:rsid w:val="008E0961"/>
    <w:rsid w:val="0091070F"/>
    <w:rsid w:val="00923D95"/>
    <w:rsid w:val="009524D9"/>
    <w:rsid w:val="009700B6"/>
    <w:rsid w:val="009F0F77"/>
    <w:rsid w:val="00A04BC6"/>
    <w:rsid w:val="00AB7127"/>
    <w:rsid w:val="00AF3D63"/>
    <w:rsid w:val="00C00B55"/>
    <w:rsid w:val="00C172B9"/>
    <w:rsid w:val="00C54829"/>
    <w:rsid w:val="00C84D56"/>
    <w:rsid w:val="00CB1285"/>
    <w:rsid w:val="00DB49ED"/>
    <w:rsid w:val="00DF00A7"/>
    <w:rsid w:val="00E35C66"/>
    <w:rsid w:val="00EB0302"/>
    <w:rsid w:val="00EB5128"/>
    <w:rsid w:val="00EE1E53"/>
    <w:rsid w:val="00F076E3"/>
    <w:rsid w:val="00F87C87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A8704-1710-4CB0-8DA9-3C13E4C7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4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5B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37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D5B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73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D5B"/>
    <w:rPr>
      <w:rFonts w:ascii="Arial" w:eastAsia="Times New Roman" w:hAnsi="Arial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lbell\AppData\Local\Microsoft\Windows\Temporary%20Internet%20Files\Content.IE5\0ATAQGIG\ProgramReviewPivotChartMay2015readonl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[ProgramReviewPivotChartMay2015readonly.xlsx]Sheet11!PivotTable7</c:name>
    <c:fmtId val="8"/>
  </c:pivotSource>
  <c:chart>
    <c:title>
      <c:tx>
        <c:rich>
          <a:bodyPr/>
          <a:lstStyle/>
          <a:p>
            <a:pPr>
              <a:defRPr/>
            </a:pPr>
            <a:r>
              <a:rPr lang="en-CA"/>
              <a:t>KPI9: Student Satisfaction with Teachers</a:t>
            </a:r>
          </a:p>
        </c:rich>
      </c:tx>
      <c:layout>
        <c:manualLayout>
          <c:xMode val="edge"/>
          <c:yMode val="edge"/>
          <c:x val="8.5122361974900695E-2"/>
          <c:y val="4.3021032504780114E-2"/>
        </c:manualLayout>
      </c:layout>
      <c:overlay val="0"/>
    </c:title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Sheet11!$B$1</c:f>
              <c:strCache>
                <c:ptCount val="1"/>
                <c:pt idx="0">
                  <c:v>Program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Sheet11!$A$2:$A$8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Instrumentation and Control Eng Techn</c:v>
                  </c:pt>
                </c:lvl>
              </c:multiLvlStrCache>
            </c:multiLvlStrRef>
          </c:cat>
          <c:val>
            <c:numRef>
              <c:f>Sheet11!$B$2:$B$8</c:f>
              <c:numCache>
                <c:formatCode>0</c:formatCode>
                <c:ptCount val="5"/>
                <c:pt idx="0">
                  <c:v>29.69</c:v>
                </c:pt>
                <c:pt idx="1">
                  <c:v>30.88</c:v>
                </c:pt>
                <c:pt idx="2">
                  <c:v>60.48</c:v>
                </c:pt>
                <c:pt idx="3">
                  <c:v>74.75</c:v>
                </c:pt>
                <c:pt idx="4">
                  <c:v>51.85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Sheet11!$C$1</c:f>
              <c:strCache>
                <c:ptCount val="1"/>
                <c:pt idx="0">
                  <c:v>MCU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Sheet11!$A$2:$A$8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Instrumentation and Control Eng Techn</c:v>
                  </c:pt>
                </c:lvl>
              </c:multiLvlStrCache>
            </c:multiLvlStrRef>
          </c:cat>
          <c:val>
            <c:numRef>
              <c:f>Sheet11!$C$2:$C$8</c:f>
              <c:numCache>
                <c:formatCode>0</c:formatCode>
                <c:ptCount val="5"/>
                <c:pt idx="0">
                  <c:v>71.28</c:v>
                </c:pt>
                <c:pt idx="1">
                  <c:v>72.77</c:v>
                </c:pt>
                <c:pt idx="2">
                  <c:v>72.86</c:v>
                </c:pt>
                <c:pt idx="3">
                  <c:v>74.44</c:v>
                </c:pt>
                <c:pt idx="4">
                  <c:v>70.09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Sheet11!$D$1</c:f>
              <c:strCache>
                <c:ptCount val="1"/>
                <c:pt idx="0">
                  <c:v>College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Sheet11!$A$2:$A$8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Instrumentation and Control Eng Techn</c:v>
                  </c:pt>
                </c:lvl>
              </c:multiLvlStrCache>
            </c:multiLvlStrRef>
          </c:cat>
          <c:val>
            <c:numRef>
              <c:f>Sheet11!$D$2:$D$8</c:f>
              <c:numCache>
                <c:formatCode>0</c:formatCode>
                <c:ptCount val="5"/>
                <c:pt idx="0">
                  <c:v>75.319999999999993</c:v>
                </c:pt>
                <c:pt idx="1">
                  <c:v>76.11</c:v>
                </c:pt>
                <c:pt idx="2">
                  <c:v>74.42</c:v>
                </c:pt>
                <c:pt idx="3">
                  <c:v>73.92</c:v>
                </c:pt>
                <c:pt idx="4">
                  <c:v>77.819999999999993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4410416"/>
        <c:axId val="574410808"/>
      </c:lineChart>
      <c:catAx>
        <c:axId val="57441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4410808"/>
        <c:crosses val="autoZero"/>
        <c:auto val="1"/>
        <c:lblAlgn val="ctr"/>
        <c:lblOffset val="100"/>
        <c:noMultiLvlLbl val="0"/>
      </c:catAx>
      <c:valAx>
        <c:axId val="574410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 sz="1000" b="1" i="0" baseline="0">
                    <a:effectLst/>
                  </a:rPr>
                  <a:t>% Satisfied</a:t>
                </a:r>
                <a:endParaRPr lang="en-CA" sz="1000">
                  <a:effectLst/>
                </a:endParaRP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5744104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[ProgramReviewPivotChartMay2015readonly.xlsx]Sheet10!PivotTable6</c:name>
    <c:fmtId val="6"/>
  </c:pivotSource>
  <c:chart>
    <c:title>
      <c:tx>
        <c:rich>
          <a:bodyPr/>
          <a:lstStyle/>
          <a:p>
            <a:pPr>
              <a:defRPr/>
            </a:pPr>
            <a:r>
              <a:rPr lang="en-CA"/>
              <a:t>KPI8: Student Satisfaction with Learning Experience</a:t>
            </a:r>
          </a:p>
        </c:rich>
      </c:tx>
      <c:layout>
        <c:manualLayout>
          <c:xMode val="edge"/>
          <c:yMode val="edge"/>
          <c:x val="2.9574645464885228E-3"/>
          <c:y val="0"/>
        </c:manualLayout>
      </c:layout>
      <c:overlay val="0"/>
    </c:title>
    <c:autoTitleDeleted val="0"/>
    <c:pivotFmts>
      <c:pivotFmt>
        <c:idx val="0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Sheet10!$B$1</c:f>
              <c:strCache>
                <c:ptCount val="1"/>
                <c:pt idx="0">
                  <c:v>Program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Sheet10!$A$2:$A$8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Instrumentation and Control Eng Techn</c:v>
                  </c:pt>
                </c:lvl>
              </c:multiLvlStrCache>
            </c:multiLvlStrRef>
          </c:cat>
          <c:val>
            <c:numRef>
              <c:f>Sheet10!$B$2:$B$8</c:f>
              <c:numCache>
                <c:formatCode>0</c:formatCode>
                <c:ptCount val="5"/>
                <c:pt idx="0">
                  <c:v>33.33</c:v>
                </c:pt>
                <c:pt idx="1">
                  <c:v>33.33</c:v>
                </c:pt>
                <c:pt idx="2">
                  <c:v>77.33</c:v>
                </c:pt>
                <c:pt idx="3">
                  <c:v>81.44</c:v>
                </c:pt>
                <c:pt idx="4">
                  <c:v>77.36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Sheet10!$C$1</c:f>
              <c:strCache>
                <c:ptCount val="1"/>
                <c:pt idx="0">
                  <c:v>MCU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Sheet10!$A$2:$A$8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Instrumentation and Control Eng Techn</c:v>
                  </c:pt>
                </c:lvl>
              </c:multiLvlStrCache>
            </c:multiLvlStrRef>
          </c:cat>
          <c:val>
            <c:numRef>
              <c:f>Sheet10!$C$2:$C$8</c:f>
              <c:numCache>
                <c:formatCode>0</c:formatCode>
                <c:ptCount val="5"/>
                <c:pt idx="0">
                  <c:v>75.09</c:v>
                </c:pt>
                <c:pt idx="1">
                  <c:v>72.98</c:v>
                </c:pt>
                <c:pt idx="2">
                  <c:v>78.62</c:v>
                </c:pt>
                <c:pt idx="3">
                  <c:v>78.69</c:v>
                </c:pt>
                <c:pt idx="4">
                  <c:v>81.52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Sheet10!$D$1</c:f>
              <c:strCache>
                <c:ptCount val="1"/>
                <c:pt idx="0">
                  <c:v>College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Sheet10!$A$2:$A$8</c:f>
              <c:multiLvlStrCache>
                <c:ptCount val="5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  <c:pt idx="4">
                    <c:v>2015</c:v>
                  </c:pt>
                </c:lvl>
                <c:lvl>
                  <c:pt idx="0">
                    <c:v>Instrumentation and Control Eng Techn</c:v>
                  </c:pt>
                </c:lvl>
              </c:multiLvlStrCache>
            </c:multiLvlStrRef>
          </c:cat>
          <c:val>
            <c:numRef>
              <c:f>Sheet10!$D$2:$D$8</c:f>
              <c:numCache>
                <c:formatCode>0</c:formatCode>
                <c:ptCount val="5"/>
                <c:pt idx="0">
                  <c:v>81.41</c:v>
                </c:pt>
                <c:pt idx="1">
                  <c:v>82.06</c:v>
                </c:pt>
                <c:pt idx="2">
                  <c:v>80.819999999999993</c:v>
                </c:pt>
                <c:pt idx="3">
                  <c:v>82.58</c:v>
                </c:pt>
                <c:pt idx="4">
                  <c:v>85.18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5177152"/>
        <c:axId val="575176760"/>
      </c:lineChart>
      <c:catAx>
        <c:axId val="57517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5176760"/>
        <c:crosses val="autoZero"/>
        <c:auto val="1"/>
        <c:lblAlgn val="ctr"/>
        <c:lblOffset val="100"/>
        <c:noMultiLvlLbl val="0"/>
      </c:catAx>
      <c:valAx>
        <c:axId val="575176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CA"/>
                  <a:t>% Satisfied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5751771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Custom 3">
      <a:dk1>
        <a:srgbClr val="1E4429"/>
      </a:dk1>
      <a:lt1>
        <a:srgbClr val="FFFFFF"/>
      </a:lt1>
      <a:dk2>
        <a:srgbClr val="62A39F"/>
      </a:dk2>
      <a:lt2>
        <a:srgbClr val="DFE3E5"/>
      </a:lt2>
      <a:accent1>
        <a:srgbClr val="A0C7C5"/>
      </a:accent1>
      <a:accent2>
        <a:srgbClr val="C0DAD8"/>
      </a:accent2>
      <a:accent3>
        <a:srgbClr val="DFECEB"/>
      </a:accent3>
      <a:accent4>
        <a:srgbClr val="7EC492"/>
      </a:accent4>
      <a:accent5>
        <a:srgbClr val="A9D7B6"/>
      </a:accent5>
      <a:accent6>
        <a:srgbClr val="D4EBDA"/>
      </a:accent6>
      <a:hlink>
        <a:srgbClr val="3E8853"/>
      </a:hlink>
      <a:folHlink>
        <a:srgbClr val="62A39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35D4E61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Blane Bell</cp:lastModifiedBy>
  <cp:revision>2</cp:revision>
  <dcterms:created xsi:type="dcterms:W3CDTF">2015-11-06T21:18:00Z</dcterms:created>
  <dcterms:modified xsi:type="dcterms:W3CDTF">2015-11-06T21:18:00Z</dcterms:modified>
</cp:coreProperties>
</file>