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am Review Self Study Template</w:t>
      </w:r>
    </w:p>
    <w:tbl>
      <w:tblPr>
        <w:tblW w:w="130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723"/>
        <w:gridCol w:w="3940"/>
        <w:gridCol w:w="2268"/>
        <w:gridCol w:w="4111"/>
      </w:tblGrid>
      <w:tr w:rsidR="000715B2" w:rsidRPr="00C54C7B" w:rsidTr="00791E89">
        <w:trPr>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 xml:space="preserve">Program Coordinator:  </w:t>
            </w:r>
          </w:p>
        </w:tc>
        <w:tc>
          <w:tcPr>
            <w:tcW w:w="3940" w:type="dxa"/>
            <w:shd w:val="clear" w:color="auto" w:fill="DBE5F1" w:themeFill="accent1" w:themeFillTint="33"/>
          </w:tcPr>
          <w:p w:rsidR="000715B2" w:rsidRDefault="000715B2" w:rsidP="000715B2">
            <w:pPr>
              <w:pStyle w:val="Header"/>
              <w:jc w:val="center"/>
              <w:rPr>
                <w:rFonts w:cs="Arial"/>
                <w:b/>
                <w:szCs w:val="22"/>
                <w:lang w:val="en-CA"/>
              </w:rPr>
            </w:pPr>
          </w:p>
          <w:p w:rsidR="009668DC" w:rsidRPr="00C54C7B" w:rsidRDefault="00161339" w:rsidP="000715B2">
            <w:pPr>
              <w:pStyle w:val="Header"/>
              <w:jc w:val="center"/>
              <w:rPr>
                <w:rFonts w:cs="Arial"/>
                <w:b/>
                <w:szCs w:val="22"/>
                <w:lang w:val="en-CA"/>
              </w:rPr>
            </w:pPr>
            <w:r>
              <w:rPr>
                <w:rFonts w:cs="Arial"/>
                <w:b/>
                <w:szCs w:val="22"/>
                <w:lang w:val="en-CA"/>
              </w:rPr>
              <w:t>Blane Bell</w:t>
            </w: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School:</w:t>
            </w:r>
          </w:p>
        </w:tc>
        <w:tc>
          <w:tcPr>
            <w:tcW w:w="4111" w:type="dxa"/>
            <w:shd w:val="clear" w:color="auto" w:fill="DBE5F1" w:themeFill="accent1" w:themeFillTint="33"/>
          </w:tcPr>
          <w:p w:rsidR="000715B2" w:rsidRPr="00C54C7B" w:rsidRDefault="00161339" w:rsidP="000715B2">
            <w:pPr>
              <w:pStyle w:val="Header"/>
              <w:jc w:val="center"/>
              <w:rPr>
                <w:rFonts w:cs="Arial"/>
                <w:b/>
                <w:szCs w:val="22"/>
                <w:lang w:val="en-CA"/>
              </w:rPr>
            </w:pPr>
            <w:r>
              <w:rPr>
                <w:rFonts w:cs="Arial"/>
                <w:b/>
                <w:szCs w:val="22"/>
                <w:lang w:val="en-CA"/>
              </w:rPr>
              <w:t>Skilled Trades and Technology</w:t>
            </w:r>
          </w:p>
        </w:tc>
      </w:tr>
      <w:tr w:rsidR="000715B2" w:rsidRPr="00C54C7B" w:rsidTr="00791E89">
        <w:trPr>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Pr>
                <w:rFonts w:cs="Arial"/>
                <w:b/>
                <w:szCs w:val="22"/>
                <w:lang w:val="en-CA"/>
              </w:rPr>
              <w:t>Program Code:</w:t>
            </w:r>
          </w:p>
        </w:tc>
        <w:tc>
          <w:tcPr>
            <w:tcW w:w="3940" w:type="dxa"/>
            <w:shd w:val="clear" w:color="auto" w:fill="DBE5F1" w:themeFill="accent1" w:themeFillTint="33"/>
          </w:tcPr>
          <w:p w:rsidR="000715B2" w:rsidRDefault="00161339" w:rsidP="000715B2">
            <w:pPr>
              <w:pStyle w:val="Header"/>
              <w:jc w:val="center"/>
              <w:rPr>
                <w:rFonts w:cs="Arial"/>
                <w:b/>
                <w:szCs w:val="22"/>
                <w:lang w:val="en-CA"/>
              </w:rPr>
            </w:pPr>
            <w:r>
              <w:rPr>
                <w:rFonts w:cs="Arial"/>
                <w:b/>
                <w:szCs w:val="22"/>
                <w:lang w:val="en-CA"/>
              </w:rPr>
              <w:t>INT (MTCU Code 51011)</w:t>
            </w:r>
          </w:p>
          <w:p w:rsidR="009668DC" w:rsidRPr="00C54C7B" w:rsidRDefault="009668DC" w:rsidP="000715B2">
            <w:pPr>
              <w:pStyle w:val="Header"/>
              <w:jc w:val="center"/>
              <w:rPr>
                <w:rFonts w:cs="Arial"/>
                <w:b/>
                <w:szCs w:val="22"/>
                <w:lang w:val="en-CA"/>
              </w:rPr>
            </w:pP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Date Completed:</w:t>
            </w:r>
          </w:p>
        </w:tc>
        <w:tc>
          <w:tcPr>
            <w:tcW w:w="4111" w:type="dxa"/>
            <w:shd w:val="clear" w:color="auto" w:fill="DBE5F1" w:themeFill="accent1" w:themeFillTint="33"/>
          </w:tcPr>
          <w:p w:rsidR="000715B2" w:rsidRPr="00C54C7B" w:rsidRDefault="00161339" w:rsidP="000715B2">
            <w:pPr>
              <w:pStyle w:val="Header"/>
              <w:jc w:val="center"/>
              <w:rPr>
                <w:rFonts w:cs="Arial"/>
                <w:b/>
                <w:szCs w:val="22"/>
                <w:lang w:val="en-CA"/>
              </w:rPr>
            </w:pPr>
            <w:r>
              <w:rPr>
                <w:rFonts w:cs="Arial"/>
                <w:b/>
                <w:szCs w:val="22"/>
                <w:lang w:val="en-CA"/>
              </w:rPr>
              <w:t>TBD</w:t>
            </w:r>
          </w:p>
        </w:tc>
      </w:tr>
      <w:tr w:rsidR="000715B2" w:rsidRPr="00C54C7B" w:rsidTr="00791E89">
        <w:trPr>
          <w:tblHeader/>
        </w:trPr>
        <w:tc>
          <w:tcPr>
            <w:tcW w:w="2723" w:type="dxa"/>
            <w:shd w:val="clear" w:color="auto" w:fill="DBE5F1" w:themeFill="accent1" w:themeFillTint="33"/>
          </w:tcPr>
          <w:p w:rsidR="000715B2" w:rsidRDefault="000715B2" w:rsidP="000715B2">
            <w:pPr>
              <w:pStyle w:val="Header"/>
              <w:jc w:val="right"/>
              <w:rPr>
                <w:rFonts w:cs="Arial"/>
                <w:b/>
                <w:szCs w:val="22"/>
                <w:lang w:val="en-CA"/>
              </w:rPr>
            </w:pPr>
            <w:r w:rsidRPr="00C54C7B">
              <w:rPr>
                <w:rFonts w:cs="Arial"/>
                <w:b/>
                <w:szCs w:val="22"/>
                <w:lang w:val="en-CA"/>
              </w:rPr>
              <w:t xml:space="preserve">Program Name:  </w:t>
            </w:r>
          </w:p>
        </w:tc>
        <w:tc>
          <w:tcPr>
            <w:tcW w:w="10319" w:type="dxa"/>
            <w:gridSpan w:val="3"/>
            <w:shd w:val="clear" w:color="auto" w:fill="DBE5F1" w:themeFill="accent1" w:themeFillTint="33"/>
          </w:tcPr>
          <w:p w:rsidR="000715B2" w:rsidRDefault="000715B2" w:rsidP="000715B2">
            <w:pPr>
              <w:pStyle w:val="Header"/>
              <w:jc w:val="center"/>
              <w:rPr>
                <w:rFonts w:cs="Arial"/>
                <w:b/>
                <w:szCs w:val="22"/>
                <w:lang w:val="en-CA"/>
              </w:rPr>
            </w:pPr>
          </w:p>
          <w:p w:rsidR="009668DC" w:rsidRPr="00C54C7B" w:rsidRDefault="00161339" w:rsidP="000715B2">
            <w:pPr>
              <w:pStyle w:val="Header"/>
              <w:jc w:val="center"/>
              <w:rPr>
                <w:rFonts w:cs="Arial"/>
                <w:b/>
                <w:szCs w:val="22"/>
                <w:lang w:val="en-CA"/>
              </w:rPr>
            </w:pPr>
            <w:r>
              <w:rPr>
                <w:rFonts w:cs="Arial"/>
                <w:b/>
                <w:szCs w:val="22"/>
                <w:lang w:val="en-CA"/>
              </w:rPr>
              <w:t>Instrumentation and Control Engineering Technician</w:t>
            </w:r>
          </w:p>
        </w:tc>
      </w:tr>
    </w:tbl>
    <w:p w:rsidR="00791E89" w:rsidRDefault="00791E89"/>
    <w:tbl>
      <w:tblPr>
        <w:tblW w:w="13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6379"/>
        <w:gridCol w:w="60"/>
      </w:tblGrid>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6379" w:type="dxa"/>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rPr>
                <w:rFonts w:cs="Arial"/>
                <w:b/>
                <w:bCs/>
                <w:sz w:val="20"/>
              </w:rPr>
            </w:pPr>
            <w:r w:rsidRPr="00356C80">
              <w:rPr>
                <w:rFonts w:cs="Arial"/>
                <w:b/>
                <w:bCs/>
                <w:sz w:val="20"/>
              </w:rPr>
              <w:t xml:space="preserve">1.1 </w:t>
            </w:r>
            <w:proofErr w:type="spellStart"/>
            <w:r w:rsidRPr="00356C80">
              <w:rPr>
                <w:rFonts w:cs="Arial"/>
                <w:b/>
                <w:bCs/>
                <w:sz w:val="20"/>
              </w:rPr>
              <w:t>Sectoral</w:t>
            </w:r>
            <w:proofErr w:type="spellEnd"/>
            <w:r w:rsidRPr="00356C80">
              <w:rPr>
                <w:rFonts w:cs="Arial"/>
                <w:b/>
                <w:bCs/>
                <w:sz w:val="20"/>
              </w:rPr>
              <w:t xml:space="preserve">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Recent labour market data or sector reports</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Program alignment to labour market and </w:t>
            </w:r>
            <w:proofErr w:type="spellStart"/>
            <w:r w:rsidRPr="00356C80">
              <w:rPr>
                <w:rFonts w:cs="Arial"/>
                <w:sz w:val="20"/>
              </w:rPr>
              <w:t>sectoral</w:t>
            </w:r>
            <w:proofErr w:type="spellEnd"/>
            <w:r w:rsidRPr="00356C80">
              <w:rPr>
                <w:rFonts w:cs="Arial"/>
                <w:sz w:val="20"/>
              </w:rPr>
              <w:t xml:space="preserve"> trends</w:t>
            </w:r>
          </w:p>
          <w:p w:rsidR="00D07044" w:rsidRDefault="00D07044" w:rsidP="00D07044">
            <w:pPr>
              <w:pStyle w:val="ListParagraph"/>
              <w:rPr>
                <w:rFonts w:cs="Arial"/>
                <w:sz w:val="20"/>
              </w:rPr>
            </w:pPr>
          </w:p>
          <w:p w:rsidR="00EA4DDF" w:rsidRPr="00356C80" w:rsidRDefault="00EA4DDF" w:rsidP="00EA4DDF">
            <w:pPr>
              <w:numPr>
                <w:ilvl w:val="0"/>
                <w:numId w:val="6"/>
              </w:numPr>
              <w:tabs>
                <w:tab w:val="clear" w:pos="720"/>
                <w:tab w:val="num" w:pos="360"/>
              </w:tabs>
              <w:ind w:left="360"/>
              <w:rPr>
                <w:rFonts w:cs="Arial"/>
                <w:sz w:val="20"/>
              </w:rPr>
            </w:pPr>
            <w:r w:rsidRPr="00356C80">
              <w:rPr>
                <w:rFonts w:cs="Arial"/>
                <w:sz w:val="20"/>
              </w:rPr>
              <w:t>Trends identified by the Program Advisory Committee</w:t>
            </w:r>
          </w:p>
          <w:p w:rsidR="00EA4DDF" w:rsidRPr="00356C80" w:rsidRDefault="00EA4DDF" w:rsidP="00AB5A30">
            <w:pPr>
              <w:rPr>
                <w:rFonts w:cs="Arial"/>
                <w:szCs w:val="22"/>
              </w:rPr>
            </w:pPr>
          </w:p>
        </w:tc>
        <w:tc>
          <w:tcPr>
            <w:tcW w:w="6379" w:type="dxa"/>
            <w:tcMar>
              <w:top w:w="113" w:type="dxa"/>
              <w:bottom w:w="113" w:type="dxa"/>
            </w:tcMar>
          </w:tcPr>
          <w:p w:rsidR="00EA4DDF" w:rsidRPr="00356C80" w:rsidRDefault="00EA4DDF" w:rsidP="00AB5A30">
            <w:pPr>
              <w:rPr>
                <w:rFonts w:cs="Arial"/>
                <w:szCs w:val="22"/>
              </w:rPr>
            </w:pPr>
          </w:p>
          <w:p w:rsidR="00EA4DDF" w:rsidRDefault="00AF4C4D" w:rsidP="00AB5A30">
            <w:pPr>
              <w:rPr>
                <w:rFonts w:cs="Arial"/>
                <w:szCs w:val="22"/>
              </w:rPr>
            </w:pPr>
            <w:r>
              <w:rPr>
                <w:rFonts w:cs="Arial"/>
                <w:szCs w:val="22"/>
              </w:rPr>
              <w:t xml:space="preserve">Refer to Library Research: </w:t>
            </w:r>
            <w:hyperlink r:id="rId7" w:history="1">
              <w:r w:rsidRPr="00AF4C4D">
                <w:rPr>
                  <w:rStyle w:val="Hyperlink"/>
                  <w:rFonts w:cs="Arial"/>
                  <w:szCs w:val="22"/>
                </w:rPr>
                <w:t>Labour Market Information 2014</w:t>
              </w:r>
            </w:hyperlink>
          </w:p>
          <w:p w:rsidR="00CF276C" w:rsidRDefault="00CF276C" w:rsidP="00AB5A30">
            <w:pPr>
              <w:rPr>
                <w:rFonts w:cs="Arial"/>
                <w:szCs w:val="22"/>
              </w:rPr>
            </w:pPr>
            <w:r>
              <w:rPr>
                <w:rFonts w:cs="Arial"/>
                <w:szCs w:val="22"/>
              </w:rPr>
              <w:t xml:space="preserve">and </w:t>
            </w:r>
            <w:hyperlink r:id="rId8" w:history="1">
              <w:r w:rsidRPr="00CF276C">
                <w:rPr>
                  <w:rStyle w:val="Hyperlink"/>
                  <w:rFonts w:cs="Arial"/>
                  <w:szCs w:val="22"/>
                </w:rPr>
                <w:t>INT Industry Research 2015</w:t>
              </w:r>
            </w:hyperlink>
          </w:p>
          <w:p w:rsidR="00CF276C" w:rsidRDefault="00CF276C" w:rsidP="00AB5A30">
            <w:pPr>
              <w:rPr>
                <w:rFonts w:cs="Arial"/>
                <w:szCs w:val="22"/>
              </w:rPr>
            </w:pPr>
          </w:p>
          <w:p w:rsidR="00CF276C" w:rsidRDefault="00CF276C" w:rsidP="00AB5A30">
            <w:pPr>
              <w:rPr>
                <w:rFonts w:cs="Arial"/>
                <w:szCs w:val="22"/>
              </w:rPr>
            </w:pPr>
            <w:r>
              <w:rPr>
                <w:rFonts w:cs="Arial"/>
                <w:szCs w:val="22"/>
              </w:rPr>
              <w:t>PAC meeting scheduled for June 25</w:t>
            </w:r>
            <w:r w:rsidRPr="00CF276C">
              <w:rPr>
                <w:rFonts w:cs="Arial"/>
                <w:szCs w:val="22"/>
                <w:vertAlign w:val="superscript"/>
              </w:rPr>
              <w:t>th</w:t>
            </w:r>
            <w:r>
              <w:rPr>
                <w:rFonts w:cs="Arial"/>
                <w:szCs w:val="22"/>
              </w:rPr>
              <w:t>, 2015</w:t>
            </w:r>
          </w:p>
          <w:p w:rsidR="00AF4C4D" w:rsidRDefault="00AF4C4D" w:rsidP="00AB5A30">
            <w:pPr>
              <w:rPr>
                <w:rFonts w:cs="Arial"/>
                <w:szCs w:val="22"/>
              </w:rPr>
            </w:pPr>
          </w:p>
          <w:p w:rsidR="00AF4C4D" w:rsidRPr="00356C80" w:rsidRDefault="00AF4C4D" w:rsidP="00AB5A30">
            <w:pPr>
              <w:rPr>
                <w:rFonts w:cs="Arial"/>
                <w:szCs w:val="22"/>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t>1.2 Industry Liaison</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8667D6" w:rsidRDefault="00EA4DDF" w:rsidP="00AB5A30">
            <w:pPr>
              <w:numPr>
                <w:ilvl w:val="0"/>
                <w:numId w:val="7"/>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w:t>
            </w:r>
            <w:r w:rsidRPr="008667D6">
              <w:rPr>
                <w:rFonts w:cs="Arial"/>
                <w:sz w:val="20"/>
              </w:rPr>
              <w:lastRenderedPageBreak/>
              <w:t>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6379" w:type="dxa"/>
            <w:tcMar>
              <w:top w:w="113" w:type="dxa"/>
              <w:bottom w:w="113" w:type="dxa"/>
            </w:tcMar>
          </w:tcPr>
          <w:p w:rsidR="00EA4DDF" w:rsidRPr="00356C80" w:rsidRDefault="00EA4DDF" w:rsidP="00AB5A30">
            <w:pPr>
              <w:rPr>
                <w:rFonts w:cs="Arial"/>
                <w:szCs w:val="22"/>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2.0 Curriculum Development and Framework</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2116CE">
            <w:pPr>
              <w:numPr>
                <w:ilvl w:val="0"/>
                <w:numId w:val="7"/>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6379" w:type="dxa"/>
            <w:tcMar>
              <w:top w:w="113" w:type="dxa"/>
              <w:bottom w:w="113" w:type="dxa"/>
            </w:tcMar>
          </w:tcPr>
          <w:p w:rsidR="005F495B" w:rsidRDefault="00CF276C" w:rsidP="00AB5A30">
            <w:pPr>
              <w:rPr>
                <w:rFonts w:cs="Arial"/>
                <w:szCs w:val="22"/>
              </w:rPr>
            </w:pPr>
            <w:r>
              <w:rPr>
                <w:rFonts w:cs="Arial"/>
                <w:szCs w:val="22"/>
              </w:rPr>
              <w:t xml:space="preserve">Previous Curriculum Renewal Initiatives: </w:t>
            </w:r>
            <w:hyperlink r:id="rId9" w:history="1">
              <w:r w:rsidRPr="005F495B">
                <w:rPr>
                  <w:rStyle w:val="Hyperlink"/>
                  <w:rFonts w:cs="Arial"/>
                  <w:szCs w:val="22"/>
                </w:rPr>
                <w:t xml:space="preserve">Refer to </w:t>
              </w:r>
              <w:r w:rsidR="005F495B" w:rsidRPr="005F495B">
                <w:rPr>
                  <w:rStyle w:val="Hyperlink"/>
                  <w:rFonts w:cs="Arial"/>
                  <w:szCs w:val="22"/>
                </w:rPr>
                <w:t>2013 CBD planning document</w:t>
              </w:r>
            </w:hyperlink>
            <w:r w:rsidR="005F495B">
              <w:rPr>
                <w:rFonts w:cs="Arial"/>
                <w:szCs w:val="22"/>
              </w:rPr>
              <w:t xml:space="preserve"> </w:t>
            </w:r>
          </w:p>
          <w:p w:rsidR="005F495B" w:rsidRDefault="005F495B" w:rsidP="00AB5A30">
            <w:pPr>
              <w:rPr>
                <w:rFonts w:cs="Arial"/>
                <w:szCs w:val="22"/>
              </w:rPr>
            </w:pPr>
          </w:p>
          <w:p w:rsidR="00EA4DDF" w:rsidRPr="00356C80" w:rsidRDefault="005F495B" w:rsidP="005F495B">
            <w:pPr>
              <w:rPr>
                <w:rFonts w:cs="Arial"/>
                <w:szCs w:val="22"/>
              </w:rPr>
            </w:pPr>
            <w:r w:rsidRPr="005F495B">
              <w:rPr>
                <w:rFonts w:cs="Arial"/>
                <w:szCs w:val="22"/>
                <w:highlight w:val="yellow"/>
              </w:rPr>
              <w:t>Blane to copy previous curriculum renewal documents into CLT shared folder?</w:t>
            </w:r>
            <w:r>
              <w:rPr>
                <w:rFonts w:cs="Arial"/>
                <w:szCs w:val="22"/>
              </w:rPr>
              <w:t xml:space="preserve"> </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2.2 Outcomes from Curriculum Renewal</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7"/>
              </w:numPr>
              <w:tabs>
                <w:tab w:val="clear" w:pos="900"/>
              </w:tabs>
              <w:ind w:left="360"/>
              <w:rPr>
                <w:rFonts w:cs="Arial"/>
                <w:sz w:val="20"/>
              </w:rPr>
            </w:pPr>
            <w:r w:rsidRPr="00356C80">
              <w:rPr>
                <w:rFonts w:cs="Arial"/>
                <w:sz w:val="20"/>
              </w:rPr>
              <w:t>Key outcomes from the Curriculum Renewal processes of the past few years</w:t>
            </w: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Progress to date in implementing the recommendations arising from 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6379" w:type="dxa"/>
            <w:tcMar>
              <w:top w:w="113" w:type="dxa"/>
              <w:bottom w:w="113" w:type="dxa"/>
            </w:tcMar>
          </w:tcPr>
          <w:p w:rsidR="00EA4DDF" w:rsidRDefault="00EA4DDF" w:rsidP="00AB5A30">
            <w:pPr>
              <w:rPr>
                <w:rFonts w:cs="Arial"/>
                <w:szCs w:val="22"/>
              </w:rPr>
            </w:pPr>
          </w:p>
          <w:p w:rsidR="003E16C6" w:rsidRDefault="003E16C6" w:rsidP="003E16C6">
            <w:pPr>
              <w:rPr>
                <w:rFonts w:cs="Arial"/>
                <w:szCs w:val="22"/>
              </w:rPr>
            </w:pPr>
            <w:r>
              <w:rPr>
                <w:rFonts w:cs="Arial"/>
                <w:szCs w:val="22"/>
              </w:rPr>
              <w:t>Recap of curriculum changes over past 5 years:</w:t>
            </w:r>
          </w:p>
          <w:p w:rsidR="003E16C6" w:rsidRDefault="003E16C6" w:rsidP="003E16C6">
            <w:pPr>
              <w:rPr>
                <w:rFonts w:cs="Arial"/>
                <w:szCs w:val="22"/>
              </w:rPr>
            </w:pPr>
          </w:p>
          <w:p w:rsidR="003E16C6" w:rsidRDefault="003E16C6" w:rsidP="003E16C6">
            <w:pPr>
              <w:pStyle w:val="ListParagraph"/>
              <w:numPr>
                <w:ilvl w:val="0"/>
                <w:numId w:val="32"/>
              </w:numPr>
              <w:rPr>
                <w:rFonts w:cs="Arial"/>
                <w:szCs w:val="22"/>
              </w:rPr>
            </w:pPr>
            <w:r>
              <w:rPr>
                <w:rFonts w:cs="Arial"/>
                <w:szCs w:val="22"/>
              </w:rPr>
              <w:t>ORGB16 “Strategies for Workplace Success” created to address need of group; consolidated “Teams” and Career Essentials” ORGB courses</w:t>
            </w:r>
          </w:p>
          <w:p w:rsidR="003E16C6" w:rsidRDefault="003E16C6" w:rsidP="003E16C6">
            <w:pPr>
              <w:pStyle w:val="ListParagraph"/>
              <w:numPr>
                <w:ilvl w:val="0"/>
                <w:numId w:val="32"/>
              </w:numPr>
              <w:rPr>
                <w:rFonts w:cs="Arial"/>
                <w:szCs w:val="22"/>
              </w:rPr>
            </w:pPr>
            <w:r>
              <w:rPr>
                <w:rFonts w:cs="Arial"/>
                <w:szCs w:val="22"/>
              </w:rPr>
              <w:t xml:space="preserve">MATH18 and MATH37 now replaced with MATH122, MATH123, and MATH124 </w:t>
            </w:r>
          </w:p>
          <w:p w:rsidR="003E16C6" w:rsidRPr="00CD6CA3" w:rsidRDefault="003E16C6" w:rsidP="003E16C6">
            <w:pPr>
              <w:pStyle w:val="ListParagraph"/>
              <w:numPr>
                <w:ilvl w:val="0"/>
                <w:numId w:val="32"/>
              </w:numPr>
              <w:rPr>
                <w:rFonts w:cs="Arial"/>
                <w:szCs w:val="22"/>
              </w:rPr>
            </w:pPr>
            <w:r w:rsidRPr="00CD6CA3">
              <w:rPr>
                <w:rFonts w:cs="Arial"/>
                <w:szCs w:val="22"/>
              </w:rPr>
              <w:t xml:space="preserve">Brought in Measurements </w:t>
            </w:r>
            <w:r>
              <w:rPr>
                <w:rFonts w:cs="Arial"/>
                <w:szCs w:val="22"/>
              </w:rPr>
              <w:t xml:space="preserve">several years ago </w:t>
            </w:r>
          </w:p>
          <w:p w:rsidR="003E16C6" w:rsidRPr="00356C80" w:rsidRDefault="003E16C6" w:rsidP="00AB5A30">
            <w:pPr>
              <w:rPr>
                <w:rFonts w:cs="Arial"/>
                <w:szCs w:val="22"/>
              </w:rPr>
            </w:pPr>
          </w:p>
        </w:tc>
      </w:tr>
      <w:tr w:rsidR="00EA4DDF" w:rsidRPr="00356C80" w:rsidTr="00791E89">
        <w:trPr>
          <w:trHeight w:val="1602"/>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2.3 Curriculum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program’s current admission requirements and their suitability in relation to program </w:t>
            </w:r>
            <w:proofErr w:type="spellStart"/>
            <w:r w:rsidRPr="00356C80">
              <w:rPr>
                <w:rFonts w:cs="Arial"/>
                <w:sz w:val="20"/>
              </w:rPr>
              <w:t>rigour</w:t>
            </w:r>
            <w:proofErr w:type="spellEnd"/>
            <w:r w:rsidRPr="00356C80">
              <w:rPr>
                <w:rFonts w:cs="Arial"/>
                <w:sz w:val="20"/>
              </w:rPr>
              <w:t xml:space="preserve">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6F46E4">
            <w:pPr>
              <w:pStyle w:val="Title"/>
              <w:numPr>
                <w:ilvl w:val="0"/>
                <w:numId w:val="8"/>
              </w:numPr>
              <w:tabs>
                <w:tab w:val="clear" w:pos="720"/>
                <w:tab w:val="num" w:pos="360"/>
              </w:tabs>
              <w:ind w:left="360"/>
              <w:jc w:val="left"/>
              <w:rPr>
                <w:rFonts w:ascii="Arial" w:hAnsi="Arial" w:cs="Arial"/>
                <w:b/>
                <w:sz w:val="20"/>
              </w:rPr>
            </w:pPr>
            <w:r w:rsidRPr="006F46E4">
              <w:rPr>
                <w:rFonts w:ascii="Arial" w:hAnsi="Arial" w:cs="Arial"/>
                <w:sz w:val="20"/>
              </w:rPr>
              <w:lastRenderedPageBreak/>
              <w:t>The extent to which course content, levels of learning, and assessment methodology are successfully sequenced and aligned between courses and across semesters</w:t>
            </w:r>
          </w:p>
        </w:tc>
        <w:tc>
          <w:tcPr>
            <w:tcW w:w="6439" w:type="dxa"/>
            <w:gridSpan w:val="2"/>
            <w:tcMar>
              <w:top w:w="113" w:type="dxa"/>
              <w:bottom w:w="113" w:type="dxa"/>
            </w:tcMar>
          </w:tcPr>
          <w:p w:rsidR="00EA4DDF" w:rsidRDefault="005F495B" w:rsidP="00AB5A30">
            <w:pPr>
              <w:rPr>
                <w:rFonts w:cs="Arial"/>
                <w:sz w:val="20"/>
              </w:rPr>
            </w:pPr>
            <w:r>
              <w:rPr>
                <w:rFonts w:cs="Arial"/>
                <w:sz w:val="20"/>
              </w:rPr>
              <w:lastRenderedPageBreak/>
              <w:t xml:space="preserve">Refer to </w:t>
            </w:r>
            <w:hyperlink r:id="rId10" w:history="1">
              <w:r w:rsidRPr="005F495B">
                <w:rPr>
                  <w:rStyle w:val="Hyperlink"/>
                  <w:rFonts w:cs="Arial"/>
                  <w:sz w:val="20"/>
                </w:rPr>
                <w:t>Credentials Framework</w:t>
              </w:r>
            </w:hyperlink>
            <w:r>
              <w:rPr>
                <w:rFonts w:cs="Arial"/>
                <w:sz w:val="20"/>
              </w:rPr>
              <w:t xml:space="preserve"> and </w:t>
            </w:r>
            <w:hyperlink r:id="rId11" w:history="1">
              <w:r w:rsidRPr="005F495B">
                <w:rPr>
                  <w:rStyle w:val="Hyperlink"/>
                  <w:rFonts w:cs="Arial"/>
                  <w:sz w:val="20"/>
                </w:rPr>
                <w:t>INT Program Standards (2012)</w:t>
              </w:r>
            </w:hyperlink>
            <w:r>
              <w:rPr>
                <w:rFonts w:cs="Arial"/>
                <w:sz w:val="20"/>
              </w:rPr>
              <w:t xml:space="preserve"> </w:t>
            </w:r>
          </w:p>
          <w:p w:rsidR="005F495B" w:rsidRDefault="005F495B" w:rsidP="00AB5A30">
            <w:pPr>
              <w:rPr>
                <w:rFonts w:cs="Arial"/>
                <w:sz w:val="20"/>
              </w:rPr>
            </w:pPr>
          </w:p>
          <w:p w:rsidR="005F495B" w:rsidRPr="00356C80" w:rsidRDefault="003E16C6" w:rsidP="003E16C6">
            <w:pPr>
              <w:rPr>
                <w:rFonts w:cs="Arial"/>
                <w:sz w:val="20"/>
              </w:rPr>
            </w:pPr>
            <w:r>
              <w:rPr>
                <w:rFonts w:cs="Arial"/>
                <w:sz w:val="20"/>
              </w:rPr>
              <w:t xml:space="preserve">Refer to current program description to review  </w:t>
            </w:r>
            <w:hyperlink r:id="rId12" w:history="1">
              <w:r w:rsidR="005F495B" w:rsidRPr="003E16C6">
                <w:rPr>
                  <w:rStyle w:val="Hyperlink"/>
                  <w:rFonts w:cs="Arial"/>
                  <w:sz w:val="20"/>
                </w:rPr>
                <w:t>Current Admission Requirements</w:t>
              </w:r>
            </w:hyperlink>
          </w:p>
        </w:tc>
      </w:tr>
      <w:tr w:rsidR="00EA4DDF" w:rsidRPr="002D4BAE" w:rsidTr="00791E89">
        <w:trPr>
          <w:gridAfter w:val="1"/>
          <w:wAfter w:w="60" w:type="dxa"/>
        </w:trPr>
        <w:tc>
          <w:tcPr>
            <w:tcW w:w="6663" w:type="dxa"/>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lastRenderedPageBreak/>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EA4DDF">
            <w:pPr>
              <w:pStyle w:val="Title"/>
              <w:numPr>
                <w:ilvl w:val="0"/>
                <w:numId w:val="11"/>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AB5A30">
            <w:pPr>
              <w:pStyle w:val="Title"/>
              <w:numPr>
                <w:ilvl w:val="0"/>
                <w:numId w:val="11"/>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6379" w:type="dxa"/>
            <w:tcMar>
              <w:top w:w="113" w:type="dxa"/>
              <w:bottom w:w="113" w:type="dxa"/>
            </w:tcMar>
          </w:tcPr>
          <w:p w:rsidR="00EA4DDF" w:rsidRPr="002D4BAE" w:rsidRDefault="003E16C6" w:rsidP="00AB5A30">
            <w:pPr>
              <w:rPr>
                <w:rFonts w:cs="Arial"/>
                <w:sz w:val="20"/>
              </w:rPr>
            </w:pPr>
            <w:r w:rsidRPr="003E16C6">
              <w:rPr>
                <w:rFonts w:cs="Arial"/>
                <w:sz w:val="20"/>
                <w:highlight w:val="yellow"/>
              </w:rPr>
              <w:t>Blane to copy updated curriculum map into CLT shared folder for INT</w:t>
            </w:r>
          </w:p>
        </w:tc>
      </w:tr>
      <w:tr w:rsidR="00360EEA" w:rsidRPr="002D4BAE" w:rsidTr="00791E89">
        <w:trPr>
          <w:gridAfter w:val="1"/>
          <w:wAfter w:w="60" w:type="dxa"/>
        </w:trPr>
        <w:tc>
          <w:tcPr>
            <w:tcW w:w="6663" w:type="dxa"/>
            <w:tcMar>
              <w:top w:w="113" w:type="dxa"/>
              <w:bottom w:w="113" w:type="dxa"/>
            </w:tcMar>
          </w:tcPr>
          <w:p w:rsidR="00360EEA" w:rsidRDefault="00360EEA" w:rsidP="00360EEA">
            <w:pPr>
              <w:pStyle w:val="Title"/>
              <w:ind w:left="601" w:hanging="601"/>
              <w:jc w:val="left"/>
              <w:rPr>
                <w:rFonts w:ascii="Arial" w:hAnsi="Arial" w:cs="Arial"/>
                <w:b/>
                <w:sz w:val="20"/>
              </w:rPr>
            </w:pPr>
            <w:r>
              <w:rPr>
                <w:rFonts w:ascii="Arial" w:hAnsi="Arial" w:cs="Arial"/>
                <w:b/>
                <w:sz w:val="20"/>
              </w:rPr>
              <w:t>2.4 b</w:t>
            </w:r>
            <w:proofErr w:type="gramStart"/>
            <w:r>
              <w:rPr>
                <w:rFonts w:ascii="Arial" w:hAnsi="Arial" w:cs="Arial"/>
                <w:b/>
                <w:sz w:val="20"/>
              </w:rPr>
              <w:t>)  Curriculum</w:t>
            </w:r>
            <w:proofErr w:type="gramEnd"/>
            <w:r>
              <w:rPr>
                <w:rFonts w:ascii="Arial" w:hAnsi="Arial" w:cs="Arial"/>
                <w:b/>
                <w:sz w:val="20"/>
              </w:rPr>
              <w:t xml:space="preserve"> Map</w:t>
            </w:r>
          </w:p>
          <w:p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9" w:type="dxa"/>
            <w:tcMar>
              <w:top w:w="113" w:type="dxa"/>
              <w:bottom w:w="113" w:type="dxa"/>
            </w:tcMar>
          </w:tcPr>
          <w:p w:rsidR="00360EEA" w:rsidRPr="002D4BAE" w:rsidRDefault="00360EEA" w:rsidP="00AB5A30">
            <w:pPr>
              <w:rPr>
                <w:rFonts w:cs="Arial"/>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rPr>
                <w:rFonts w:cs="Arial"/>
                <w:b/>
                <w:sz w:val="20"/>
              </w:rPr>
            </w:pPr>
            <w:r w:rsidRPr="00356C80">
              <w:rPr>
                <w:rFonts w:cs="Arial"/>
                <w:b/>
                <w:sz w:val="20"/>
              </w:rPr>
              <w:t>2.5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EA4DDF">
            <w:pPr>
              <w:numPr>
                <w:ilvl w:val="0"/>
                <w:numId w:val="8"/>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680844" w:rsidRDefault="00680844" w:rsidP="00680844">
            <w:pPr>
              <w:pStyle w:val="ListParagraph"/>
              <w:rPr>
                <w:rFonts w:cs="Arial"/>
                <w:b/>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680844" w:rsidRPr="00356C80" w:rsidRDefault="00680844" w:rsidP="00680844">
            <w:pPr>
              <w:pStyle w:val="Title"/>
              <w:ind w:left="360"/>
              <w:jc w:val="left"/>
              <w:rPr>
                <w:rFonts w:ascii="Arial" w:hAnsi="Arial" w:cs="Arial"/>
                <w:b/>
                <w:sz w:val="20"/>
              </w:rPr>
            </w:pPr>
          </w:p>
          <w:p w:rsidR="00EA4DDF" w:rsidRPr="000715B2"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learning experiences are enhanced by the use of educational technology.</w:t>
            </w:r>
          </w:p>
          <w:p w:rsidR="000715B2" w:rsidRPr="00356C80" w:rsidRDefault="000715B2" w:rsidP="000715B2">
            <w:pPr>
              <w:pStyle w:val="Title"/>
              <w:jc w:val="left"/>
              <w:rPr>
                <w:rFonts w:ascii="Arial" w:hAnsi="Arial" w:cs="Arial"/>
                <w:b/>
                <w:sz w:val="20"/>
              </w:rPr>
            </w:pPr>
          </w:p>
        </w:tc>
        <w:tc>
          <w:tcPr>
            <w:tcW w:w="6379" w:type="dxa"/>
            <w:tcMar>
              <w:top w:w="113" w:type="dxa"/>
              <w:bottom w:w="113" w:type="dxa"/>
            </w:tcMar>
          </w:tcPr>
          <w:p w:rsidR="00EA4DDF" w:rsidRDefault="00EA4DDF" w:rsidP="00AB5A30">
            <w:pPr>
              <w:jc w:val="center"/>
              <w:rPr>
                <w:rFonts w:cs="Arial"/>
                <w:b/>
                <w:sz w:val="20"/>
              </w:rPr>
            </w:pPr>
          </w:p>
          <w:p w:rsidR="003E16C6" w:rsidRPr="003E16C6" w:rsidRDefault="003E16C6" w:rsidP="003E16C6">
            <w:pPr>
              <w:rPr>
                <w:rFonts w:cs="Arial"/>
                <w:sz w:val="20"/>
              </w:rPr>
            </w:pPr>
            <w:r w:rsidRPr="003E16C6">
              <w:rPr>
                <w:rFonts w:cs="Arial"/>
                <w:sz w:val="20"/>
              </w:rPr>
              <w:t xml:space="preserve">Refer to </w:t>
            </w:r>
            <w:hyperlink r:id="rId13" w:history="1">
              <w:r w:rsidRPr="003E16C6">
                <w:rPr>
                  <w:rStyle w:val="Hyperlink"/>
                  <w:rFonts w:cs="Arial"/>
                  <w:sz w:val="20"/>
                </w:rPr>
                <w:t>INT Curriculum Information</w:t>
              </w:r>
            </w:hyperlink>
            <w:r>
              <w:rPr>
                <w:rFonts w:cs="Arial"/>
                <w:sz w:val="20"/>
              </w:rPr>
              <w:t xml:space="preserve"> for delivery modes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2.6 </w:t>
            </w:r>
            <w:r>
              <w:rPr>
                <w:rFonts w:ascii="Arial" w:hAnsi="Arial" w:cs="Arial"/>
                <w:b/>
                <w:sz w:val="20"/>
              </w:rPr>
              <w:t xml:space="preserve">Assessment and </w:t>
            </w:r>
            <w:r w:rsidRPr="00356C80">
              <w:rPr>
                <w:rFonts w:ascii="Arial" w:hAnsi="Arial" w:cs="Arial"/>
                <w:b/>
                <w:sz w:val="20"/>
              </w:rPr>
              <w:t>Evaluation Methods</w:t>
            </w:r>
          </w:p>
          <w:p w:rsidR="00EA4DDF" w:rsidRPr="00356C80" w:rsidRDefault="00EA4DDF" w:rsidP="00AB5A30">
            <w:pPr>
              <w:pStyle w:val="Title"/>
              <w:jc w:val="left"/>
              <w:rPr>
                <w:rFonts w:ascii="Arial" w:hAnsi="Arial" w:cs="Arial"/>
                <w:b/>
                <w:sz w:val="20"/>
              </w:rPr>
            </w:pPr>
          </w:p>
          <w:p w:rsidR="00D07044" w:rsidRDefault="00EA4DDF" w:rsidP="00AB5A30">
            <w:pPr>
              <w:rPr>
                <w:rFonts w:cs="Arial"/>
                <w:b/>
                <w:bCs/>
                <w:sz w:val="20"/>
              </w:rPr>
            </w:pPr>
            <w:r w:rsidRPr="00356C80">
              <w:rPr>
                <w:rFonts w:cs="Arial"/>
                <w:b/>
                <w:bCs/>
                <w:sz w:val="20"/>
              </w:rPr>
              <w:t>Review / discuss:</w:t>
            </w:r>
          </w:p>
          <w:p w:rsidR="00D07044" w:rsidRPr="00356C80" w:rsidRDefault="00D07044" w:rsidP="00AB5A30">
            <w:pPr>
              <w:rPr>
                <w:rFonts w:cs="Arial"/>
                <w:b/>
                <w:bCs/>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program approach to learning assessment</w:t>
            </w:r>
          </w:p>
          <w:p w:rsidR="00D07044" w:rsidRDefault="00D07044" w:rsidP="00D07044">
            <w:pPr>
              <w:ind w:left="360"/>
              <w:rPr>
                <w:rFonts w:cs="Arial"/>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D07044" w:rsidRDefault="00D07044" w:rsidP="00D07044">
            <w:pPr>
              <w:pStyle w:val="ListParagraph"/>
              <w:rPr>
                <w:rFonts w:cs="Arial"/>
                <w:b/>
                <w:bCs/>
                <w:sz w:val="20"/>
              </w:rPr>
            </w:pPr>
          </w:p>
          <w:p w:rsidR="00D07044" w:rsidRPr="00D07044" w:rsidRDefault="00D07044" w:rsidP="00D07044">
            <w:pPr>
              <w:numPr>
                <w:ilvl w:val="0"/>
                <w:numId w:val="26"/>
              </w:numPr>
              <w:tabs>
                <w:tab w:val="clear" w:pos="720"/>
                <w:tab w:val="num" w:pos="360"/>
              </w:tabs>
              <w:ind w:left="360"/>
              <w:rPr>
                <w:rFonts w:cs="Arial"/>
                <w:sz w:val="20"/>
              </w:rPr>
            </w:pPr>
            <w:r w:rsidRPr="00D07044">
              <w:rPr>
                <w:rFonts w:cs="Arial"/>
                <w:bCs/>
                <w:sz w:val="20"/>
              </w:rPr>
              <w:t>Reflect and comment upon the variety of methods used to demonstrate outcomes.</w:t>
            </w:r>
            <w:r w:rsidR="005A7D50">
              <w:rPr>
                <w:rFonts w:cs="Arial"/>
                <w:bCs/>
                <w:sz w:val="20"/>
              </w:rPr>
              <w:t xml:space="preserve">  Are learner</w:t>
            </w:r>
            <w:r w:rsidR="000715B2">
              <w:rPr>
                <w:rFonts w:cs="Arial"/>
                <w:bCs/>
                <w:sz w:val="20"/>
              </w:rPr>
              <w:t xml:space="preserve"> </w:t>
            </w:r>
            <w:r w:rsidR="005A7D50">
              <w:rPr>
                <w:rFonts w:cs="Arial"/>
                <w:bCs/>
                <w:sz w:val="20"/>
              </w:rPr>
              <w:t>centered principles part of the assessment approaches?</w:t>
            </w:r>
          </w:p>
          <w:p w:rsidR="00EA4DDF" w:rsidRPr="00356C80" w:rsidRDefault="00EA4DDF" w:rsidP="00D07044">
            <w:pPr>
              <w:ind w:left="360"/>
              <w:rPr>
                <w:rFonts w:cs="Arial"/>
                <w:b/>
                <w:sz w:val="20"/>
              </w:rPr>
            </w:pPr>
          </w:p>
        </w:tc>
        <w:tc>
          <w:tcPr>
            <w:tcW w:w="6379" w:type="dxa"/>
            <w:tcMar>
              <w:top w:w="113" w:type="dxa"/>
              <w:bottom w:w="113" w:type="dxa"/>
            </w:tcMar>
          </w:tcPr>
          <w:p w:rsidR="003E16C6" w:rsidRDefault="003E16C6" w:rsidP="003E16C6">
            <w:pPr>
              <w:pStyle w:val="ListParagraph"/>
              <w:numPr>
                <w:ilvl w:val="0"/>
                <w:numId w:val="33"/>
              </w:numPr>
              <w:rPr>
                <w:rFonts w:cs="Arial"/>
                <w:szCs w:val="22"/>
              </w:rPr>
            </w:pPr>
            <w:r>
              <w:rPr>
                <w:rFonts w:cs="Arial"/>
                <w:szCs w:val="22"/>
              </w:rPr>
              <w:lastRenderedPageBreak/>
              <w:t>As of 2014/15 – the program team agreed upon common weighting criteria for lab courses</w:t>
            </w:r>
          </w:p>
          <w:p w:rsidR="00EA4DDF" w:rsidRPr="003E16C6" w:rsidRDefault="003E16C6" w:rsidP="003E16C6">
            <w:pPr>
              <w:pStyle w:val="ListParagraph"/>
              <w:numPr>
                <w:ilvl w:val="0"/>
                <w:numId w:val="33"/>
              </w:numPr>
              <w:rPr>
                <w:rFonts w:cs="Arial"/>
                <w:sz w:val="20"/>
              </w:rPr>
            </w:pPr>
            <w:r w:rsidRPr="003E16C6">
              <w:rPr>
                <w:rFonts w:cs="Arial"/>
                <w:szCs w:val="22"/>
              </w:rPr>
              <w:t xml:space="preserve">Assessments are 40% labs and 60% tests  </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2.7 Curriculum and Diversity</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EA4DDF">
            <w:pPr>
              <w:numPr>
                <w:ilvl w:val="0"/>
                <w:numId w:val="20"/>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rsidR="00EA4DDF" w:rsidRPr="00356C80" w:rsidRDefault="00EA4DDF" w:rsidP="00AB5A30">
            <w:pPr>
              <w:autoSpaceDE w:val="0"/>
              <w:autoSpaceDN w:val="0"/>
              <w:adjustRightInd w:val="0"/>
              <w:rPr>
                <w:rFonts w:cs="Arial"/>
                <w:sz w:val="20"/>
              </w:rPr>
            </w:pPr>
          </w:p>
        </w:tc>
        <w:tc>
          <w:tcPr>
            <w:tcW w:w="6379" w:type="dxa"/>
            <w:tcMar>
              <w:top w:w="113" w:type="dxa"/>
              <w:bottom w:w="113" w:type="dxa"/>
            </w:tcMar>
          </w:tcPr>
          <w:p w:rsidR="003E16C6" w:rsidRDefault="003E16C6" w:rsidP="003E16C6">
            <w:pPr>
              <w:ind w:left="-43"/>
              <w:rPr>
                <w:rFonts w:cs="Arial"/>
                <w:sz w:val="20"/>
              </w:rPr>
            </w:pPr>
            <w:r w:rsidRPr="00F27525">
              <w:rPr>
                <w:rFonts w:cs="Arial"/>
                <w:sz w:val="20"/>
              </w:rPr>
              <w:t xml:space="preserve">Rough Notes: </w:t>
            </w:r>
          </w:p>
          <w:p w:rsidR="003E16C6" w:rsidRDefault="003E16C6" w:rsidP="003E16C6">
            <w:pPr>
              <w:ind w:left="-43"/>
              <w:rPr>
                <w:rFonts w:cs="Arial"/>
                <w:sz w:val="20"/>
              </w:rPr>
            </w:pPr>
          </w:p>
          <w:p w:rsidR="003E16C6" w:rsidRPr="00F27525" w:rsidRDefault="003E16C6" w:rsidP="003E16C6">
            <w:pPr>
              <w:pStyle w:val="ListParagraph"/>
              <w:numPr>
                <w:ilvl w:val="0"/>
                <w:numId w:val="20"/>
              </w:numPr>
              <w:tabs>
                <w:tab w:val="clear" w:pos="720"/>
              </w:tabs>
              <w:ind w:left="384"/>
              <w:rPr>
                <w:rFonts w:cs="Arial"/>
                <w:sz w:val="20"/>
              </w:rPr>
            </w:pPr>
            <w:r w:rsidRPr="00F27525">
              <w:rPr>
                <w:rFonts w:cs="Arial"/>
                <w:sz w:val="20"/>
              </w:rPr>
              <w:t xml:space="preserve">Program coordinator may want to work with AO to select a variety of </w:t>
            </w:r>
            <w:proofErr w:type="spellStart"/>
            <w:r w:rsidRPr="00F27525">
              <w:rPr>
                <w:rFonts w:cs="Arial"/>
                <w:sz w:val="20"/>
              </w:rPr>
              <w:t>GenEds</w:t>
            </w:r>
            <w:proofErr w:type="spellEnd"/>
            <w:r w:rsidRPr="00F27525">
              <w:rPr>
                <w:rFonts w:cs="Arial"/>
                <w:sz w:val="20"/>
              </w:rPr>
              <w:t xml:space="preserve"> that touch upon this area (e.g. Indigenous Culture, Intro to Psych, etc.).</w:t>
            </w:r>
          </w:p>
          <w:p w:rsidR="00EA4DDF" w:rsidRPr="00356C80" w:rsidRDefault="00EA4DDF" w:rsidP="00AB5A30">
            <w:pPr>
              <w:rPr>
                <w:rFonts w:cs="Arial"/>
                <w:sz w:val="20"/>
              </w:rPr>
            </w:pPr>
          </w:p>
        </w:tc>
      </w:tr>
      <w:tr w:rsidR="00EA4DDF" w:rsidRPr="00356C80" w:rsidTr="00791E89">
        <w:trPr>
          <w:gridAfter w:val="1"/>
          <w:wAfter w:w="60" w:type="dxa"/>
          <w:trHeight w:val="1412"/>
        </w:trPr>
        <w:tc>
          <w:tcPr>
            <w:tcW w:w="6663" w:type="dxa"/>
            <w:tcMar>
              <w:top w:w="113" w:type="dxa"/>
              <w:bottom w:w="113" w:type="dxa"/>
            </w:tcMar>
          </w:tcPr>
          <w:p w:rsidR="00EA4DDF" w:rsidRPr="00356C80" w:rsidRDefault="00EA4DDF" w:rsidP="00AB5A30">
            <w:pPr>
              <w:rPr>
                <w:rFonts w:cs="Arial"/>
                <w:b/>
                <w:sz w:val="20"/>
              </w:rPr>
            </w:pPr>
            <w:r w:rsidRPr="00356C80">
              <w:rPr>
                <w:rFonts w:cs="Arial"/>
                <w:b/>
                <w:sz w:val="20"/>
              </w:rPr>
              <w:t>2.8 Learning Pathways</w:t>
            </w:r>
          </w:p>
          <w:p w:rsidR="00EA4DDF" w:rsidRPr="00356C80" w:rsidRDefault="00EA4DDF" w:rsidP="00AB5A30">
            <w:pPr>
              <w:rPr>
                <w:rFonts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5D66C4" w:rsidRPr="00D07044" w:rsidRDefault="00EA4DDF" w:rsidP="005D66C4">
            <w:pPr>
              <w:pStyle w:val="Title"/>
              <w:numPr>
                <w:ilvl w:val="0"/>
                <w:numId w:val="27"/>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Pr="00356C80" w:rsidRDefault="006F46E4" w:rsidP="006F46E4">
            <w:pPr>
              <w:pStyle w:val="Title"/>
              <w:ind w:left="360"/>
              <w:jc w:val="left"/>
              <w:rPr>
                <w:rFonts w:ascii="Arial" w:hAnsi="Arial" w:cs="Arial"/>
                <w:b/>
                <w:sz w:val="20"/>
              </w:rPr>
            </w:pPr>
          </w:p>
        </w:tc>
        <w:tc>
          <w:tcPr>
            <w:tcW w:w="6379" w:type="dxa"/>
            <w:tcMar>
              <w:top w:w="113" w:type="dxa"/>
              <w:bottom w:w="113" w:type="dxa"/>
            </w:tcMar>
          </w:tcPr>
          <w:p w:rsidR="001D7720" w:rsidRDefault="001D7720" w:rsidP="001D7720">
            <w:pPr>
              <w:rPr>
                <w:rFonts w:cs="Arial"/>
                <w:sz w:val="20"/>
              </w:rPr>
            </w:pPr>
            <w:r>
              <w:rPr>
                <w:rFonts w:cs="Arial"/>
                <w:sz w:val="20"/>
              </w:rPr>
              <w:t xml:space="preserve">Rough Notes: </w:t>
            </w:r>
          </w:p>
          <w:p w:rsidR="001D7720" w:rsidRDefault="001D7720" w:rsidP="001D7720">
            <w:pPr>
              <w:rPr>
                <w:rFonts w:cs="Arial"/>
                <w:sz w:val="20"/>
              </w:rPr>
            </w:pPr>
          </w:p>
          <w:p w:rsidR="001D7720" w:rsidRDefault="001D7720" w:rsidP="001D7720">
            <w:pPr>
              <w:pStyle w:val="ListParagraph"/>
              <w:numPr>
                <w:ilvl w:val="0"/>
                <w:numId w:val="27"/>
              </w:numPr>
              <w:tabs>
                <w:tab w:val="clear" w:pos="720"/>
              </w:tabs>
              <w:ind w:left="370"/>
              <w:rPr>
                <w:rFonts w:cs="Arial"/>
                <w:sz w:val="20"/>
              </w:rPr>
            </w:pPr>
            <w:r w:rsidRPr="00F27525">
              <w:rPr>
                <w:rFonts w:cs="Arial"/>
                <w:sz w:val="20"/>
              </w:rPr>
              <w:t>N</w:t>
            </w:r>
            <w:r>
              <w:rPr>
                <w:rFonts w:cs="Arial"/>
                <w:sz w:val="20"/>
              </w:rPr>
              <w:t xml:space="preserve">o current dual credit offerings (core </w:t>
            </w:r>
            <w:r>
              <w:rPr>
                <w:rFonts w:cs="Arial"/>
                <w:sz w:val="20"/>
              </w:rPr>
              <w:t xml:space="preserve">INT </w:t>
            </w:r>
            <w:r>
              <w:rPr>
                <w:rFonts w:cs="Arial"/>
                <w:sz w:val="20"/>
              </w:rPr>
              <w:t>courses)</w:t>
            </w:r>
          </w:p>
          <w:p w:rsidR="001D7720" w:rsidRPr="00BB2849" w:rsidRDefault="001D7720" w:rsidP="001D7720">
            <w:pPr>
              <w:pStyle w:val="ListParagraph"/>
              <w:numPr>
                <w:ilvl w:val="0"/>
                <w:numId w:val="27"/>
              </w:numPr>
              <w:tabs>
                <w:tab w:val="clear" w:pos="720"/>
              </w:tabs>
              <w:ind w:left="370"/>
              <w:rPr>
                <w:rFonts w:cs="Arial"/>
                <w:sz w:val="20"/>
              </w:rPr>
            </w:pPr>
            <w:r w:rsidRPr="00BB2849">
              <w:rPr>
                <w:rFonts w:cs="Arial"/>
                <w:sz w:val="20"/>
              </w:rPr>
              <w:t>Dual diploma currently offered to/from EE and INT: “</w:t>
            </w:r>
          </w:p>
          <w:p w:rsidR="001D7720" w:rsidRDefault="001D7720" w:rsidP="001D7720">
            <w:pPr>
              <w:ind w:left="360"/>
              <w:rPr>
                <w:rFonts w:cs="Arial"/>
                <w:sz w:val="20"/>
              </w:rPr>
            </w:pPr>
          </w:p>
          <w:p w:rsidR="00EA4DDF" w:rsidRPr="00356C80" w:rsidRDefault="001D7720" w:rsidP="00AB5A30">
            <w:pPr>
              <w:rPr>
                <w:rFonts w:cs="Arial"/>
                <w:sz w:val="20"/>
              </w:rPr>
            </w:pPr>
            <w:r>
              <w:rPr>
                <w:rFonts w:cs="Arial"/>
                <w:sz w:val="20"/>
              </w:rPr>
              <w:t xml:space="preserve">From </w:t>
            </w:r>
            <w:r>
              <w:rPr>
                <w:rFonts w:cs="Arial"/>
                <w:sz w:val="20"/>
              </w:rPr>
              <w:t xml:space="preserve">INT </w:t>
            </w:r>
            <w:r>
              <w:rPr>
                <w:rFonts w:cs="Arial"/>
                <w:sz w:val="20"/>
              </w:rPr>
              <w:t>web description: “</w:t>
            </w:r>
            <w:r w:rsidRPr="001D7720">
              <w:rPr>
                <w:rFonts w:cs="Arial"/>
                <w:sz w:val="20"/>
              </w:rPr>
              <w:t>With just 8 additional courses you can complete a second diploma at Fleming in the Electrical Engineering Technician program and graduate with 2 diplomas in 3 years.</w:t>
            </w:r>
            <w:r>
              <w:rPr>
                <w:rFonts w:cs="Arial"/>
                <w:sz w:val="20"/>
              </w:rPr>
              <w:t>”</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lang w:val="en-CA"/>
              </w:rPr>
              <w:t>3.0 Student and Graduate Satisfaction</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Height w:val="3188"/>
        </w:trPr>
        <w:tc>
          <w:tcPr>
            <w:tcW w:w="6663" w:type="dxa"/>
            <w:tcMar>
              <w:top w:w="113" w:type="dxa"/>
              <w:bottom w:w="113" w:type="dxa"/>
            </w:tcMar>
          </w:tcPr>
          <w:p w:rsidR="00EA4DDF" w:rsidRPr="00356C80" w:rsidRDefault="00EA4DDF" w:rsidP="00AB5A30">
            <w:pPr>
              <w:rPr>
                <w:rFonts w:cs="Arial"/>
                <w:b/>
                <w:bCs/>
                <w:sz w:val="20"/>
              </w:rPr>
            </w:pPr>
            <w:r w:rsidRPr="00356C80">
              <w:rPr>
                <w:rFonts w:cs="Arial"/>
                <w:b/>
                <w:bCs/>
                <w:sz w:val="20"/>
              </w:rPr>
              <w:lastRenderedPageBreak/>
              <w:t>3.1 Formal Measures of Student and / or Graduate Satisfaction</w:t>
            </w:r>
          </w:p>
          <w:p w:rsidR="00EA4DDF" w:rsidRPr="00356C80" w:rsidRDefault="00EA4DDF" w:rsidP="00AB5A30">
            <w:pPr>
              <w:rPr>
                <w:rFonts w:cs="Arial"/>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D07044" w:rsidRPr="00356C80" w:rsidRDefault="00D07044" w:rsidP="00D07044">
            <w:pPr>
              <w:ind w:left="360"/>
              <w:rPr>
                <w:rFonts w:cs="Arial"/>
                <w:sz w:val="20"/>
              </w:rPr>
            </w:pPr>
          </w:p>
          <w:p w:rsidR="00EA4DDF" w:rsidRPr="00356C80" w:rsidRDefault="00EA4DDF" w:rsidP="00EA4DDF">
            <w:pPr>
              <w:numPr>
                <w:ilvl w:val="0"/>
                <w:numId w:val="27"/>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rsidR="00EA4DDF" w:rsidRPr="00356C80" w:rsidRDefault="00EA4DDF" w:rsidP="00AB5A30">
            <w:pPr>
              <w:rPr>
                <w:sz w:val="20"/>
                <w:lang w:val="en-CA"/>
              </w:rPr>
            </w:pPr>
          </w:p>
        </w:tc>
        <w:tc>
          <w:tcPr>
            <w:tcW w:w="6379" w:type="dxa"/>
            <w:tcMar>
              <w:top w:w="113" w:type="dxa"/>
              <w:bottom w:w="113" w:type="dxa"/>
            </w:tcMar>
          </w:tcPr>
          <w:p w:rsidR="000B3BD9" w:rsidRDefault="000B3BD9" w:rsidP="000B3BD9">
            <w:pPr>
              <w:rPr>
                <w:sz w:val="20"/>
                <w:lang w:val="en-CA"/>
              </w:rPr>
            </w:pPr>
            <w:r w:rsidRPr="00B97B6C">
              <w:rPr>
                <w:rFonts w:cs="Arial"/>
                <w:b/>
                <w:sz w:val="20"/>
              </w:rPr>
              <w:t>Key Performance Indicator results - #</w:t>
            </w:r>
            <w:proofErr w:type="gramStart"/>
            <w:r w:rsidRPr="00B97B6C">
              <w:rPr>
                <w:rFonts w:cs="Arial"/>
                <w:b/>
                <w:sz w:val="20"/>
              </w:rPr>
              <w:t>s  4</w:t>
            </w:r>
            <w:proofErr w:type="gramEnd"/>
            <w:r w:rsidRPr="00B97B6C">
              <w:rPr>
                <w:rFonts w:cs="Arial"/>
                <w:b/>
                <w:sz w:val="20"/>
              </w:rPr>
              <w:t>, 8, 9, and 11</w:t>
            </w:r>
            <w:r>
              <w:rPr>
                <w:rFonts w:cs="Arial"/>
                <w:b/>
                <w:sz w:val="20"/>
              </w:rPr>
              <w:t xml:space="preserve">: </w:t>
            </w:r>
            <w:r>
              <w:rPr>
                <w:sz w:val="20"/>
                <w:lang w:val="en-CA"/>
              </w:rPr>
              <w:t xml:space="preserve">Refer to </w:t>
            </w:r>
            <w:hyperlink r:id="rId14" w:history="1">
              <w:r w:rsidRPr="0006695D">
                <w:rPr>
                  <w:rStyle w:val="Hyperlink"/>
                  <w:sz w:val="20"/>
                  <w:lang w:val="en-CA"/>
                </w:rPr>
                <w:t>KPI Review of Programs (</w:t>
              </w:r>
              <w:r>
                <w:rPr>
                  <w:rStyle w:val="Hyperlink"/>
                  <w:sz w:val="20"/>
                  <w:lang w:val="en-CA"/>
                </w:rPr>
                <w:t>INT</w:t>
              </w:r>
              <w:r w:rsidRPr="0006695D">
                <w:rPr>
                  <w:rStyle w:val="Hyperlink"/>
                  <w:sz w:val="20"/>
                  <w:lang w:val="en-CA"/>
                </w:rPr>
                <w:t>)</w:t>
              </w:r>
            </w:hyperlink>
            <w:r>
              <w:rPr>
                <w:sz w:val="20"/>
                <w:lang w:val="en-CA"/>
              </w:rPr>
              <w:t xml:space="preserve"> for KPI data from 2011-2015. This data compares the </w:t>
            </w:r>
            <w:r>
              <w:rPr>
                <w:sz w:val="20"/>
                <w:lang w:val="en-CA"/>
              </w:rPr>
              <w:t xml:space="preserve">INT </w:t>
            </w:r>
            <w:r>
              <w:rPr>
                <w:sz w:val="20"/>
                <w:lang w:val="en-CA"/>
              </w:rPr>
              <w:t>program to the MCU and college.</w:t>
            </w:r>
          </w:p>
          <w:p w:rsidR="000B3BD9" w:rsidRDefault="000B3BD9" w:rsidP="000B3BD9">
            <w:pPr>
              <w:rPr>
                <w:sz w:val="20"/>
                <w:lang w:val="en-CA"/>
              </w:rPr>
            </w:pPr>
          </w:p>
          <w:p w:rsidR="000B3BD9" w:rsidRDefault="000B3BD9" w:rsidP="000B3BD9">
            <w:pPr>
              <w:rPr>
                <w:sz w:val="20"/>
                <w:lang w:val="en-CA"/>
              </w:rPr>
            </w:pPr>
            <w:r>
              <w:rPr>
                <w:sz w:val="20"/>
                <w:lang w:val="en-CA"/>
              </w:rPr>
              <w:t>Rough Notes:</w:t>
            </w:r>
          </w:p>
          <w:p w:rsidR="000B3BD9" w:rsidRDefault="000B3BD9" w:rsidP="000B3BD9">
            <w:pPr>
              <w:rPr>
                <w:sz w:val="20"/>
                <w:lang w:val="en-CA"/>
              </w:rPr>
            </w:pPr>
          </w:p>
          <w:p w:rsidR="000B3BD9" w:rsidRDefault="000B3BD9" w:rsidP="000B3BD9">
            <w:pPr>
              <w:rPr>
                <w:sz w:val="20"/>
                <w:lang w:val="en-CA"/>
              </w:rPr>
            </w:pPr>
            <w:r>
              <w:rPr>
                <w:sz w:val="20"/>
                <w:lang w:val="en-CA"/>
              </w:rPr>
              <w:t>KPI4: From 2011-2015,</w:t>
            </w:r>
            <w:r>
              <w:rPr>
                <w:sz w:val="20"/>
                <w:lang w:val="en-CA"/>
              </w:rPr>
              <w:t xml:space="preserve"> Fleming’s INT program is consistently below the MCU averages re: INT </w:t>
            </w:r>
            <w:r>
              <w:rPr>
                <w:sz w:val="20"/>
                <w:lang w:val="en-CA"/>
              </w:rPr>
              <w:t xml:space="preserve">graduate satisfaction with generic and vocational learning outcomes. </w:t>
            </w:r>
          </w:p>
          <w:p w:rsidR="000B3BD9" w:rsidRDefault="000B3BD9" w:rsidP="000B3BD9">
            <w:pPr>
              <w:rPr>
                <w:sz w:val="20"/>
                <w:lang w:val="en-CA"/>
              </w:rPr>
            </w:pPr>
          </w:p>
          <w:p w:rsidR="000B3BD9" w:rsidRDefault="000B3BD9" w:rsidP="000B3BD9">
            <w:pPr>
              <w:rPr>
                <w:sz w:val="20"/>
                <w:lang w:val="en-CA"/>
              </w:rPr>
            </w:pPr>
            <w:r>
              <w:rPr>
                <w:sz w:val="20"/>
                <w:lang w:val="en-CA"/>
              </w:rPr>
              <w:t xml:space="preserve">KPI8: </w:t>
            </w:r>
            <w:r>
              <w:rPr>
                <w:sz w:val="20"/>
                <w:lang w:val="en-CA"/>
              </w:rPr>
              <w:t xml:space="preserve">INT </w:t>
            </w:r>
            <w:r>
              <w:rPr>
                <w:sz w:val="20"/>
                <w:lang w:val="en-CA"/>
              </w:rPr>
              <w:t xml:space="preserve">Student satisfaction with the learning experience </w:t>
            </w:r>
            <w:r>
              <w:rPr>
                <w:sz w:val="20"/>
                <w:lang w:val="en-CA"/>
              </w:rPr>
              <w:t xml:space="preserve">increased greatly </w:t>
            </w:r>
            <w:r w:rsidR="001500DF">
              <w:rPr>
                <w:sz w:val="20"/>
                <w:lang w:val="en-CA"/>
              </w:rPr>
              <w:t xml:space="preserve">within the </w:t>
            </w:r>
            <w:r>
              <w:rPr>
                <w:sz w:val="20"/>
                <w:lang w:val="en-CA"/>
              </w:rPr>
              <w:t xml:space="preserve">2013-2015 </w:t>
            </w:r>
            <w:r w:rsidR="001500DF">
              <w:rPr>
                <w:sz w:val="20"/>
                <w:lang w:val="en-CA"/>
              </w:rPr>
              <w:t xml:space="preserve">academic years </w:t>
            </w:r>
            <w:r>
              <w:rPr>
                <w:sz w:val="20"/>
                <w:lang w:val="en-CA"/>
              </w:rPr>
              <w:t xml:space="preserve">but continues </w:t>
            </w:r>
            <w:r w:rsidR="001500DF">
              <w:rPr>
                <w:sz w:val="20"/>
                <w:lang w:val="en-CA"/>
              </w:rPr>
              <w:t>to be slightly lower than the MCU and college averages.</w:t>
            </w:r>
          </w:p>
          <w:p w:rsidR="000B3BD9" w:rsidRDefault="000B3BD9" w:rsidP="000B3BD9">
            <w:pPr>
              <w:rPr>
                <w:sz w:val="20"/>
                <w:lang w:val="en-CA"/>
              </w:rPr>
            </w:pPr>
          </w:p>
          <w:p w:rsidR="000B3BD9" w:rsidRDefault="000B3BD9" w:rsidP="000B3BD9">
            <w:pPr>
              <w:rPr>
                <w:sz w:val="20"/>
                <w:lang w:val="en-CA"/>
              </w:rPr>
            </w:pPr>
            <w:r>
              <w:rPr>
                <w:sz w:val="20"/>
                <w:lang w:val="en-CA"/>
              </w:rPr>
              <w:t xml:space="preserve">KPI9: The data for student satisfaction with teachers is also significantly lower than that of other colleges offering an </w:t>
            </w:r>
            <w:r w:rsidR="001500DF">
              <w:rPr>
                <w:sz w:val="20"/>
                <w:lang w:val="en-CA"/>
              </w:rPr>
              <w:t xml:space="preserve">INT </w:t>
            </w:r>
            <w:r>
              <w:rPr>
                <w:sz w:val="20"/>
                <w:lang w:val="en-CA"/>
              </w:rPr>
              <w:t>program</w:t>
            </w:r>
            <w:r w:rsidR="001500DF">
              <w:rPr>
                <w:sz w:val="20"/>
                <w:lang w:val="en-CA"/>
              </w:rPr>
              <w:t>. The 2014 reporting year was the only exception</w:t>
            </w:r>
            <w:r>
              <w:rPr>
                <w:sz w:val="20"/>
                <w:lang w:val="en-CA"/>
              </w:rPr>
              <w:t xml:space="preserve"> </w:t>
            </w:r>
            <w:r w:rsidR="001500DF">
              <w:rPr>
                <w:sz w:val="20"/>
                <w:lang w:val="en-CA"/>
              </w:rPr>
              <w:t>with student satisfaction in this category comparable to the MCU and college averages</w:t>
            </w:r>
            <w:r>
              <w:rPr>
                <w:sz w:val="20"/>
                <w:lang w:val="en-CA"/>
              </w:rPr>
              <w:t xml:space="preserve"> </w:t>
            </w:r>
          </w:p>
          <w:p w:rsidR="000B3BD9" w:rsidRDefault="000B3BD9" w:rsidP="000B3BD9">
            <w:pPr>
              <w:rPr>
                <w:sz w:val="20"/>
                <w:lang w:val="en-CA"/>
              </w:rPr>
            </w:pPr>
          </w:p>
          <w:p w:rsidR="000B3BD9" w:rsidRDefault="000B3BD9" w:rsidP="000B3BD9">
            <w:pPr>
              <w:rPr>
                <w:sz w:val="20"/>
                <w:lang w:val="en-CA"/>
              </w:rPr>
            </w:pPr>
            <w:r>
              <w:rPr>
                <w:sz w:val="20"/>
                <w:lang w:val="en-CA"/>
              </w:rPr>
              <w:t xml:space="preserve">KPI11: Graduate satisfaction with the </w:t>
            </w:r>
            <w:r w:rsidR="001500DF">
              <w:rPr>
                <w:sz w:val="20"/>
                <w:lang w:val="en-CA"/>
              </w:rPr>
              <w:t>INT</w:t>
            </w:r>
            <w:r>
              <w:rPr>
                <w:sz w:val="20"/>
                <w:lang w:val="en-CA"/>
              </w:rPr>
              <w:t xml:space="preserve"> program has varied from 2011-2015 but </w:t>
            </w:r>
            <w:r w:rsidR="001500DF">
              <w:rPr>
                <w:sz w:val="20"/>
                <w:lang w:val="en-CA"/>
              </w:rPr>
              <w:t xml:space="preserve">remain </w:t>
            </w:r>
            <w:r>
              <w:rPr>
                <w:sz w:val="20"/>
                <w:lang w:val="en-CA"/>
              </w:rPr>
              <w:t>consistently below the MCU and college averages.</w:t>
            </w:r>
          </w:p>
          <w:p w:rsidR="000B3BD9" w:rsidRDefault="000B3BD9" w:rsidP="000B3BD9">
            <w:pPr>
              <w:rPr>
                <w:sz w:val="20"/>
                <w:lang w:val="en-CA"/>
              </w:rPr>
            </w:pPr>
          </w:p>
          <w:p w:rsidR="000B3BD9" w:rsidRDefault="000B3BD9" w:rsidP="000B3BD9">
            <w:pPr>
              <w:rPr>
                <w:sz w:val="20"/>
                <w:lang w:val="en-CA"/>
              </w:rPr>
            </w:pPr>
            <w:r w:rsidRPr="00FD295D">
              <w:rPr>
                <w:b/>
                <w:sz w:val="20"/>
                <w:lang w:val="en-CA"/>
              </w:rPr>
              <w:t xml:space="preserve">Fleming’s KPIs for </w:t>
            </w:r>
            <w:r w:rsidR="001500DF">
              <w:rPr>
                <w:b/>
                <w:sz w:val="20"/>
                <w:lang w:val="en-CA"/>
              </w:rPr>
              <w:t xml:space="preserve">INT </w:t>
            </w:r>
            <w:r w:rsidRPr="00FD295D">
              <w:rPr>
                <w:b/>
                <w:sz w:val="20"/>
                <w:lang w:val="en-CA"/>
              </w:rPr>
              <w:t xml:space="preserve">compared to other </w:t>
            </w:r>
            <w:r w:rsidR="001500DF">
              <w:rPr>
                <w:b/>
                <w:sz w:val="20"/>
                <w:lang w:val="en-CA"/>
              </w:rPr>
              <w:t>MCU INT p</w:t>
            </w:r>
            <w:r w:rsidRPr="00FD295D">
              <w:rPr>
                <w:b/>
                <w:sz w:val="20"/>
                <w:lang w:val="en-CA"/>
              </w:rPr>
              <w:t>rograms:</w:t>
            </w:r>
            <w:r>
              <w:rPr>
                <w:sz w:val="20"/>
                <w:lang w:val="en-CA"/>
              </w:rPr>
              <w:t xml:space="preserve"> Results are varied but overall shows that we are underperforming compared to the MCU </w:t>
            </w:r>
            <w:r w:rsidR="001500DF">
              <w:rPr>
                <w:sz w:val="20"/>
                <w:lang w:val="en-CA"/>
              </w:rPr>
              <w:t>INT</w:t>
            </w:r>
            <w:r>
              <w:rPr>
                <w:sz w:val="20"/>
                <w:lang w:val="en-CA"/>
              </w:rPr>
              <w:t xml:space="preserve"> averages. Refer to </w:t>
            </w:r>
            <w:hyperlink r:id="rId15" w:history="1">
              <w:r w:rsidR="001500DF">
                <w:rPr>
                  <w:rStyle w:val="Hyperlink"/>
                  <w:sz w:val="20"/>
                  <w:lang w:val="en-CA"/>
                </w:rPr>
                <w:t>INT</w:t>
              </w:r>
              <w:r>
                <w:rPr>
                  <w:rStyle w:val="Hyperlink"/>
                  <w:sz w:val="20"/>
                  <w:lang w:val="en-CA"/>
                </w:rPr>
                <w:t xml:space="preserve"> </w:t>
              </w:r>
              <w:r w:rsidRPr="00FD295D">
                <w:rPr>
                  <w:rStyle w:val="Hyperlink"/>
                  <w:sz w:val="20"/>
                  <w:lang w:val="en-CA"/>
                </w:rPr>
                <w:t>KPI</w:t>
              </w:r>
              <w:r w:rsidRPr="00FD295D">
                <w:rPr>
                  <w:rStyle w:val="Hyperlink"/>
                  <w:sz w:val="20"/>
                  <w:lang w:val="en-CA"/>
                </w:rPr>
                <w:t xml:space="preserve"> </w:t>
              </w:r>
              <w:r w:rsidRPr="00FD295D">
                <w:rPr>
                  <w:rStyle w:val="Hyperlink"/>
                  <w:sz w:val="20"/>
                  <w:lang w:val="en-CA"/>
                </w:rPr>
                <w:t>details (201</w:t>
              </w:r>
              <w:r>
                <w:rPr>
                  <w:rStyle w:val="Hyperlink"/>
                  <w:sz w:val="20"/>
                  <w:lang w:val="en-CA"/>
                </w:rPr>
                <w:t>0</w:t>
              </w:r>
              <w:r w:rsidRPr="00FD295D">
                <w:rPr>
                  <w:rStyle w:val="Hyperlink"/>
                  <w:sz w:val="20"/>
                  <w:lang w:val="en-CA"/>
                </w:rPr>
                <w:t>-2014)</w:t>
              </w:r>
            </w:hyperlink>
            <w:r>
              <w:rPr>
                <w:sz w:val="20"/>
                <w:lang w:val="en-CA"/>
              </w:rPr>
              <w:t xml:space="preserve">  for additional information and data.  </w:t>
            </w:r>
          </w:p>
          <w:p w:rsidR="000B3BD9" w:rsidRDefault="000B3BD9" w:rsidP="000B3BD9">
            <w:pPr>
              <w:rPr>
                <w:sz w:val="20"/>
                <w:lang w:val="en-CA"/>
              </w:rPr>
            </w:pPr>
          </w:p>
          <w:p w:rsidR="000B3BD9" w:rsidRDefault="000B3BD9" w:rsidP="000B3BD9">
            <w:pPr>
              <w:rPr>
                <w:sz w:val="20"/>
                <w:lang w:val="en-CA"/>
              </w:rPr>
            </w:pPr>
            <w:r w:rsidRPr="00FD295D">
              <w:rPr>
                <w:b/>
                <w:sz w:val="20"/>
                <w:lang w:val="en-CA"/>
              </w:rPr>
              <w:t>Tutoring Summary Report for 2014/15</w:t>
            </w:r>
            <w:r>
              <w:rPr>
                <w:sz w:val="20"/>
                <w:lang w:val="en-CA"/>
              </w:rPr>
              <w:t xml:space="preserve">: There were several requests for tutors from the Learning Centre for </w:t>
            </w:r>
            <w:r w:rsidR="00DD1BAA">
              <w:rPr>
                <w:sz w:val="20"/>
                <w:lang w:val="en-CA"/>
              </w:rPr>
              <w:t xml:space="preserve">INT </w:t>
            </w:r>
            <w:r>
              <w:rPr>
                <w:sz w:val="20"/>
                <w:lang w:val="en-CA"/>
              </w:rPr>
              <w:t>core courses</w:t>
            </w:r>
            <w:r w:rsidR="00DD1BAA">
              <w:rPr>
                <w:sz w:val="20"/>
                <w:lang w:val="en-CA"/>
              </w:rPr>
              <w:t>, that MAY include ETQ and EE courses as well.</w:t>
            </w:r>
            <w:r>
              <w:rPr>
                <w:sz w:val="20"/>
                <w:lang w:val="en-CA"/>
              </w:rPr>
              <w:t xml:space="preserve"> </w:t>
            </w:r>
            <w:r w:rsidR="00DD1BAA">
              <w:rPr>
                <w:sz w:val="20"/>
                <w:lang w:val="en-CA"/>
              </w:rPr>
              <w:t xml:space="preserve">For </w:t>
            </w:r>
            <w:r>
              <w:rPr>
                <w:sz w:val="20"/>
                <w:lang w:val="en-CA"/>
              </w:rPr>
              <w:t>SEM1 and SEM2, 14 requests were for ELCT84, 9 requests for ELCT90, 3 requests for ELCT87, and 2 requests each for ELCT101</w:t>
            </w:r>
            <w:r w:rsidR="00DD1BAA">
              <w:rPr>
                <w:sz w:val="20"/>
                <w:lang w:val="en-CA"/>
              </w:rPr>
              <w:t xml:space="preserve">, </w:t>
            </w:r>
            <w:r>
              <w:rPr>
                <w:sz w:val="20"/>
                <w:lang w:val="en-CA"/>
              </w:rPr>
              <w:t>MATH122</w:t>
            </w:r>
            <w:r w:rsidR="00DD1BAA">
              <w:rPr>
                <w:sz w:val="20"/>
                <w:lang w:val="en-CA"/>
              </w:rPr>
              <w:t>, and SCIE140 (</w:t>
            </w:r>
            <w:proofErr w:type="spellStart"/>
            <w:r w:rsidR="00DD1BAA">
              <w:rPr>
                <w:sz w:val="20"/>
                <w:lang w:val="en-CA"/>
              </w:rPr>
              <w:t>INTspecific</w:t>
            </w:r>
            <w:proofErr w:type="spellEnd"/>
            <w:r w:rsidR="00DD1BAA">
              <w:rPr>
                <w:sz w:val="20"/>
                <w:lang w:val="en-CA"/>
              </w:rPr>
              <w:t>)</w:t>
            </w:r>
            <w:r>
              <w:rPr>
                <w:sz w:val="20"/>
                <w:lang w:val="en-CA"/>
              </w:rPr>
              <w:t>.</w:t>
            </w:r>
            <w:r w:rsidR="00DD1BAA">
              <w:rPr>
                <w:sz w:val="20"/>
                <w:lang w:val="en-CA"/>
              </w:rPr>
              <w:t xml:space="preserve"> There was one tutoring request for ELCT100 (INT)</w:t>
            </w:r>
            <w:r w:rsidR="001C7198">
              <w:rPr>
                <w:sz w:val="20"/>
                <w:lang w:val="en-CA"/>
              </w:rPr>
              <w:t xml:space="preserve">, ELCT102 (INT), </w:t>
            </w:r>
          </w:p>
          <w:p w:rsidR="000B3BD9" w:rsidRDefault="000B3BD9" w:rsidP="000B3BD9">
            <w:pPr>
              <w:rPr>
                <w:sz w:val="20"/>
                <w:lang w:val="en-CA"/>
              </w:rPr>
            </w:pPr>
          </w:p>
          <w:p w:rsidR="000B3BD9" w:rsidRDefault="000B3BD9" w:rsidP="000B3BD9">
            <w:pPr>
              <w:rPr>
                <w:sz w:val="20"/>
                <w:lang w:val="en-CA"/>
              </w:rPr>
            </w:pPr>
            <w:r>
              <w:rPr>
                <w:sz w:val="20"/>
                <w:lang w:val="en-CA"/>
              </w:rPr>
              <w:t xml:space="preserve">For </w:t>
            </w:r>
            <w:r w:rsidR="00DD1BAA">
              <w:rPr>
                <w:sz w:val="20"/>
                <w:lang w:val="en-CA"/>
              </w:rPr>
              <w:t xml:space="preserve">SEM3 and SEM4 </w:t>
            </w:r>
            <w:r>
              <w:rPr>
                <w:sz w:val="20"/>
                <w:lang w:val="en-CA"/>
              </w:rPr>
              <w:t xml:space="preserve">courses there were 16 requests for COMP460, 15 requests for ELCT117, 10 for ELCT94, 6 for ELCT95, 5 for ELCT88, </w:t>
            </w:r>
            <w:r w:rsidR="00DD1BAA">
              <w:rPr>
                <w:sz w:val="20"/>
                <w:lang w:val="en-CA"/>
              </w:rPr>
              <w:t xml:space="preserve">2 for ELCT104 (INT), </w:t>
            </w:r>
            <w:r>
              <w:rPr>
                <w:sz w:val="20"/>
                <w:lang w:val="en-CA"/>
              </w:rPr>
              <w:t>and 1 request each for COMM32, ELCT 77, 105, 109</w:t>
            </w:r>
            <w:r w:rsidR="00DD1BAA">
              <w:rPr>
                <w:sz w:val="20"/>
                <w:lang w:val="en-CA"/>
              </w:rPr>
              <w:t>, AUTM70 (INT), ELCT82 (INT), MECH99 (INT)</w:t>
            </w:r>
            <w:r w:rsidR="001C7198">
              <w:rPr>
                <w:sz w:val="20"/>
                <w:lang w:val="en-CA"/>
              </w:rPr>
              <w:t>, and ELCT102 (INT)</w:t>
            </w:r>
            <w:r>
              <w:rPr>
                <w:sz w:val="20"/>
                <w:lang w:val="en-CA"/>
              </w:rPr>
              <w:t>.</w:t>
            </w:r>
          </w:p>
          <w:p w:rsidR="000B3BD9" w:rsidRDefault="000B3BD9" w:rsidP="000B3BD9">
            <w:pPr>
              <w:rPr>
                <w:sz w:val="20"/>
                <w:lang w:val="en-CA"/>
              </w:rPr>
            </w:pPr>
          </w:p>
          <w:p w:rsidR="000B3BD9" w:rsidRDefault="000B3BD9" w:rsidP="000B3BD9">
            <w:pPr>
              <w:rPr>
                <w:sz w:val="20"/>
                <w:lang w:val="en-CA"/>
              </w:rPr>
            </w:pPr>
            <w:r>
              <w:rPr>
                <w:sz w:val="20"/>
                <w:lang w:val="en-CA"/>
              </w:rPr>
              <w:t xml:space="preserve">Please refer to the </w:t>
            </w:r>
            <w:hyperlink r:id="rId16" w:history="1">
              <w:r w:rsidRPr="00DA6D48">
                <w:rPr>
                  <w:rStyle w:val="Hyperlink"/>
                  <w:sz w:val="20"/>
                  <w:lang w:val="en-CA"/>
                </w:rPr>
                <w:t>tutoring s</w:t>
              </w:r>
              <w:r w:rsidRPr="00DA6D48">
                <w:rPr>
                  <w:rStyle w:val="Hyperlink"/>
                  <w:sz w:val="20"/>
                  <w:lang w:val="en-CA"/>
                </w:rPr>
                <w:t>e</w:t>
              </w:r>
              <w:r w:rsidRPr="00DA6D48">
                <w:rPr>
                  <w:rStyle w:val="Hyperlink"/>
                  <w:sz w:val="20"/>
                  <w:lang w:val="en-CA"/>
                </w:rPr>
                <w:t>rvices statistics</w:t>
              </w:r>
            </w:hyperlink>
            <w:r>
              <w:rPr>
                <w:sz w:val="20"/>
                <w:lang w:val="en-CA"/>
              </w:rPr>
              <w:t xml:space="preserve"> for any additional details. </w:t>
            </w:r>
          </w:p>
          <w:p w:rsidR="000B3BD9" w:rsidRDefault="000B3BD9" w:rsidP="000B3BD9">
            <w:pPr>
              <w:rPr>
                <w:sz w:val="20"/>
                <w:lang w:val="en-CA"/>
              </w:rPr>
            </w:pPr>
          </w:p>
          <w:p w:rsidR="00EA4DDF" w:rsidRPr="00356C80" w:rsidRDefault="000B3BD9" w:rsidP="000B3BD9">
            <w:pPr>
              <w:rPr>
                <w:sz w:val="20"/>
                <w:lang w:val="en-CA"/>
              </w:rPr>
            </w:pPr>
            <w:r w:rsidRPr="00FD295D">
              <w:rPr>
                <w:b/>
                <w:sz w:val="20"/>
                <w:highlight w:val="yellow"/>
                <w:lang w:val="en-CA"/>
              </w:rPr>
              <w:t>&lt;Max</w:t>
            </w:r>
            <w:r>
              <w:rPr>
                <w:b/>
                <w:sz w:val="20"/>
                <w:highlight w:val="yellow"/>
                <w:lang w:val="en-CA"/>
              </w:rPr>
              <w:t>/other</w:t>
            </w:r>
            <w:r w:rsidRPr="00FD295D">
              <w:rPr>
                <w:b/>
                <w:sz w:val="20"/>
                <w:highlight w:val="yellow"/>
                <w:lang w:val="en-CA"/>
              </w:rPr>
              <w:t xml:space="preserve"> to compile</w:t>
            </w:r>
            <w:r w:rsidRPr="00FD295D">
              <w:rPr>
                <w:rFonts w:cs="Arial"/>
                <w:b/>
                <w:sz w:val="20"/>
                <w:highlight w:val="yellow"/>
              </w:rPr>
              <w:t xml:space="preserve"> Themes or issues emerging from a review of course evaluation summaries (Chair/Dean response here)&gt;</w:t>
            </w:r>
          </w:p>
        </w:tc>
      </w:tr>
      <w:tr w:rsidR="00EA4DDF" w:rsidRPr="00356C80" w:rsidTr="00791E89">
        <w:trPr>
          <w:gridAfter w:val="1"/>
          <w:wAfter w:w="60" w:type="dxa"/>
        </w:trPr>
        <w:tc>
          <w:tcPr>
            <w:tcW w:w="6663" w:type="dxa"/>
          </w:tcPr>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sz w:val="20"/>
              </w:rPr>
            </w:pPr>
            <w:r w:rsidRPr="00356C80">
              <w:rPr>
                <w:rFonts w:cs="Arial"/>
                <w:b/>
                <w:sz w:val="20"/>
              </w:rPr>
              <w:t>3.2 Other Measures of Student and Graduate Satisfaction</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 outcomes from:</w:t>
            </w:r>
          </w:p>
          <w:p w:rsidR="00EA4DDF" w:rsidRPr="00356C80" w:rsidRDefault="00EA4DDF" w:rsidP="00AB5A30">
            <w:pPr>
              <w:ind w:left="360" w:hanging="360"/>
              <w:rPr>
                <w:rFonts w:cs="Arial"/>
                <w:b/>
                <w:bCs/>
                <w:sz w:val="20"/>
              </w:rPr>
            </w:pPr>
          </w:p>
          <w:p w:rsidR="00D07044" w:rsidRDefault="00EA4DDF" w:rsidP="00EA4DDF">
            <w:pPr>
              <w:numPr>
                <w:ilvl w:val="0"/>
                <w:numId w:val="12"/>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rsidR="00EA4DDF" w:rsidRPr="00356C80" w:rsidRDefault="00EA4DDF" w:rsidP="00D07044">
            <w:pPr>
              <w:ind w:left="360"/>
              <w:rPr>
                <w:rFonts w:cs="Arial"/>
                <w:sz w:val="20"/>
              </w:rPr>
            </w:pPr>
            <w:r w:rsidRPr="00356C80">
              <w:rPr>
                <w:rFonts w:cs="Arial"/>
                <w:sz w:val="20"/>
              </w:rPr>
              <w:t xml:space="preserve"> </w:t>
            </w:r>
          </w:p>
          <w:p w:rsidR="00EA4DDF" w:rsidRDefault="00EA4DDF" w:rsidP="00EA4DDF">
            <w:pPr>
              <w:numPr>
                <w:ilvl w:val="0"/>
                <w:numId w:val="12"/>
              </w:numPr>
              <w:tabs>
                <w:tab w:val="clear" w:pos="720"/>
                <w:tab w:val="num" w:pos="360"/>
              </w:tabs>
              <w:ind w:left="360"/>
              <w:rPr>
                <w:rFonts w:cs="Arial"/>
                <w:sz w:val="20"/>
              </w:rPr>
            </w:pPr>
            <w:r w:rsidRPr="00356C80">
              <w:rPr>
                <w:rFonts w:cs="Arial"/>
                <w:sz w:val="20"/>
              </w:rPr>
              <w:t>Student Advisor observations / reports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Debriefing sessions following a field placement, clinical placement, or practicum</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5D66C4" w:rsidRPr="00356C80" w:rsidRDefault="005D66C4" w:rsidP="00AB5A30">
            <w:pPr>
              <w:rPr>
                <w:sz w:val="20"/>
                <w:lang w:val="en-CA"/>
              </w:rPr>
            </w:pPr>
          </w:p>
        </w:tc>
        <w:tc>
          <w:tcPr>
            <w:tcW w:w="6379" w:type="dxa"/>
          </w:tcPr>
          <w:p w:rsidR="00EA4DDF" w:rsidRDefault="00EA4DDF" w:rsidP="00AB5A30">
            <w:pPr>
              <w:rPr>
                <w:sz w:val="20"/>
                <w:lang w:val="en-CA"/>
              </w:rPr>
            </w:pPr>
          </w:p>
          <w:p w:rsidR="001C7198" w:rsidRDefault="001C7198" w:rsidP="001C7198">
            <w:pPr>
              <w:rPr>
                <w:sz w:val="20"/>
                <w:lang w:val="en-CA"/>
              </w:rPr>
            </w:pPr>
            <w:r>
              <w:rPr>
                <w:sz w:val="20"/>
                <w:lang w:val="en-CA"/>
              </w:rPr>
              <w:t>TBD if there are recent focus group feedback?</w:t>
            </w:r>
          </w:p>
          <w:p w:rsidR="001C7198" w:rsidRDefault="001C7198" w:rsidP="001C7198">
            <w:pPr>
              <w:rPr>
                <w:sz w:val="20"/>
                <w:lang w:val="en-CA"/>
              </w:rPr>
            </w:pPr>
          </w:p>
          <w:p w:rsidR="001C7198" w:rsidRPr="00BB2849" w:rsidRDefault="001C7198" w:rsidP="001C7198">
            <w:pPr>
              <w:rPr>
                <w:sz w:val="20"/>
                <w:lang w:val="en-CA"/>
              </w:rPr>
            </w:pPr>
            <w:r>
              <w:rPr>
                <w:sz w:val="20"/>
                <w:lang w:val="en-CA"/>
              </w:rPr>
              <w:t xml:space="preserve">Refer to </w:t>
            </w:r>
            <w:hyperlink r:id="rId17" w:history="1">
              <w:r w:rsidRPr="00CE1282">
                <w:rPr>
                  <w:rStyle w:val="Hyperlink"/>
                  <w:sz w:val="20"/>
                  <w:lang w:val="en-CA"/>
                </w:rPr>
                <w:t xml:space="preserve">2011 focus group feedback for </w:t>
              </w:r>
              <w:r>
                <w:rPr>
                  <w:rStyle w:val="Hyperlink"/>
                  <w:sz w:val="20"/>
                  <w:lang w:val="en-CA"/>
                </w:rPr>
                <w:t>INT</w:t>
              </w:r>
            </w:hyperlink>
          </w:p>
          <w:p w:rsidR="001C7198" w:rsidRDefault="001C7198" w:rsidP="001C7198">
            <w:pPr>
              <w:rPr>
                <w:sz w:val="20"/>
                <w:highlight w:val="yellow"/>
                <w:lang w:val="en-CA"/>
              </w:rPr>
            </w:pPr>
          </w:p>
          <w:p w:rsidR="001C7198" w:rsidRDefault="001C7198" w:rsidP="001C7198">
            <w:pPr>
              <w:rPr>
                <w:sz w:val="20"/>
                <w:lang w:val="en-CA"/>
              </w:rPr>
            </w:pPr>
            <w:r w:rsidRPr="00670AC4">
              <w:rPr>
                <w:sz w:val="20"/>
                <w:highlight w:val="yellow"/>
                <w:lang w:val="en-CA"/>
              </w:rPr>
              <w:t>Program team to populate any relevant advising observations or informal discussions here (e.g., common challenges, desired vocations/pathways, etc.)</w:t>
            </w:r>
            <w:r>
              <w:rPr>
                <w:sz w:val="20"/>
                <w:lang w:val="en-CA"/>
              </w:rPr>
              <w:t xml:space="preserve">  </w:t>
            </w:r>
          </w:p>
          <w:p w:rsidR="001C7198" w:rsidRPr="00356C80" w:rsidRDefault="001C7198" w:rsidP="00AB5A30">
            <w:pPr>
              <w:rPr>
                <w:sz w:val="20"/>
                <w:lang w:val="en-CA"/>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4.0 Employment Trends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D07044" w:rsidRPr="00356C80" w:rsidRDefault="00D07044" w:rsidP="00D07044">
            <w:pPr>
              <w:pStyle w:val="Title"/>
              <w:ind w:left="360"/>
              <w:jc w:val="left"/>
              <w:rPr>
                <w:rFonts w:ascii="Arial" w:hAnsi="Arial" w:cs="Arial"/>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lastRenderedPageBreak/>
              <w:t>Student preparedness for entry-level positions</w:t>
            </w:r>
          </w:p>
          <w:p w:rsidR="00D07044" w:rsidRDefault="00D07044" w:rsidP="00D07044">
            <w:pPr>
              <w:pStyle w:val="ListParagraph"/>
              <w:rPr>
                <w:rFonts w:cs="Arial"/>
                <w:sz w:val="20"/>
              </w:rPr>
            </w:pPr>
          </w:p>
          <w:p w:rsidR="00EA4DDF" w:rsidRPr="005D66C4" w:rsidRDefault="00EA4DDF" w:rsidP="00EA4DDF">
            <w:pPr>
              <w:numPr>
                <w:ilvl w:val="0"/>
                <w:numId w:val="10"/>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EA4DDF" w:rsidRPr="00356C80" w:rsidRDefault="00EA4DDF" w:rsidP="00AB5A30">
            <w:pPr>
              <w:rPr>
                <w:sz w:val="20"/>
                <w:lang w:val="en-CA"/>
              </w:rPr>
            </w:pPr>
          </w:p>
        </w:tc>
        <w:tc>
          <w:tcPr>
            <w:tcW w:w="6379" w:type="dxa"/>
            <w:tcMar>
              <w:top w:w="113" w:type="dxa"/>
              <w:bottom w:w="113" w:type="dxa"/>
            </w:tcMar>
          </w:tcPr>
          <w:p w:rsidR="00EA4DDF" w:rsidRPr="00356C80" w:rsidRDefault="00C34D9D" w:rsidP="00C34D9D">
            <w:pPr>
              <w:rPr>
                <w:lang w:val="en-CA"/>
              </w:rPr>
            </w:pPr>
            <w:r>
              <w:rPr>
                <w:lang w:val="en-CA"/>
              </w:rPr>
              <w:lastRenderedPageBreak/>
              <w:t xml:space="preserve"> Refer to library research: </w:t>
            </w:r>
            <w:hyperlink r:id="rId18" w:history="1">
              <w:r w:rsidRPr="00C34D9D">
                <w:rPr>
                  <w:rStyle w:val="Hyperlink"/>
                  <w:lang w:val="en-CA"/>
                </w:rPr>
                <w:t>EMSI Occupations for INT</w:t>
              </w:r>
            </w:hyperlink>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4.2 Other Graduate Destinations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3"/>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5D66C4" w:rsidRPr="00356C80" w:rsidRDefault="005D66C4" w:rsidP="005D66C4">
            <w:pPr>
              <w:pStyle w:val="Title"/>
              <w:jc w:val="left"/>
              <w:rPr>
                <w:rFonts w:ascii="Arial" w:hAnsi="Arial" w:cs="Arial"/>
                <w:sz w:val="20"/>
              </w:rPr>
            </w:pPr>
          </w:p>
        </w:tc>
        <w:tc>
          <w:tcPr>
            <w:tcW w:w="6379" w:type="dxa"/>
            <w:tcMar>
              <w:top w:w="113" w:type="dxa"/>
              <w:bottom w:w="113" w:type="dxa"/>
            </w:tcMar>
          </w:tcPr>
          <w:p w:rsidR="00EA4DDF" w:rsidRPr="00356C80" w:rsidRDefault="00EA4DDF" w:rsidP="00AB5A30">
            <w:pPr>
              <w:rPr>
                <w:lang w:val="en-CA"/>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5.0 Strategic Positioning</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Pr="00356C80">
              <w:rPr>
                <w:rFonts w:ascii="Arial" w:hAnsi="Arial" w:cs="Arial"/>
                <w:b/>
                <w:sz w:val="20"/>
              </w:rPr>
              <w:t>College Alignment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D07044" w:rsidRDefault="00EA4DDF" w:rsidP="00EA4DDF">
            <w:pPr>
              <w:pStyle w:val="Title"/>
              <w:numPr>
                <w:ilvl w:val="0"/>
                <w:numId w:val="13"/>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D07044" w:rsidRDefault="00D07044" w:rsidP="00D07044">
            <w:pPr>
              <w:pStyle w:val="Title"/>
              <w:ind w:left="360"/>
              <w:jc w:val="left"/>
              <w:rPr>
                <w:rFonts w:ascii="Arial" w:hAnsi="Arial" w:cs="Arial"/>
                <w:bCs/>
                <w:sz w:val="20"/>
              </w:rPr>
            </w:pPr>
          </w:p>
          <w:p w:rsidR="00EA4DDF" w:rsidRPr="00EB4375" w:rsidRDefault="00EA4DDF" w:rsidP="00EA4DDF">
            <w:pPr>
              <w:pStyle w:val="Title"/>
              <w:numPr>
                <w:ilvl w:val="0"/>
                <w:numId w:val="13"/>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EB4375" w:rsidRPr="00356C80" w:rsidRDefault="00EB4375" w:rsidP="00EB4375">
            <w:pPr>
              <w:pStyle w:val="Title"/>
              <w:jc w:val="left"/>
              <w:rPr>
                <w:rFonts w:cs="Arial"/>
                <w:sz w:val="20"/>
                <w:lang w:val="en-CA"/>
              </w:rPr>
            </w:pPr>
          </w:p>
        </w:tc>
        <w:tc>
          <w:tcPr>
            <w:tcW w:w="6379" w:type="dxa"/>
            <w:tcMar>
              <w:top w:w="113" w:type="dxa"/>
              <w:bottom w:w="113" w:type="dxa"/>
            </w:tcMar>
          </w:tcPr>
          <w:p w:rsidR="00EA4DDF" w:rsidRPr="00356C80" w:rsidRDefault="00EA4DDF" w:rsidP="00AB5A30">
            <w:pPr>
              <w:rPr>
                <w:rFonts w:cs="Arial"/>
                <w:szCs w:val="22"/>
                <w:lang w:val="en-CA"/>
              </w:rPr>
            </w:pPr>
          </w:p>
        </w:tc>
      </w:tr>
      <w:tr w:rsidR="00EA4DDF" w:rsidRPr="00356C80" w:rsidTr="00791E89">
        <w:trPr>
          <w:gridAfter w:val="1"/>
          <w:wAfter w:w="60" w:type="dxa"/>
          <w:trHeight w:val="1762"/>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5.2 Competitor Programs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2"/>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D07044" w:rsidRPr="00356C80" w:rsidRDefault="00D07044" w:rsidP="00D07044">
            <w:pPr>
              <w:pStyle w:val="Title"/>
              <w:ind w:left="360"/>
              <w:jc w:val="left"/>
              <w:rPr>
                <w:rFonts w:ascii="Arial" w:hAnsi="Arial" w:cs="Arial"/>
                <w:sz w:val="20"/>
              </w:rPr>
            </w:pPr>
          </w:p>
          <w:p w:rsidR="00EA4DDF" w:rsidRPr="00EB4375" w:rsidRDefault="00EA4DDF" w:rsidP="00EA4DDF">
            <w:pPr>
              <w:pStyle w:val="Title"/>
              <w:numPr>
                <w:ilvl w:val="0"/>
                <w:numId w:val="21"/>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EB4375" w:rsidRPr="00356C80" w:rsidRDefault="00EB4375" w:rsidP="00EB4375">
            <w:pPr>
              <w:pStyle w:val="Title"/>
              <w:jc w:val="left"/>
              <w:rPr>
                <w:rFonts w:ascii="Arial" w:hAnsi="Arial" w:cs="Arial"/>
                <w:b/>
                <w:sz w:val="20"/>
              </w:rPr>
            </w:pPr>
          </w:p>
        </w:tc>
        <w:tc>
          <w:tcPr>
            <w:tcW w:w="6379" w:type="dxa"/>
            <w:tcMar>
              <w:top w:w="113" w:type="dxa"/>
              <w:bottom w:w="113" w:type="dxa"/>
            </w:tcMar>
          </w:tcPr>
          <w:p w:rsidR="00251B7A" w:rsidRDefault="00251B7A" w:rsidP="00251B7A">
            <w:pPr>
              <w:rPr>
                <w:rFonts w:cs="Arial"/>
                <w:szCs w:val="22"/>
                <w:lang w:val="en-CA"/>
              </w:rPr>
            </w:pPr>
            <w:r w:rsidRPr="002F31C6">
              <w:rPr>
                <w:rFonts w:cs="Arial"/>
                <w:szCs w:val="22"/>
                <w:highlight w:val="yellow"/>
                <w:lang w:val="en-CA"/>
              </w:rPr>
              <w:t>&lt;</w:t>
            </w:r>
            <w:r>
              <w:rPr>
                <w:rFonts w:cs="Arial"/>
                <w:szCs w:val="22"/>
                <w:highlight w:val="yellow"/>
                <w:lang w:val="en-CA"/>
              </w:rPr>
              <w:t xml:space="preserve">Blane </w:t>
            </w:r>
            <w:r w:rsidRPr="002F31C6">
              <w:rPr>
                <w:rFonts w:cs="Arial"/>
                <w:szCs w:val="22"/>
                <w:highlight w:val="yellow"/>
                <w:lang w:val="en-CA"/>
              </w:rPr>
              <w:t>to comment on parallels and differences between Fleming programs and competitors&gt;</w:t>
            </w:r>
          </w:p>
          <w:p w:rsidR="00251B7A" w:rsidRDefault="00251B7A" w:rsidP="00251B7A">
            <w:pPr>
              <w:rPr>
                <w:rFonts w:cs="Arial"/>
                <w:szCs w:val="22"/>
                <w:lang w:val="en-CA"/>
              </w:rPr>
            </w:pPr>
          </w:p>
          <w:p w:rsidR="00251B7A" w:rsidRDefault="00251B7A" w:rsidP="00251B7A">
            <w:pPr>
              <w:rPr>
                <w:rFonts w:cs="Arial"/>
                <w:szCs w:val="22"/>
                <w:lang w:val="en-CA"/>
              </w:rPr>
            </w:pPr>
            <w:r>
              <w:rPr>
                <w:rFonts w:cs="Arial"/>
                <w:szCs w:val="22"/>
                <w:lang w:val="en-CA"/>
              </w:rPr>
              <w:t xml:space="preserve">Refer to the </w:t>
            </w:r>
            <w:hyperlink r:id="rId19" w:history="1">
              <w:r w:rsidRPr="002F31C6">
                <w:rPr>
                  <w:rStyle w:val="Hyperlink"/>
                  <w:rFonts w:cs="Arial"/>
                  <w:szCs w:val="22"/>
                  <w:lang w:val="en-CA"/>
                </w:rPr>
                <w:t xml:space="preserve">Library Research on </w:t>
              </w:r>
              <w:r>
                <w:rPr>
                  <w:rStyle w:val="Hyperlink"/>
                  <w:rFonts w:cs="Arial"/>
                  <w:szCs w:val="22"/>
                  <w:lang w:val="en-CA"/>
                </w:rPr>
                <w:t xml:space="preserve">INT </w:t>
              </w:r>
              <w:r w:rsidRPr="002F31C6">
                <w:rPr>
                  <w:rStyle w:val="Hyperlink"/>
                  <w:rFonts w:cs="Arial"/>
                  <w:szCs w:val="22"/>
                  <w:lang w:val="en-CA"/>
                </w:rPr>
                <w:t>Program Competitors</w:t>
              </w:r>
            </w:hyperlink>
            <w:r>
              <w:rPr>
                <w:rFonts w:cs="Arial"/>
                <w:szCs w:val="22"/>
                <w:lang w:val="en-CA"/>
              </w:rPr>
              <w:t xml:space="preserve"> (completed Spring 2015) for more information.  </w:t>
            </w:r>
          </w:p>
          <w:p w:rsidR="00251B7A" w:rsidRDefault="00251B7A" w:rsidP="00251B7A">
            <w:pPr>
              <w:rPr>
                <w:rFonts w:cs="Arial"/>
                <w:szCs w:val="22"/>
                <w:lang w:val="en-CA"/>
              </w:rPr>
            </w:pPr>
          </w:p>
          <w:p w:rsidR="00251B7A" w:rsidRDefault="00251B7A" w:rsidP="00251B7A">
            <w:pPr>
              <w:rPr>
                <w:rFonts w:cs="Arial"/>
                <w:szCs w:val="22"/>
                <w:lang w:val="en-CA"/>
              </w:rPr>
            </w:pPr>
            <w:r>
              <w:rPr>
                <w:rFonts w:cs="Arial"/>
                <w:szCs w:val="22"/>
                <w:lang w:val="en-CA"/>
              </w:rPr>
              <w:t xml:space="preserve">One unique “value-added” distinction is the dual diploma offering between EE and INT.  </w:t>
            </w:r>
          </w:p>
          <w:p w:rsidR="00EA4DDF" w:rsidRPr="00356C80" w:rsidRDefault="00EA4DDF" w:rsidP="00AB5A30">
            <w:pPr>
              <w:rPr>
                <w:rFonts w:cs="Arial"/>
                <w:szCs w:val="22"/>
                <w:lang w:val="en-CA"/>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6.0 Enrolment Trends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 xml:space="preserve">6.1 Demand for the Program </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D07044" w:rsidRPr="00356C80" w:rsidRDefault="00D07044" w:rsidP="00D07044">
            <w:pPr>
              <w:ind w:left="360"/>
              <w:rPr>
                <w:rFonts w:cs="Arial"/>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D07044" w:rsidRDefault="00D07044" w:rsidP="00D07044">
            <w:pPr>
              <w:pStyle w:val="ListParagraph"/>
              <w:rPr>
                <w:rFonts w:cs="Arial"/>
                <w:sz w:val="20"/>
              </w:rPr>
            </w:pPr>
          </w:p>
          <w:p w:rsidR="00EA4DDF" w:rsidRPr="00356C80" w:rsidRDefault="00EA4DDF" w:rsidP="00EA4DDF">
            <w:pPr>
              <w:numPr>
                <w:ilvl w:val="0"/>
                <w:numId w:val="14"/>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6379" w:type="dxa"/>
            <w:shd w:val="clear" w:color="auto" w:fill="auto"/>
            <w:tcMar>
              <w:top w:w="113" w:type="dxa"/>
              <w:bottom w:w="113" w:type="dxa"/>
            </w:tcMar>
          </w:tcPr>
          <w:p w:rsidR="0068366E" w:rsidRDefault="0068366E" w:rsidP="0068366E">
            <w:pPr>
              <w:rPr>
                <w:rFonts w:cs="Arial"/>
                <w:szCs w:val="22"/>
              </w:rPr>
            </w:pPr>
            <w:r>
              <w:rPr>
                <w:rFonts w:cs="Arial"/>
                <w:szCs w:val="22"/>
              </w:rPr>
              <w:t xml:space="preserve">Refer to </w:t>
            </w:r>
            <w:hyperlink r:id="rId20" w:history="1">
              <w:r w:rsidRPr="0068366E">
                <w:rPr>
                  <w:rStyle w:val="Hyperlink"/>
                  <w:rFonts w:cs="Arial"/>
                  <w:szCs w:val="22"/>
                </w:rPr>
                <w:t>Enrollment Data for INT</w:t>
              </w:r>
            </w:hyperlink>
          </w:p>
          <w:p w:rsidR="0068366E" w:rsidRDefault="0068366E" w:rsidP="0068366E">
            <w:pPr>
              <w:rPr>
                <w:rFonts w:cs="Arial"/>
                <w:szCs w:val="22"/>
              </w:rPr>
            </w:pPr>
          </w:p>
          <w:p w:rsidR="0068366E" w:rsidRDefault="0068366E" w:rsidP="0068366E">
            <w:pPr>
              <w:rPr>
                <w:rFonts w:cs="Arial"/>
                <w:sz w:val="20"/>
              </w:rPr>
            </w:pPr>
            <w:r>
              <w:rPr>
                <w:rFonts w:cs="Arial"/>
                <w:sz w:val="20"/>
                <w:highlight w:val="yellow"/>
              </w:rPr>
              <w:t>P</w:t>
            </w:r>
            <w:r w:rsidRPr="00A2181E">
              <w:rPr>
                <w:rFonts w:cs="Arial"/>
                <w:sz w:val="20"/>
                <w:highlight w:val="yellow"/>
              </w:rPr>
              <w:t xml:space="preserve">rogram team input to complete section </w:t>
            </w:r>
            <w:r>
              <w:rPr>
                <w:rFonts w:cs="Arial"/>
                <w:sz w:val="20"/>
                <w:highlight w:val="yellow"/>
              </w:rPr>
              <w:t xml:space="preserve">on </w:t>
            </w:r>
            <w:r w:rsidRPr="00A2181E">
              <w:rPr>
                <w:rFonts w:cs="Arial"/>
                <w:sz w:val="20"/>
                <w:highlight w:val="yellow"/>
              </w:rPr>
              <w:t>student demographic profile, including level of maturity, diversity, prior knowledge, technological literacy, work experience, and expectations</w:t>
            </w:r>
            <w:r w:rsidRPr="00356C80">
              <w:rPr>
                <w:rFonts w:cs="Arial"/>
                <w:sz w:val="20"/>
              </w:rPr>
              <w:t xml:space="preserve"> </w:t>
            </w:r>
          </w:p>
          <w:p w:rsidR="00EA4DDF" w:rsidRPr="00356C80" w:rsidRDefault="00EA4DDF" w:rsidP="00AB5A30">
            <w:pPr>
              <w:rPr>
                <w:rFonts w:cs="Arial"/>
                <w:b/>
                <w:szCs w:val="22"/>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6.2 Student Progression</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5"/>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rsidR="00D07044" w:rsidRPr="00356C80" w:rsidRDefault="00D07044" w:rsidP="00D07044">
            <w:pPr>
              <w:pStyle w:val="Title"/>
              <w:ind w:left="360"/>
              <w:jc w:val="left"/>
              <w:rPr>
                <w:rFonts w:ascii="Arial" w:hAnsi="Arial" w:cs="Arial"/>
                <w:sz w:val="20"/>
              </w:rPr>
            </w:pPr>
          </w:p>
          <w:p w:rsidR="005D66C4" w:rsidRPr="00356C80" w:rsidRDefault="00EA4DDF" w:rsidP="006F46E4">
            <w:pPr>
              <w:pStyle w:val="Title"/>
              <w:numPr>
                <w:ilvl w:val="0"/>
                <w:numId w:val="15"/>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9" w:type="dxa"/>
            <w:shd w:val="clear" w:color="auto" w:fill="auto"/>
            <w:tcMar>
              <w:top w:w="113" w:type="dxa"/>
              <w:bottom w:w="113" w:type="dxa"/>
            </w:tcMar>
          </w:tcPr>
          <w:p w:rsidR="00A96912" w:rsidRDefault="00A96912" w:rsidP="00A96912">
            <w:pPr>
              <w:rPr>
                <w:rFonts w:cs="Arial"/>
                <w:szCs w:val="22"/>
              </w:rPr>
            </w:pPr>
            <w:r>
              <w:rPr>
                <w:rFonts w:cs="Arial"/>
                <w:b/>
                <w:szCs w:val="22"/>
              </w:rPr>
              <w:t>INT</w:t>
            </w:r>
            <w:r w:rsidRPr="00F6348E">
              <w:rPr>
                <w:rFonts w:cs="Arial"/>
                <w:b/>
                <w:szCs w:val="22"/>
              </w:rPr>
              <w:t xml:space="preserve"> Retention</w:t>
            </w:r>
            <w:r>
              <w:rPr>
                <w:rFonts w:cs="Arial"/>
                <w:szCs w:val="22"/>
              </w:rPr>
              <w:t xml:space="preserve">: </w:t>
            </w:r>
            <w:r w:rsidRPr="00F6348E">
              <w:rPr>
                <w:rFonts w:cs="Arial"/>
                <w:szCs w:val="22"/>
              </w:rPr>
              <w:t>From 20</w:t>
            </w:r>
            <w:r>
              <w:rPr>
                <w:rFonts w:cs="Arial"/>
                <w:szCs w:val="22"/>
              </w:rPr>
              <w:t>10</w:t>
            </w:r>
            <w:r w:rsidRPr="00F6348E">
              <w:rPr>
                <w:rFonts w:cs="Arial"/>
                <w:szCs w:val="22"/>
              </w:rPr>
              <w:t>-2013, there has been a</w:t>
            </w:r>
            <w:r>
              <w:rPr>
                <w:rFonts w:cs="Arial"/>
                <w:szCs w:val="22"/>
              </w:rPr>
              <w:t>n 87</w:t>
            </w:r>
            <w:r w:rsidRPr="00F6348E">
              <w:rPr>
                <w:rFonts w:cs="Arial"/>
                <w:szCs w:val="22"/>
              </w:rPr>
              <w:t xml:space="preserve">% retention rate for </w:t>
            </w:r>
            <w:r>
              <w:rPr>
                <w:rFonts w:cs="Arial"/>
                <w:szCs w:val="22"/>
              </w:rPr>
              <w:t>INT f</w:t>
            </w:r>
            <w:r w:rsidRPr="00F6348E">
              <w:rPr>
                <w:rFonts w:cs="Arial"/>
                <w:szCs w:val="22"/>
              </w:rPr>
              <w:t xml:space="preserve">rom SEM1 to SEM2 and a retention rate of </w:t>
            </w:r>
            <w:r>
              <w:rPr>
                <w:rFonts w:cs="Arial"/>
                <w:szCs w:val="22"/>
              </w:rPr>
              <w:t>87</w:t>
            </w:r>
            <w:r w:rsidRPr="00F6348E">
              <w:rPr>
                <w:rFonts w:cs="Arial"/>
                <w:szCs w:val="22"/>
              </w:rPr>
              <w:t xml:space="preserve">% within the college. The 3 year average from 2011-2013 is </w:t>
            </w:r>
            <w:r>
              <w:rPr>
                <w:rFonts w:cs="Arial"/>
                <w:szCs w:val="22"/>
              </w:rPr>
              <w:t>also 87% (</w:t>
            </w:r>
            <w:r w:rsidRPr="00F6348E">
              <w:rPr>
                <w:rFonts w:cs="Arial"/>
                <w:szCs w:val="22"/>
              </w:rPr>
              <w:t xml:space="preserve">returned to SEM 2 </w:t>
            </w:r>
            <w:r>
              <w:rPr>
                <w:rFonts w:cs="Arial"/>
                <w:szCs w:val="22"/>
              </w:rPr>
              <w:t xml:space="preserve">and </w:t>
            </w:r>
            <w:r w:rsidRPr="00F6348E">
              <w:rPr>
                <w:rFonts w:cs="Arial"/>
                <w:szCs w:val="22"/>
              </w:rPr>
              <w:t>retained within the college</w:t>
            </w:r>
            <w:r>
              <w:rPr>
                <w:rFonts w:cs="Arial"/>
                <w:szCs w:val="22"/>
              </w:rPr>
              <w:t>).</w:t>
            </w:r>
          </w:p>
          <w:p w:rsidR="00A96912" w:rsidRDefault="00A96912" w:rsidP="00A96912">
            <w:pPr>
              <w:rPr>
                <w:rFonts w:cs="Arial"/>
                <w:szCs w:val="22"/>
              </w:rPr>
            </w:pPr>
          </w:p>
          <w:p w:rsidR="00A96912" w:rsidRDefault="00A96912" w:rsidP="00A96912">
            <w:pPr>
              <w:rPr>
                <w:rFonts w:cs="Arial"/>
                <w:szCs w:val="22"/>
              </w:rPr>
            </w:pPr>
            <w:r>
              <w:rPr>
                <w:rFonts w:cs="Arial"/>
                <w:szCs w:val="22"/>
              </w:rPr>
              <w:t xml:space="preserve">Refer to the </w:t>
            </w:r>
            <w:hyperlink r:id="rId21" w:history="1">
              <w:r w:rsidRPr="005129FD">
                <w:rPr>
                  <w:rStyle w:val="Hyperlink"/>
                  <w:rFonts w:cs="Arial"/>
                  <w:szCs w:val="22"/>
                </w:rPr>
                <w:t>2014 FDR report on retention</w:t>
              </w:r>
            </w:hyperlink>
            <w:r>
              <w:rPr>
                <w:rFonts w:cs="Arial"/>
                <w:szCs w:val="22"/>
              </w:rPr>
              <w:t xml:space="preserve"> for any additional details.</w:t>
            </w:r>
          </w:p>
          <w:p w:rsidR="00EA4DDF" w:rsidRPr="00356C80" w:rsidRDefault="00EA4DDF" w:rsidP="00AB5A30">
            <w:pPr>
              <w:rPr>
                <w:rFonts w:cs="Arial"/>
                <w:b/>
                <w:sz w:val="28"/>
                <w:szCs w:val="28"/>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5D66C4" w:rsidP="00AB5A30">
            <w:pPr>
              <w:tabs>
                <w:tab w:val="left" w:pos="72"/>
              </w:tabs>
              <w:rPr>
                <w:rFonts w:cs="Arial"/>
                <w:b/>
              </w:rPr>
            </w:pPr>
            <w:r>
              <w:rPr>
                <w:rFonts w:cs="Arial"/>
                <w:b/>
              </w:rPr>
              <w:t>7</w:t>
            </w:r>
            <w:r w:rsidR="00EA4DDF" w:rsidRPr="00356C80">
              <w:rPr>
                <w:rFonts w:cs="Arial"/>
                <w:b/>
              </w:rPr>
              <w:t>.0 External Relations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EA4DDF" w:rsidRDefault="00EA4DDF" w:rsidP="00AB5A30">
            <w:pPr>
              <w:pStyle w:val="Title"/>
              <w:jc w:val="left"/>
              <w:rPr>
                <w:rFonts w:cs="Arial"/>
                <w:b/>
                <w:sz w:val="20"/>
              </w:rPr>
            </w:pPr>
          </w:p>
          <w:p w:rsidR="00EB4375" w:rsidRPr="00356C80" w:rsidRDefault="00EB4375" w:rsidP="00AB5A30">
            <w:pPr>
              <w:pStyle w:val="Title"/>
              <w:jc w:val="left"/>
              <w:rPr>
                <w:rFonts w:cs="Arial"/>
                <w:b/>
                <w:sz w:val="20"/>
              </w:rPr>
            </w:pPr>
          </w:p>
        </w:tc>
        <w:tc>
          <w:tcPr>
            <w:tcW w:w="6379" w:type="dxa"/>
            <w:shd w:val="clear" w:color="auto" w:fill="auto"/>
            <w:tcMar>
              <w:top w:w="113" w:type="dxa"/>
              <w:bottom w:w="113" w:type="dxa"/>
            </w:tcMar>
          </w:tcPr>
          <w:p w:rsidR="00EA4DDF" w:rsidRPr="00356C80" w:rsidRDefault="00EA4DDF" w:rsidP="00AB5A30">
            <w:pPr>
              <w:rPr>
                <w:rFonts w:cs="Arial"/>
                <w:b/>
                <w:sz w:val="28"/>
                <w:szCs w:val="28"/>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7.2 Community Relations</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7"/>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rsidR="006F46E4" w:rsidRPr="00356C80" w:rsidRDefault="006F46E4" w:rsidP="006F46E4">
            <w:pPr>
              <w:ind w:left="360"/>
              <w:rPr>
                <w:rFonts w:cs="Arial"/>
                <w:sz w:val="20"/>
              </w:rPr>
            </w:pPr>
          </w:p>
          <w:p w:rsidR="00EA4DDF" w:rsidRPr="006F46E4" w:rsidRDefault="00EA4DDF" w:rsidP="00EA4DDF">
            <w:pPr>
              <w:numPr>
                <w:ilvl w:val="0"/>
                <w:numId w:val="17"/>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rsidR="006F46E4" w:rsidRPr="00356C80" w:rsidRDefault="006F46E4" w:rsidP="006F46E4">
            <w:pPr>
              <w:ind w:left="360"/>
              <w:rPr>
                <w:rFonts w:cs="Arial"/>
                <w:sz w:val="20"/>
              </w:rPr>
            </w:pPr>
          </w:p>
          <w:p w:rsidR="00EA4DDF" w:rsidRPr="00356C80" w:rsidRDefault="00EA4DDF" w:rsidP="005D66C4">
            <w:pPr>
              <w:numPr>
                <w:ilvl w:val="0"/>
                <w:numId w:val="17"/>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6379" w:type="dxa"/>
            <w:shd w:val="clear" w:color="auto" w:fill="auto"/>
            <w:tcMar>
              <w:top w:w="113" w:type="dxa"/>
              <w:bottom w:w="113" w:type="dxa"/>
            </w:tcMar>
          </w:tcPr>
          <w:p w:rsidR="00EA4DDF" w:rsidRPr="00356C80" w:rsidRDefault="00EA4DDF" w:rsidP="00AB5A30">
            <w:pPr>
              <w:rPr>
                <w:rFonts w:cs="Arial"/>
                <w:b/>
                <w:sz w:val="28"/>
                <w:szCs w:val="28"/>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7.3 Program Advisory Committee</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rsidR="006F46E4" w:rsidRPr="00356C80" w:rsidRDefault="006F46E4" w:rsidP="006F46E4">
            <w:pPr>
              <w:autoSpaceDE w:val="0"/>
              <w:autoSpaceDN w:val="0"/>
              <w:adjustRightInd w:val="0"/>
              <w:ind w:left="360"/>
              <w:rPr>
                <w:rFonts w:cs="Arial"/>
                <w:sz w:val="20"/>
                <w:lang w:val="en-CA" w:eastAsia="en-CA"/>
              </w:rPr>
            </w:pPr>
          </w:p>
          <w:p w:rsidR="00EA4DDF" w:rsidRPr="00356C80"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EA4DDF" w:rsidRPr="00356C80" w:rsidRDefault="00EA4DDF" w:rsidP="00EA4DDF">
            <w:pPr>
              <w:numPr>
                <w:ilvl w:val="0"/>
                <w:numId w:val="24"/>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rsidR="005D66C4" w:rsidRDefault="005D66C4" w:rsidP="00AB5A30">
            <w:pPr>
              <w:pStyle w:val="Title"/>
              <w:jc w:val="left"/>
              <w:rPr>
                <w:rFonts w:ascii="Tahoma" w:hAnsi="Tahoma" w:cs="Tahoma"/>
                <w:lang w:val="en-CA" w:eastAsia="en-CA"/>
              </w:rPr>
            </w:pPr>
          </w:p>
          <w:p w:rsidR="00EA4DDF" w:rsidRPr="00356C80" w:rsidRDefault="00EA4DDF" w:rsidP="00AB5A30">
            <w:pPr>
              <w:pStyle w:val="Title"/>
              <w:jc w:val="left"/>
              <w:rPr>
                <w:rFonts w:ascii="Arial" w:hAnsi="Arial" w:cs="Arial"/>
                <w:b/>
                <w:sz w:val="20"/>
              </w:rPr>
            </w:pPr>
            <w:r w:rsidRPr="00356C80">
              <w:rPr>
                <w:rFonts w:ascii="Tahoma" w:hAnsi="Tahoma" w:cs="Tahoma"/>
                <w:lang w:val="en-CA" w:eastAsia="en-CA"/>
              </w:rPr>
              <w:t xml:space="preserve"> </w:t>
            </w:r>
          </w:p>
        </w:tc>
        <w:tc>
          <w:tcPr>
            <w:tcW w:w="6379" w:type="dxa"/>
            <w:shd w:val="clear" w:color="auto" w:fill="auto"/>
            <w:tcMar>
              <w:top w:w="113" w:type="dxa"/>
              <w:bottom w:w="113" w:type="dxa"/>
            </w:tcMar>
          </w:tcPr>
          <w:p w:rsidR="00EA4DDF" w:rsidRPr="00356C80" w:rsidRDefault="00EA4DDF" w:rsidP="00AB5A30">
            <w:pPr>
              <w:rPr>
                <w:rFonts w:cs="Arial"/>
                <w:b/>
                <w:sz w:val="28"/>
                <w:szCs w:val="28"/>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 xml:space="preserve">8.0 Program Resources </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rsidR="00EA4DDF" w:rsidRPr="00356C80" w:rsidRDefault="00EA4DDF" w:rsidP="00AB5A30">
            <w:pPr>
              <w:pStyle w:val="Title"/>
              <w:ind w:left="360" w:hanging="360"/>
              <w:jc w:val="left"/>
              <w:rPr>
                <w:rFonts w:ascii="Arial" w:hAnsi="Arial" w:cs="Arial"/>
                <w:b/>
                <w:sz w:val="20"/>
              </w:rPr>
            </w:pPr>
          </w:p>
          <w:p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rsidR="00EA4DDF" w:rsidRPr="00356C80" w:rsidRDefault="00EA4DDF" w:rsidP="00AB5A30">
            <w:pPr>
              <w:pStyle w:val="Title"/>
              <w:ind w:left="360" w:hanging="360"/>
              <w:jc w:val="left"/>
              <w:rPr>
                <w:rFonts w:ascii="Arial" w:hAnsi="Arial" w:cs="Arial"/>
                <w:b/>
                <w:bCs/>
                <w:sz w:val="20"/>
              </w:rPr>
            </w:pPr>
          </w:p>
          <w:p w:rsidR="00EA4DDF" w:rsidRDefault="00EA4DDF" w:rsidP="00EA4DDF">
            <w:pPr>
              <w:pStyle w:val="Title"/>
              <w:numPr>
                <w:ilvl w:val="0"/>
                <w:numId w:val="18"/>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rsidR="006F46E4" w:rsidRPr="00356C80" w:rsidRDefault="006F46E4" w:rsidP="006F46E4">
            <w:pPr>
              <w:pStyle w:val="Title"/>
              <w:ind w:left="360"/>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 xml:space="preserve">Profile of the Dean, faculty, and staff associated with the program including cumulative credentials, scholarship, work-related and teaching experience, and expertise in education </w:t>
            </w:r>
          </w:p>
          <w:p w:rsidR="006F46E4" w:rsidRDefault="006F46E4" w:rsidP="006F46E4">
            <w:pPr>
              <w:pStyle w:val="ListParagraph"/>
              <w:rPr>
                <w:rFonts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 xml:space="preserve">Significant faculty or staff accomplishments such as professional recognition and awards, achievement of credentials, and </w:t>
            </w:r>
            <w:r w:rsidRPr="00356C80">
              <w:rPr>
                <w:rFonts w:ascii="Arial" w:hAnsi="Arial" w:cs="Arial"/>
                <w:sz w:val="20"/>
              </w:rPr>
              <w:lastRenderedPageBreak/>
              <w:t>appointments</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Contributions to the professional community or industry by program-associated faculty and staff including board / committee service, research, and presentations / publications</w:t>
            </w:r>
          </w:p>
          <w:p w:rsidR="006F46E4" w:rsidRDefault="006F46E4" w:rsidP="006F46E4">
            <w:pPr>
              <w:pStyle w:val="ListParagraph"/>
              <w:rPr>
                <w:rFonts w:cs="Arial"/>
                <w:sz w:val="20"/>
              </w:rPr>
            </w:pPr>
          </w:p>
          <w:p w:rsidR="00EA4DDF" w:rsidRPr="006F46E4" w:rsidRDefault="00EA4DDF" w:rsidP="00AB5A30">
            <w:pPr>
              <w:pStyle w:val="Title"/>
              <w:numPr>
                <w:ilvl w:val="0"/>
                <w:numId w:val="18"/>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w:t>
            </w:r>
            <w:proofErr w:type="gramStart"/>
            <w:r w:rsidRPr="00356C80">
              <w:rPr>
                <w:rFonts w:ascii="Arial" w:hAnsi="Arial" w:cs="Arial"/>
                <w:sz w:val="20"/>
              </w:rPr>
              <w:t>numbers</w:t>
            </w:r>
            <w:proofErr w:type="gramEnd"/>
            <w:r w:rsidRPr="00356C80">
              <w:rPr>
                <w:rFonts w:ascii="Arial" w:hAnsi="Arial" w:cs="Arial"/>
                <w:sz w:val="20"/>
              </w:rPr>
              <w:t>, curriculum, delivery modes and areas of specialization / generalization</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rsidR="006F46E4" w:rsidRPr="00356C80" w:rsidRDefault="006F46E4" w:rsidP="006F46E4">
            <w:pPr>
              <w:pStyle w:val="Title"/>
              <w:ind w:left="360"/>
              <w:jc w:val="left"/>
              <w:rPr>
                <w:rFonts w:ascii="Arial" w:hAnsi="Arial" w:cs="Arial"/>
                <w:sz w:val="20"/>
              </w:rPr>
            </w:pPr>
          </w:p>
          <w:p w:rsidR="00EA4DDF" w:rsidRPr="00356C80" w:rsidRDefault="00EA4DDF" w:rsidP="00EA4DDF">
            <w:pPr>
              <w:pStyle w:val="Title"/>
              <w:numPr>
                <w:ilvl w:val="0"/>
                <w:numId w:val="18"/>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rsidR="00EA4DDF" w:rsidRPr="00356C80" w:rsidRDefault="00EA4DDF" w:rsidP="00AB5A30">
            <w:pPr>
              <w:tabs>
                <w:tab w:val="left" w:pos="0"/>
              </w:tabs>
              <w:ind w:left="360" w:hanging="360"/>
              <w:rPr>
                <w:rFonts w:cs="Arial"/>
                <w:b/>
                <w:sz w:val="20"/>
              </w:rPr>
            </w:pPr>
          </w:p>
        </w:tc>
        <w:tc>
          <w:tcPr>
            <w:tcW w:w="6379" w:type="dxa"/>
            <w:shd w:val="clear" w:color="auto" w:fill="auto"/>
            <w:tcMar>
              <w:top w:w="113" w:type="dxa"/>
              <w:bottom w:w="113" w:type="dxa"/>
            </w:tcMar>
          </w:tcPr>
          <w:p w:rsidR="00EA4DDF" w:rsidRPr="00356C80" w:rsidRDefault="00EA4DDF" w:rsidP="00AB5A30">
            <w:pPr>
              <w:ind w:left="360" w:hanging="360"/>
              <w:rPr>
                <w:rFonts w:cs="Arial"/>
                <w:b/>
                <w:szCs w:val="22"/>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ind w:left="360" w:hanging="360"/>
              <w:rPr>
                <w:rFonts w:cs="Arial"/>
                <w:b/>
                <w:sz w:val="20"/>
              </w:rPr>
            </w:pPr>
            <w:r w:rsidRPr="00356C80">
              <w:rPr>
                <w:rFonts w:cs="Arial"/>
                <w:b/>
                <w:sz w:val="20"/>
              </w:rPr>
              <w:lastRenderedPageBreak/>
              <w:t>8.2 Physical Resources</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w:t>
            </w:r>
          </w:p>
          <w:p w:rsidR="00EA4DDF" w:rsidRPr="00356C80" w:rsidRDefault="00EA4DDF" w:rsidP="00AB5A30">
            <w:pPr>
              <w:ind w:left="360" w:hanging="360"/>
              <w:rPr>
                <w:rFonts w:cs="Arial"/>
                <w:b/>
                <w:bCs/>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costing information</w:t>
            </w:r>
          </w:p>
          <w:p w:rsidR="006F46E4" w:rsidRPr="00356C80" w:rsidRDefault="006F46E4" w:rsidP="006F46E4">
            <w:pPr>
              <w:ind w:left="360"/>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rsidR="006F46E4" w:rsidRDefault="006F46E4" w:rsidP="006F46E4">
            <w:pPr>
              <w:pStyle w:val="ListParagraph"/>
              <w:rPr>
                <w:rFonts w:cs="Arial"/>
                <w:sz w:val="20"/>
              </w:rPr>
            </w:pPr>
          </w:p>
          <w:p w:rsidR="00EA4DDF" w:rsidRDefault="00EA4DDF" w:rsidP="00EA4DDF">
            <w:pPr>
              <w:numPr>
                <w:ilvl w:val="0"/>
                <w:numId w:val="19"/>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rsidR="006F46E4" w:rsidRDefault="006F46E4" w:rsidP="006F46E4">
            <w:pPr>
              <w:pStyle w:val="ListParagraph"/>
              <w:rPr>
                <w:rFonts w:cs="Arial"/>
                <w:sz w:val="20"/>
              </w:rPr>
            </w:pPr>
          </w:p>
          <w:p w:rsidR="00EA4DDF" w:rsidRPr="00356C80" w:rsidRDefault="00EA4DDF" w:rsidP="00EA4DDF">
            <w:pPr>
              <w:numPr>
                <w:ilvl w:val="0"/>
                <w:numId w:val="19"/>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6379" w:type="dxa"/>
            <w:shd w:val="clear" w:color="auto" w:fill="auto"/>
            <w:tcMar>
              <w:top w:w="113" w:type="dxa"/>
              <w:bottom w:w="113" w:type="dxa"/>
            </w:tcMar>
          </w:tcPr>
          <w:p w:rsidR="00EA4DDF" w:rsidRPr="00356C80" w:rsidRDefault="00EA4DDF" w:rsidP="00AB5A30">
            <w:pPr>
              <w:ind w:left="360" w:hanging="360"/>
              <w:rPr>
                <w:rFonts w:cs="Arial"/>
                <w:b/>
                <w:szCs w:val="22"/>
              </w:rPr>
            </w:pP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EA4DDF" w:rsidRPr="00CA49A8" w:rsidRDefault="00EA4DDF" w:rsidP="00EA4DDF">
      <w:pPr>
        <w:rPr>
          <w:rFonts w:cs="Arial"/>
          <w:b/>
        </w:rPr>
        <w:sectPr w:rsidR="00EA4DDF" w:rsidRPr="00CA49A8" w:rsidSect="00EB4375">
          <w:headerReference w:type="default" r:id="rId22"/>
          <w:footerReference w:type="even" r:id="rId23"/>
          <w:footerReference w:type="default" r:id="rId24"/>
          <w:pgSz w:w="15840" w:h="12240" w:orient="landscape"/>
          <w:pgMar w:top="851" w:right="1440" w:bottom="851" w:left="1560" w:header="709" w:footer="709" w:gutter="0"/>
          <w:cols w:space="708"/>
          <w:docGrid w:linePitch="360"/>
        </w:sectPr>
      </w:pPr>
    </w:p>
    <w:p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EA4DDF" w:rsidRDefault="00EA4DDF" w:rsidP="00EA4DDF">
      <w:pPr>
        <w:rPr>
          <w:rFonts w:cs="Arial"/>
          <w:b/>
        </w:rPr>
      </w:pPr>
    </w:p>
    <w:p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85"/>
        <w:gridCol w:w="1857"/>
        <w:gridCol w:w="1438"/>
      </w:tblGrid>
      <w:tr w:rsidR="00EA4DDF" w:rsidRPr="00356C80" w:rsidTr="00091F51">
        <w:tc>
          <w:tcPr>
            <w:tcW w:w="5885"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p>
          <w:p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rsidR="00EA4DDF" w:rsidRPr="00356C80" w:rsidRDefault="00EA4DDF" w:rsidP="00AB5A30">
            <w:pPr>
              <w:pStyle w:val="Title"/>
              <w:rPr>
                <w:rFonts w:ascii="Arial" w:hAnsi="Arial" w:cs="Arial"/>
                <w:b/>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438"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360EEA" w:rsidRDefault="000715B2" w:rsidP="00AB5A30">
            <w:pPr>
              <w:pStyle w:val="Title"/>
              <w:jc w:val="left"/>
              <w:rPr>
                <w:rFonts w:ascii="Arial" w:hAnsi="Arial" w:cs="Arial"/>
                <w:b/>
                <w:sz w:val="20"/>
              </w:rPr>
            </w:pPr>
          </w:p>
          <w:p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p>
        </w:tc>
      </w:tr>
      <w:tr w:rsidR="00091F51" w:rsidRPr="00356C80" w:rsidTr="00091F51">
        <w:tc>
          <w:tcPr>
            <w:tcW w:w="5885"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0"/>
              </w:rPr>
            </w:pPr>
          </w:p>
          <w:p w:rsidR="00091F51" w:rsidRDefault="00091F51" w:rsidP="00091F51">
            <w:pPr>
              <w:pStyle w:val="Title"/>
              <w:jc w:val="left"/>
              <w:rPr>
                <w:rFonts w:ascii="Arial" w:hAnsi="Arial" w:cs="Arial"/>
                <w:b/>
                <w:sz w:val="20"/>
              </w:rPr>
            </w:pPr>
            <w:r>
              <w:rPr>
                <w:rFonts w:ascii="Arial" w:hAnsi="Arial" w:cs="Arial"/>
                <w:b/>
                <w:sz w:val="20"/>
              </w:rPr>
              <w:t xml:space="preserve">Revise core courses and hours as appropriate to 1. Reduce program hours, 2. Refresh and update course content, 3. Integrate topics between courses, 4. Remove unnecessary and outdated content in core courses.  </w:t>
            </w:r>
          </w:p>
          <w:p w:rsidR="00091F51" w:rsidRDefault="00091F51" w:rsidP="00091F51">
            <w:pPr>
              <w:pStyle w:val="Title"/>
              <w:jc w:val="left"/>
              <w:rPr>
                <w:rFonts w:ascii="Arial" w:hAnsi="Arial" w:cs="Arial"/>
                <w:b/>
                <w:sz w:val="20"/>
              </w:rPr>
            </w:pPr>
          </w:p>
          <w:p w:rsidR="00091F51" w:rsidRDefault="00091F51" w:rsidP="00091F51">
            <w:pPr>
              <w:pStyle w:val="Title"/>
              <w:jc w:val="left"/>
              <w:rPr>
                <w:rFonts w:ascii="Arial" w:hAnsi="Arial" w:cs="Arial"/>
                <w:b/>
                <w:sz w:val="20"/>
              </w:rPr>
            </w:pPr>
            <w:r>
              <w:rPr>
                <w:rFonts w:ascii="Arial" w:hAnsi="Arial" w:cs="Arial"/>
                <w:b/>
                <w:sz w:val="20"/>
              </w:rPr>
              <w:t xml:space="preserve">See </w:t>
            </w:r>
            <w:hyperlink r:id="rId25" w:history="1">
              <w:r w:rsidRPr="00CD60D5">
                <w:rPr>
                  <w:rStyle w:val="Hyperlink"/>
                  <w:rFonts w:ascii="Arial" w:hAnsi="Arial" w:cs="Arial"/>
                  <w:b/>
                  <w:sz w:val="20"/>
                </w:rPr>
                <w:t>proposed curriculum</w:t>
              </w:r>
            </w:hyperlink>
            <w:r>
              <w:rPr>
                <w:rFonts w:ascii="Arial" w:hAnsi="Arial" w:cs="Arial"/>
                <w:b/>
                <w:sz w:val="20"/>
              </w:rPr>
              <w:t xml:space="preserve"> for implementation in fall 2016 for EE </w:t>
            </w:r>
          </w:p>
          <w:p w:rsidR="00091F51" w:rsidRDefault="00091F51" w:rsidP="00091F51">
            <w:pPr>
              <w:pStyle w:val="Title"/>
              <w:jc w:val="left"/>
              <w:rPr>
                <w:rFonts w:ascii="Arial" w:hAnsi="Arial" w:cs="Arial"/>
                <w:b/>
                <w:sz w:val="20"/>
              </w:rPr>
            </w:pPr>
          </w:p>
          <w:p w:rsidR="00091F51" w:rsidRDefault="00091F51" w:rsidP="00091F51">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r>
              <w:rPr>
                <w:rFonts w:ascii="Arial" w:hAnsi="Arial" w:cs="Arial"/>
                <w:b/>
                <w:sz w:val="22"/>
                <w:szCs w:val="22"/>
              </w:rPr>
              <w:t>Program Coordinators; Program Team;</w:t>
            </w:r>
          </w:p>
          <w:p w:rsidR="00091F51" w:rsidRDefault="00091F51" w:rsidP="00091F51">
            <w:pPr>
              <w:pStyle w:val="Title"/>
              <w:jc w:val="left"/>
              <w:rPr>
                <w:rFonts w:ascii="Arial" w:hAnsi="Arial" w:cs="Arial"/>
                <w:b/>
                <w:sz w:val="22"/>
                <w:szCs w:val="22"/>
              </w:rPr>
            </w:pPr>
            <w:r>
              <w:rPr>
                <w:rFonts w:ascii="Arial" w:hAnsi="Arial" w:cs="Arial"/>
                <w:b/>
                <w:sz w:val="22"/>
                <w:szCs w:val="22"/>
              </w:rPr>
              <w:t>Dean and Chair to approve changes</w:t>
            </w:r>
          </w:p>
        </w:tc>
        <w:tc>
          <w:tcPr>
            <w:tcW w:w="1438"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r>
              <w:rPr>
                <w:rFonts w:ascii="Arial" w:hAnsi="Arial" w:cs="Arial"/>
                <w:b/>
                <w:sz w:val="22"/>
                <w:szCs w:val="22"/>
              </w:rPr>
              <w:t>Spring Development Time 2015 (for SEM1 and SEM2);</w:t>
            </w:r>
          </w:p>
          <w:p w:rsidR="00091F51" w:rsidRDefault="00091F51" w:rsidP="00091F51">
            <w:pPr>
              <w:pStyle w:val="Title"/>
              <w:jc w:val="left"/>
              <w:rPr>
                <w:rFonts w:ascii="Arial" w:hAnsi="Arial" w:cs="Arial"/>
                <w:b/>
                <w:sz w:val="22"/>
                <w:szCs w:val="22"/>
              </w:rPr>
            </w:pPr>
          </w:p>
          <w:p w:rsidR="00091F51" w:rsidRDefault="00091F51" w:rsidP="00091F51">
            <w:pPr>
              <w:pStyle w:val="Title"/>
              <w:jc w:val="left"/>
              <w:rPr>
                <w:rFonts w:ascii="Arial" w:hAnsi="Arial" w:cs="Arial"/>
                <w:b/>
                <w:sz w:val="22"/>
                <w:szCs w:val="22"/>
              </w:rPr>
            </w:pPr>
            <w:r>
              <w:rPr>
                <w:rFonts w:ascii="Arial" w:hAnsi="Arial" w:cs="Arial"/>
                <w:b/>
                <w:sz w:val="22"/>
                <w:szCs w:val="22"/>
              </w:rPr>
              <w:t>Spring 2016 for SEM3 and SEM4)</w:t>
            </w:r>
          </w:p>
        </w:tc>
      </w:tr>
      <w:tr w:rsidR="00091F51" w:rsidRPr="00356C80" w:rsidTr="00091F51">
        <w:tc>
          <w:tcPr>
            <w:tcW w:w="5885"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0"/>
              </w:rPr>
            </w:pPr>
            <w:r>
              <w:rPr>
                <w:rFonts w:ascii="Arial" w:hAnsi="Arial" w:cs="Arial"/>
                <w:b/>
                <w:sz w:val="20"/>
              </w:rPr>
              <w:t xml:space="preserve">Based on approved changes to core courses and curriculum: revise course descriptions, indicate any delivery pattern changes on grids, check pre- and co-requisites, and make sure correct updated information is reflected in external web description for prospective students. </w:t>
            </w:r>
          </w:p>
        </w:tc>
        <w:tc>
          <w:tcPr>
            <w:tcW w:w="1857"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r>
              <w:rPr>
                <w:rFonts w:ascii="Arial" w:hAnsi="Arial" w:cs="Arial"/>
                <w:b/>
                <w:sz w:val="22"/>
                <w:szCs w:val="22"/>
              </w:rPr>
              <w:t>Program Coordinators; Program Team;</w:t>
            </w:r>
          </w:p>
          <w:p w:rsidR="00091F51" w:rsidRDefault="00091F51" w:rsidP="00091F51">
            <w:pPr>
              <w:pStyle w:val="Title"/>
              <w:jc w:val="left"/>
              <w:rPr>
                <w:rFonts w:ascii="Arial" w:hAnsi="Arial" w:cs="Arial"/>
                <w:b/>
                <w:sz w:val="22"/>
                <w:szCs w:val="22"/>
              </w:rPr>
            </w:pPr>
            <w:r>
              <w:rPr>
                <w:rFonts w:ascii="Arial" w:hAnsi="Arial" w:cs="Arial"/>
                <w:b/>
                <w:sz w:val="22"/>
                <w:szCs w:val="22"/>
              </w:rPr>
              <w:t>Dean and Chair to approve changes</w:t>
            </w:r>
          </w:p>
        </w:tc>
        <w:tc>
          <w:tcPr>
            <w:tcW w:w="1438"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r>
              <w:rPr>
                <w:rFonts w:ascii="Arial" w:hAnsi="Arial" w:cs="Arial"/>
                <w:b/>
                <w:sz w:val="22"/>
                <w:szCs w:val="22"/>
              </w:rPr>
              <w:t>Changes MUST be sent to AO according to internal timelines</w:t>
            </w:r>
          </w:p>
        </w:tc>
      </w:tr>
      <w:tr w:rsidR="00091F51" w:rsidRPr="00356C80" w:rsidTr="00091F51">
        <w:tc>
          <w:tcPr>
            <w:tcW w:w="5885"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0"/>
              </w:rPr>
            </w:pPr>
            <w:r>
              <w:rPr>
                <w:rFonts w:ascii="Arial" w:hAnsi="Arial" w:cs="Arial"/>
                <w:b/>
                <w:sz w:val="20"/>
              </w:rPr>
              <w:t xml:space="preserve">Adjust MATH122 and 123 topic sequencing and depth based on ETQ/EE/INT coordinators and program team feedback. Students are typically weak in MATH and lack ability to apply previously learnt concepts. Team requested that all testing be cumulative with the recognition that more students may fail as a result  </w:t>
            </w:r>
          </w:p>
          <w:p w:rsidR="00091F51" w:rsidRPr="00356C80" w:rsidRDefault="00091F51" w:rsidP="00091F51">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91F51" w:rsidRPr="00356C80" w:rsidRDefault="00091F51" w:rsidP="00091F51">
            <w:pPr>
              <w:pStyle w:val="Title"/>
              <w:jc w:val="left"/>
              <w:rPr>
                <w:rFonts w:ascii="Arial" w:hAnsi="Arial" w:cs="Arial"/>
                <w:b/>
                <w:sz w:val="22"/>
                <w:szCs w:val="22"/>
              </w:rPr>
            </w:pPr>
            <w:r>
              <w:rPr>
                <w:rFonts w:ascii="Arial" w:hAnsi="Arial" w:cs="Arial"/>
                <w:b/>
                <w:sz w:val="22"/>
                <w:szCs w:val="22"/>
              </w:rPr>
              <w:t xml:space="preserve">GAS Math Faculty – Soobia Siddiqui; Clive </w:t>
            </w:r>
            <w:proofErr w:type="spellStart"/>
            <w:r>
              <w:rPr>
                <w:rFonts w:ascii="Arial" w:hAnsi="Arial" w:cs="Arial"/>
                <w:b/>
                <w:sz w:val="22"/>
                <w:szCs w:val="22"/>
              </w:rPr>
              <w:t>Russel</w:t>
            </w:r>
            <w:proofErr w:type="spellEnd"/>
          </w:p>
        </w:tc>
        <w:tc>
          <w:tcPr>
            <w:tcW w:w="1438" w:type="dxa"/>
            <w:tcBorders>
              <w:top w:val="single" w:sz="4" w:space="0" w:color="auto"/>
              <w:left w:val="single" w:sz="4" w:space="0" w:color="auto"/>
              <w:bottom w:val="single" w:sz="4" w:space="0" w:color="auto"/>
              <w:right w:val="single" w:sz="4" w:space="0" w:color="auto"/>
            </w:tcBorders>
          </w:tcPr>
          <w:p w:rsidR="00091F51" w:rsidRPr="00356C80" w:rsidRDefault="00091F51" w:rsidP="00091F51">
            <w:pPr>
              <w:pStyle w:val="Title"/>
              <w:jc w:val="left"/>
              <w:rPr>
                <w:rFonts w:ascii="Arial" w:hAnsi="Arial" w:cs="Arial"/>
                <w:b/>
                <w:sz w:val="22"/>
                <w:szCs w:val="22"/>
              </w:rPr>
            </w:pPr>
            <w:r>
              <w:rPr>
                <w:rFonts w:ascii="Arial" w:hAnsi="Arial" w:cs="Arial"/>
                <w:b/>
                <w:sz w:val="22"/>
                <w:szCs w:val="22"/>
              </w:rPr>
              <w:t xml:space="preserve">Changes will be implemented for 2015/16 academic year </w:t>
            </w:r>
          </w:p>
        </w:tc>
      </w:tr>
      <w:tr w:rsidR="00091F51" w:rsidRPr="00356C80" w:rsidTr="00091F51">
        <w:tc>
          <w:tcPr>
            <w:tcW w:w="5885"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0"/>
              </w:rPr>
            </w:pPr>
            <w:r>
              <w:rPr>
                <w:rFonts w:ascii="Arial" w:hAnsi="Arial" w:cs="Arial"/>
                <w:b/>
                <w:sz w:val="20"/>
              </w:rPr>
              <w:t xml:space="preserve">EE/INT Program Coordinators to investigate potential pathways for Technician graduates to University. This also ties into strategic/academic priorities as every program at the college will be mandated to have an outbound pathway. Note that bridging MATH or other courses are typically required for entrance into outbound pathway programs. </w:t>
            </w:r>
          </w:p>
          <w:p w:rsidR="00091F51" w:rsidRPr="00356C80" w:rsidRDefault="00091F51" w:rsidP="00091F51">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r>
              <w:rPr>
                <w:rFonts w:ascii="Arial" w:hAnsi="Arial" w:cs="Arial"/>
                <w:b/>
                <w:sz w:val="22"/>
                <w:szCs w:val="22"/>
              </w:rPr>
              <w:t>David Choi, Blane Bell,</w:t>
            </w:r>
          </w:p>
          <w:p w:rsidR="00091F51" w:rsidRDefault="00091F51" w:rsidP="00091F51">
            <w:pPr>
              <w:pStyle w:val="Title"/>
              <w:jc w:val="left"/>
              <w:rPr>
                <w:rFonts w:ascii="Arial" w:hAnsi="Arial" w:cs="Arial"/>
                <w:b/>
                <w:sz w:val="22"/>
                <w:szCs w:val="22"/>
              </w:rPr>
            </w:pPr>
            <w:r>
              <w:rPr>
                <w:rFonts w:ascii="Arial" w:hAnsi="Arial" w:cs="Arial"/>
                <w:b/>
                <w:sz w:val="22"/>
                <w:szCs w:val="22"/>
              </w:rPr>
              <w:t>Dean</w:t>
            </w:r>
          </w:p>
          <w:p w:rsidR="00091F51" w:rsidRPr="00356C80" w:rsidRDefault="00091F51" w:rsidP="00091F51">
            <w:pPr>
              <w:pStyle w:val="Title"/>
              <w:jc w:val="left"/>
              <w:rPr>
                <w:rFonts w:ascii="Arial" w:hAnsi="Arial" w:cs="Arial"/>
                <w:b/>
                <w:sz w:val="22"/>
                <w:szCs w:val="22"/>
              </w:rPr>
            </w:pPr>
            <w:r>
              <w:rPr>
                <w:rFonts w:ascii="Arial" w:hAnsi="Arial" w:cs="Arial"/>
                <w:b/>
                <w:sz w:val="22"/>
                <w:szCs w:val="22"/>
              </w:rPr>
              <w:t>Chair</w:t>
            </w:r>
          </w:p>
        </w:tc>
        <w:tc>
          <w:tcPr>
            <w:tcW w:w="1438" w:type="dxa"/>
            <w:tcBorders>
              <w:top w:val="single" w:sz="4" w:space="0" w:color="auto"/>
              <w:left w:val="single" w:sz="4" w:space="0" w:color="auto"/>
              <w:bottom w:val="single" w:sz="4" w:space="0" w:color="auto"/>
              <w:right w:val="single" w:sz="4" w:space="0" w:color="auto"/>
            </w:tcBorders>
          </w:tcPr>
          <w:p w:rsidR="00091F51" w:rsidRPr="00356C80" w:rsidRDefault="00091F51" w:rsidP="00091F51">
            <w:pPr>
              <w:pStyle w:val="Title"/>
              <w:jc w:val="left"/>
              <w:rPr>
                <w:rFonts w:ascii="Arial" w:hAnsi="Arial" w:cs="Arial"/>
                <w:b/>
                <w:sz w:val="22"/>
                <w:szCs w:val="22"/>
              </w:rPr>
            </w:pPr>
            <w:r>
              <w:rPr>
                <w:rFonts w:ascii="Arial" w:hAnsi="Arial" w:cs="Arial"/>
                <w:b/>
                <w:sz w:val="22"/>
                <w:szCs w:val="22"/>
              </w:rPr>
              <w:t xml:space="preserve">2015/15 academic year </w:t>
            </w:r>
          </w:p>
        </w:tc>
      </w:tr>
      <w:tr w:rsidR="00091F51" w:rsidRPr="00356C80" w:rsidTr="00091F51">
        <w:tc>
          <w:tcPr>
            <w:tcW w:w="5885"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0"/>
              </w:rPr>
            </w:pPr>
            <w:r>
              <w:rPr>
                <w:rFonts w:ascii="Arial" w:hAnsi="Arial" w:cs="Arial"/>
                <w:b/>
                <w:sz w:val="20"/>
              </w:rPr>
              <w:t xml:space="preserve">INT coordinator, program team, and STT academic leaders to address low KPIs in a number of areas (e.g. for student satisfaction with teachers and the learning experience) Action plan required. </w:t>
            </w:r>
          </w:p>
          <w:p w:rsidR="00091F51" w:rsidRDefault="00091F51" w:rsidP="00091F51">
            <w:pPr>
              <w:pStyle w:val="Title"/>
              <w:jc w:val="left"/>
              <w:rPr>
                <w:rFonts w:ascii="Arial" w:hAnsi="Arial" w:cs="Arial"/>
                <w:b/>
                <w:sz w:val="20"/>
              </w:rPr>
            </w:pPr>
          </w:p>
          <w:p w:rsidR="00091F51" w:rsidRPr="00356C80" w:rsidRDefault="00091F51" w:rsidP="00091F51">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r>
              <w:rPr>
                <w:rFonts w:ascii="Arial" w:hAnsi="Arial" w:cs="Arial"/>
                <w:b/>
                <w:sz w:val="22"/>
                <w:szCs w:val="22"/>
              </w:rPr>
              <w:t>Program Coordinators</w:t>
            </w:r>
          </w:p>
          <w:p w:rsidR="00091F51" w:rsidRDefault="00091F51" w:rsidP="00091F51">
            <w:pPr>
              <w:pStyle w:val="Title"/>
              <w:jc w:val="left"/>
              <w:rPr>
                <w:rFonts w:ascii="Arial" w:hAnsi="Arial" w:cs="Arial"/>
                <w:b/>
                <w:sz w:val="22"/>
                <w:szCs w:val="22"/>
              </w:rPr>
            </w:pPr>
            <w:r>
              <w:rPr>
                <w:rFonts w:ascii="Arial" w:hAnsi="Arial" w:cs="Arial"/>
                <w:b/>
                <w:sz w:val="22"/>
                <w:szCs w:val="22"/>
              </w:rPr>
              <w:t>Program Team</w:t>
            </w:r>
          </w:p>
          <w:p w:rsidR="00091F51" w:rsidRDefault="00091F51" w:rsidP="00091F51">
            <w:pPr>
              <w:pStyle w:val="Title"/>
              <w:jc w:val="left"/>
              <w:rPr>
                <w:rFonts w:ascii="Arial" w:hAnsi="Arial" w:cs="Arial"/>
                <w:b/>
                <w:sz w:val="22"/>
                <w:szCs w:val="22"/>
              </w:rPr>
            </w:pPr>
            <w:r>
              <w:rPr>
                <w:rFonts w:ascii="Arial" w:hAnsi="Arial" w:cs="Arial"/>
                <w:b/>
                <w:sz w:val="22"/>
                <w:szCs w:val="22"/>
              </w:rPr>
              <w:t>Dean</w:t>
            </w:r>
          </w:p>
          <w:p w:rsidR="00091F51" w:rsidRPr="00356C80" w:rsidRDefault="00091F51" w:rsidP="00091F51">
            <w:pPr>
              <w:pStyle w:val="Title"/>
              <w:jc w:val="left"/>
              <w:rPr>
                <w:rFonts w:ascii="Arial" w:hAnsi="Arial" w:cs="Arial"/>
                <w:b/>
                <w:sz w:val="22"/>
                <w:szCs w:val="22"/>
              </w:rPr>
            </w:pPr>
            <w:r>
              <w:rPr>
                <w:rFonts w:ascii="Arial" w:hAnsi="Arial" w:cs="Arial"/>
                <w:b/>
                <w:sz w:val="22"/>
                <w:szCs w:val="22"/>
              </w:rPr>
              <w:t>Chair</w:t>
            </w:r>
          </w:p>
        </w:tc>
        <w:tc>
          <w:tcPr>
            <w:tcW w:w="1438" w:type="dxa"/>
            <w:tcBorders>
              <w:top w:val="single" w:sz="4" w:space="0" w:color="auto"/>
              <w:left w:val="single" w:sz="4" w:space="0" w:color="auto"/>
              <w:bottom w:val="single" w:sz="4" w:space="0" w:color="auto"/>
              <w:right w:val="single" w:sz="4" w:space="0" w:color="auto"/>
            </w:tcBorders>
          </w:tcPr>
          <w:p w:rsidR="00091F51" w:rsidRPr="00356C80" w:rsidRDefault="00091F51" w:rsidP="00091F51">
            <w:pPr>
              <w:pStyle w:val="Title"/>
              <w:jc w:val="left"/>
              <w:rPr>
                <w:rFonts w:ascii="Arial" w:hAnsi="Arial" w:cs="Arial"/>
                <w:b/>
                <w:sz w:val="22"/>
                <w:szCs w:val="22"/>
              </w:rPr>
            </w:pPr>
            <w:r>
              <w:rPr>
                <w:rFonts w:ascii="Arial" w:hAnsi="Arial" w:cs="Arial"/>
                <w:b/>
                <w:sz w:val="22"/>
                <w:szCs w:val="22"/>
              </w:rPr>
              <w:t>TBD</w:t>
            </w:r>
          </w:p>
        </w:tc>
      </w:tr>
      <w:tr w:rsidR="00091F51" w:rsidRPr="00356C80" w:rsidTr="00091F51">
        <w:tc>
          <w:tcPr>
            <w:tcW w:w="5885"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p>
        </w:tc>
        <w:tc>
          <w:tcPr>
            <w:tcW w:w="1438"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p>
        </w:tc>
      </w:tr>
      <w:tr w:rsidR="00091F51" w:rsidRPr="00356C80" w:rsidTr="00091F51">
        <w:tc>
          <w:tcPr>
            <w:tcW w:w="5885"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0"/>
              </w:rPr>
            </w:pPr>
            <w:bookmarkStart w:id="0" w:name="_GoBack"/>
            <w:bookmarkEnd w:id="0"/>
          </w:p>
        </w:tc>
        <w:tc>
          <w:tcPr>
            <w:tcW w:w="1857"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p>
        </w:tc>
        <w:tc>
          <w:tcPr>
            <w:tcW w:w="1438" w:type="dxa"/>
            <w:tcBorders>
              <w:top w:val="single" w:sz="4" w:space="0" w:color="auto"/>
              <w:left w:val="single" w:sz="4" w:space="0" w:color="auto"/>
              <w:bottom w:val="single" w:sz="4" w:space="0" w:color="auto"/>
              <w:right w:val="single" w:sz="4" w:space="0" w:color="auto"/>
            </w:tcBorders>
          </w:tcPr>
          <w:p w:rsidR="00091F51" w:rsidRDefault="00091F51" w:rsidP="00091F51">
            <w:pPr>
              <w:pStyle w:val="Title"/>
              <w:jc w:val="left"/>
              <w:rPr>
                <w:rFonts w:ascii="Arial" w:hAnsi="Arial" w:cs="Arial"/>
                <w:b/>
                <w:sz w:val="22"/>
                <w:szCs w:val="22"/>
              </w:rPr>
            </w:pPr>
          </w:p>
        </w:tc>
      </w:tr>
    </w:tbl>
    <w:p w:rsidR="0083589A" w:rsidRDefault="0083589A"/>
    <w:sectPr w:rsidR="0083589A"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89" w:rsidRDefault="00791E89" w:rsidP="00EA4DDF">
      <w:r>
        <w:separator/>
      </w:r>
    </w:p>
  </w:endnote>
  <w:endnote w:type="continuationSeparator" w:id="0">
    <w:p w:rsidR="00791E89" w:rsidRDefault="00791E89"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89" w:rsidRDefault="00791E89"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E89" w:rsidRDefault="00791E89"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89" w:rsidRPr="007818D9" w:rsidRDefault="00791E89"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091F51">
      <w:rPr>
        <w:rStyle w:val="PageNumber"/>
        <w:rFonts w:ascii="Verdana" w:hAnsi="Verdana"/>
        <w:noProof/>
        <w:sz w:val="18"/>
        <w:szCs w:val="18"/>
      </w:rPr>
      <w:t>10</w:t>
    </w:r>
    <w:r w:rsidRPr="007818D9">
      <w:rPr>
        <w:rStyle w:val="PageNumber"/>
        <w:rFonts w:ascii="Verdana" w:hAnsi="Verdana"/>
        <w:sz w:val="18"/>
        <w:szCs w:val="18"/>
      </w:rPr>
      <w:fldChar w:fldCharType="end"/>
    </w:r>
  </w:p>
  <w:p w:rsidR="00791E89" w:rsidRDefault="00791E89"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791E89" w:rsidRPr="007818D9" w:rsidRDefault="00791E89"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791E89" w:rsidRPr="007B4CD3" w:rsidRDefault="00791E89"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89" w:rsidRDefault="00791E89" w:rsidP="00EA4DDF">
      <w:r>
        <w:separator/>
      </w:r>
    </w:p>
  </w:footnote>
  <w:footnote w:type="continuationSeparator" w:id="0">
    <w:p w:rsidR="00791E89" w:rsidRDefault="00791E89"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89" w:rsidRDefault="00791E89"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9C5D02"/>
    <w:multiLevelType w:val="hybridMultilevel"/>
    <w:tmpl w:val="09E26898"/>
    <w:lvl w:ilvl="0" w:tplc="58205F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6">
    <w:nsid w:val="3F487279"/>
    <w:multiLevelType w:val="hybridMultilevel"/>
    <w:tmpl w:val="36A81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80738C"/>
    <w:multiLevelType w:val="hybridMultilevel"/>
    <w:tmpl w:val="2B2A6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53CF01A2"/>
    <w:multiLevelType w:val="hybridMultilevel"/>
    <w:tmpl w:val="48F2C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7">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20"/>
  </w:num>
  <w:num w:numId="4">
    <w:abstractNumId w:val="1"/>
  </w:num>
  <w:num w:numId="5">
    <w:abstractNumId w:val="11"/>
  </w:num>
  <w:num w:numId="6">
    <w:abstractNumId w:val="19"/>
  </w:num>
  <w:num w:numId="7">
    <w:abstractNumId w:val="26"/>
  </w:num>
  <w:num w:numId="8">
    <w:abstractNumId w:val="29"/>
  </w:num>
  <w:num w:numId="9">
    <w:abstractNumId w:val="17"/>
  </w:num>
  <w:num w:numId="10">
    <w:abstractNumId w:val="9"/>
  </w:num>
  <w:num w:numId="11">
    <w:abstractNumId w:val="8"/>
  </w:num>
  <w:num w:numId="12">
    <w:abstractNumId w:val="3"/>
  </w:num>
  <w:num w:numId="13">
    <w:abstractNumId w:val="24"/>
  </w:num>
  <w:num w:numId="14">
    <w:abstractNumId w:val="5"/>
  </w:num>
  <w:num w:numId="15">
    <w:abstractNumId w:val="30"/>
  </w:num>
  <w:num w:numId="16">
    <w:abstractNumId w:val="14"/>
  </w:num>
  <w:num w:numId="17">
    <w:abstractNumId w:val="32"/>
  </w:num>
  <w:num w:numId="18">
    <w:abstractNumId w:val="2"/>
  </w:num>
  <w:num w:numId="19">
    <w:abstractNumId w:val="28"/>
  </w:num>
  <w:num w:numId="20">
    <w:abstractNumId w:val="31"/>
  </w:num>
  <w:num w:numId="21">
    <w:abstractNumId w:val="7"/>
  </w:num>
  <w:num w:numId="22">
    <w:abstractNumId w:val="12"/>
  </w:num>
  <w:num w:numId="23">
    <w:abstractNumId w:val="27"/>
  </w:num>
  <w:num w:numId="24">
    <w:abstractNumId w:val="18"/>
  </w:num>
  <w:num w:numId="25">
    <w:abstractNumId w:val="0"/>
  </w:num>
  <w:num w:numId="26">
    <w:abstractNumId w:val="25"/>
  </w:num>
  <w:num w:numId="27">
    <w:abstractNumId w:val="10"/>
  </w:num>
  <w:num w:numId="28">
    <w:abstractNumId w:val="22"/>
  </w:num>
  <w:num w:numId="29">
    <w:abstractNumId w:val="13"/>
  </w:num>
  <w:num w:numId="30">
    <w:abstractNumId w:val="4"/>
  </w:num>
  <w:num w:numId="31">
    <w:abstractNumId w:val="23"/>
  </w:num>
  <w:num w:numId="32">
    <w:abstractNumId w:val="21"/>
  </w:num>
  <w:num w:numId="3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4DDF"/>
    <w:rsid w:val="00003C66"/>
    <w:rsid w:val="00005971"/>
    <w:rsid w:val="00010613"/>
    <w:rsid w:val="000138AB"/>
    <w:rsid w:val="000140FF"/>
    <w:rsid w:val="0001605F"/>
    <w:rsid w:val="00020D7E"/>
    <w:rsid w:val="00021BF5"/>
    <w:rsid w:val="000231C1"/>
    <w:rsid w:val="00025EAB"/>
    <w:rsid w:val="00026BC0"/>
    <w:rsid w:val="000411BE"/>
    <w:rsid w:val="00041FFE"/>
    <w:rsid w:val="00043CB8"/>
    <w:rsid w:val="00043D2B"/>
    <w:rsid w:val="00044988"/>
    <w:rsid w:val="00045E73"/>
    <w:rsid w:val="00047436"/>
    <w:rsid w:val="000533DE"/>
    <w:rsid w:val="00057029"/>
    <w:rsid w:val="0006516C"/>
    <w:rsid w:val="00070197"/>
    <w:rsid w:val="00070524"/>
    <w:rsid w:val="000715B2"/>
    <w:rsid w:val="00073721"/>
    <w:rsid w:val="00082E33"/>
    <w:rsid w:val="00084F95"/>
    <w:rsid w:val="00086C9A"/>
    <w:rsid w:val="00087434"/>
    <w:rsid w:val="00091F51"/>
    <w:rsid w:val="000923F3"/>
    <w:rsid w:val="00094768"/>
    <w:rsid w:val="000A1C97"/>
    <w:rsid w:val="000A755C"/>
    <w:rsid w:val="000A7795"/>
    <w:rsid w:val="000B344C"/>
    <w:rsid w:val="000B3BD9"/>
    <w:rsid w:val="000B4CDA"/>
    <w:rsid w:val="000B766F"/>
    <w:rsid w:val="000B7D38"/>
    <w:rsid w:val="000C1B9B"/>
    <w:rsid w:val="000C27E7"/>
    <w:rsid w:val="000D1167"/>
    <w:rsid w:val="000D5D55"/>
    <w:rsid w:val="000D5F41"/>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5864"/>
    <w:rsid w:val="00116BEE"/>
    <w:rsid w:val="0012077C"/>
    <w:rsid w:val="00120C72"/>
    <w:rsid w:val="001253C7"/>
    <w:rsid w:val="001303C7"/>
    <w:rsid w:val="00131107"/>
    <w:rsid w:val="00131165"/>
    <w:rsid w:val="001330D0"/>
    <w:rsid w:val="00143ADB"/>
    <w:rsid w:val="001449B9"/>
    <w:rsid w:val="001467BF"/>
    <w:rsid w:val="001472B0"/>
    <w:rsid w:val="001500DF"/>
    <w:rsid w:val="001540BA"/>
    <w:rsid w:val="0015415E"/>
    <w:rsid w:val="00154426"/>
    <w:rsid w:val="00155B00"/>
    <w:rsid w:val="00155D46"/>
    <w:rsid w:val="00157DCD"/>
    <w:rsid w:val="00161339"/>
    <w:rsid w:val="00166BB7"/>
    <w:rsid w:val="00167B28"/>
    <w:rsid w:val="00171610"/>
    <w:rsid w:val="0017346C"/>
    <w:rsid w:val="00173990"/>
    <w:rsid w:val="00173AE9"/>
    <w:rsid w:val="00174705"/>
    <w:rsid w:val="00174729"/>
    <w:rsid w:val="001749AD"/>
    <w:rsid w:val="001820C1"/>
    <w:rsid w:val="00182916"/>
    <w:rsid w:val="001901C1"/>
    <w:rsid w:val="00192911"/>
    <w:rsid w:val="00192E75"/>
    <w:rsid w:val="001952CE"/>
    <w:rsid w:val="001973E1"/>
    <w:rsid w:val="001A22F8"/>
    <w:rsid w:val="001A441B"/>
    <w:rsid w:val="001B1B83"/>
    <w:rsid w:val="001C0FE4"/>
    <w:rsid w:val="001C1951"/>
    <w:rsid w:val="001C3B00"/>
    <w:rsid w:val="001C7198"/>
    <w:rsid w:val="001C7E64"/>
    <w:rsid w:val="001D2C83"/>
    <w:rsid w:val="001D2E90"/>
    <w:rsid w:val="001D7720"/>
    <w:rsid w:val="001D78B3"/>
    <w:rsid w:val="001E32A0"/>
    <w:rsid w:val="001E39E1"/>
    <w:rsid w:val="001E79ED"/>
    <w:rsid w:val="001F1868"/>
    <w:rsid w:val="001F2770"/>
    <w:rsid w:val="001F38E6"/>
    <w:rsid w:val="001F4612"/>
    <w:rsid w:val="001F6088"/>
    <w:rsid w:val="002036B3"/>
    <w:rsid w:val="002061B2"/>
    <w:rsid w:val="0020655B"/>
    <w:rsid w:val="002074DA"/>
    <w:rsid w:val="002078C9"/>
    <w:rsid w:val="002116CE"/>
    <w:rsid w:val="00213B02"/>
    <w:rsid w:val="00216C21"/>
    <w:rsid w:val="0022315D"/>
    <w:rsid w:val="00231B02"/>
    <w:rsid w:val="002349D2"/>
    <w:rsid w:val="0023644D"/>
    <w:rsid w:val="00237332"/>
    <w:rsid w:val="002419F7"/>
    <w:rsid w:val="00245C6B"/>
    <w:rsid w:val="00250439"/>
    <w:rsid w:val="00251B7A"/>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5775"/>
    <w:rsid w:val="002B0244"/>
    <w:rsid w:val="002B162E"/>
    <w:rsid w:val="002B2105"/>
    <w:rsid w:val="002C0BF6"/>
    <w:rsid w:val="002C1825"/>
    <w:rsid w:val="002C2373"/>
    <w:rsid w:val="002C40A0"/>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718A"/>
    <w:rsid w:val="003214CF"/>
    <w:rsid w:val="003235C5"/>
    <w:rsid w:val="0032707E"/>
    <w:rsid w:val="003300EB"/>
    <w:rsid w:val="00330E6C"/>
    <w:rsid w:val="00331ECC"/>
    <w:rsid w:val="00333AAD"/>
    <w:rsid w:val="00337F9A"/>
    <w:rsid w:val="00342A0D"/>
    <w:rsid w:val="00343283"/>
    <w:rsid w:val="00343657"/>
    <w:rsid w:val="003458C5"/>
    <w:rsid w:val="003471F4"/>
    <w:rsid w:val="00350B36"/>
    <w:rsid w:val="00351839"/>
    <w:rsid w:val="003519B0"/>
    <w:rsid w:val="00354E08"/>
    <w:rsid w:val="0035538A"/>
    <w:rsid w:val="00356F7A"/>
    <w:rsid w:val="00360551"/>
    <w:rsid w:val="00360C63"/>
    <w:rsid w:val="00360EEA"/>
    <w:rsid w:val="0036350B"/>
    <w:rsid w:val="0036353B"/>
    <w:rsid w:val="0036650F"/>
    <w:rsid w:val="00370566"/>
    <w:rsid w:val="003713E2"/>
    <w:rsid w:val="00371990"/>
    <w:rsid w:val="003757DF"/>
    <w:rsid w:val="00382292"/>
    <w:rsid w:val="00395262"/>
    <w:rsid w:val="003965C2"/>
    <w:rsid w:val="003974A1"/>
    <w:rsid w:val="003A727B"/>
    <w:rsid w:val="003B031F"/>
    <w:rsid w:val="003B2A32"/>
    <w:rsid w:val="003B45B1"/>
    <w:rsid w:val="003B4A15"/>
    <w:rsid w:val="003C121F"/>
    <w:rsid w:val="003C3EDA"/>
    <w:rsid w:val="003D17FD"/>
    <w:rsid w:val="003D24CF"/>
    <w:rsid w:val="003D2926"/>
    <w:rsid w:val="003D4388"/>
    <w:rsid w:val="003E0796"/>
    <w:rsid w:val="003E0D78"/>
    <w:rsid w:val="003E16C6"/>
    <w:rsid w:val="003E5102"/>
    <w:rsid w:val="003E5D38"/>
    <w:rsid w:val="003E65BE"/>
    <w:rsid w:val="003E6777"/>
    <w:rsid w:val="003E6C7F"/>
    <w:rsid w:val="003F0743"/>
    <w:rsid w:val="003F0D45"/>
    <w:rsid w:val="003F2876"/>
    <w:rsid w:val="00403F58"/>
    <w:rsid w:val="0040599D"/>
    <w:rsid w:val="00406984"/>
    <w:rsid w:val="00410345"/>
    <w:rsid w:val="004142B2"/>
    <w:rsid w:val="00414AAA"/>
    <w:rsid w:val="00415A77"/>
    <w:rsid w:val="004178AC"/>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AB"/>
    <w:rsid w:val="004347C6"/>
    <w:rsid w:val="00435A48"/>
    <w:rsid w:val="0043795E"/>
    <w:rsid w:val="00442CDD"/>
    <w:rsid w:val="00442EC3"/>
    <w:rsid w:val="00451AB0"/>
    <w:rsid w:val="00451F82"/>
    <w:rsid w:val="00452AA1"/>
    <w:rsid w:val="00454D7C"/>
    <w:rsid w:val="00456B7D"/>
    <w:rsid w:val="00460037"/>
    <w:rsid w:val="004617D5"/>
    <w:rsid w:val="00464223"/>
    <w:rsid w:val="00464A85"/>
    <w:rsid w:val="00466960"/>
    <w:rsid w:val="00467C55"/>
    <w:rsid w:val="004723F6"/>
    <w:rsid w:val="004740E8"/>
    <w:rsid w:val="004854F7"/>
    <w:rsid w:val="00486323"/>
    <w:rsid w:val="00486761"/>
    <w:rsid w:val="00491F5D"/>
    <w:rsid w:val="004A0EE7"/>
    <w:rsid w:val="004A2D0C"/>
    <w:rsid w:val="004A4E50"/>
    <w:rsid w:val="004A5368"/>
    <w:rsid w:val="004A5A58"/>
    <w:rsid w:val="004A77A5"/>
    <w:rsid w:val="004B1A19"/>
    <w:rsid w:val="004B1FD9"/>
    <w:rsid w:val="004B283B"/>
    <w:rsid w:val="004B2B20"/>
    <w:rsid w:val="004B3226"/>
    <w:rsid w:val="004B7474"/>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249B1"/>
    <w:rsid w:val="00524AC3"/>
    <w:rsid w:val="00530735"/>
    <w:rsid w:val="005339E9"/>
    <w:rsid w:val="00533EA8"/>
    <w:rsid w:val="005354F1"/>
    <w:rsid w:val="00543274"/>
    <w:rsid w:val="00544556"/>
    <w:rsid w:val="00544F83"/>
    <w:rsid w:val="005454D5"/>
    <w:rsid w:val="0055615C"/>
    <w:rsid w:val="00556F4F"/>
    <w:rsid w:val="005572D9"/>
    <w:rsid w:val="005578A4"/>
    <w:rsid w:val="0056071D"/>
    <w:rsid w:val="0056082A"/>
    <w:rsid w:val="0056235D"/>
    <w:rsid w:val="00563336"/>
    <w:rsid w:val="005638A2"/>
    <w:rsid w:val="00563CF4"/>
    <w:rsid w:val="00564298"/>
    <w:rsid w:val="00567873"/>
    <w:rsid w:val="005806C1"/>
    <w:rsid w:val="005808FB"/>
    <w:rsid w:val="00580AAC"/>
    <w:rsid w:val="00582F1E"/>
    <w:rsid w:val="00583F00"/>
    <w:rsid w:val="0058588B"/>
    <w:rsid w:val="005877C2"/>
    <w:rsid w:val="005900B3"/>
    <w:rsid w:val="00592230"/>
    <w:rsid w:val="005945E0"/>
    <w:rsid w:val="00596463"/>
    <w:rsid w:val="00597F45"/>
    <w:rsid w:val="005A7D50"/>
    <w:rsid w:val="005B0C56"/>
    <w:rsid w:val="005B2494"/>
    <w:rsid w:val="005B25DF"/>
    <w:rsid w:val="005B6A0B"/>
    <w:rsid w:val="005C79FE"/>
    <w:rsid w:val="005D01B1"/>
    <w:rsid w:val="005D4D47"/>
    <w:rsid w:val="005D66C4"/>
    <w:rsid w:val="005E17D8"/>
    <w:rsid w:val="005E4B36"/>
    <w:rsid w:val="005E5AB1"/>
    <w:rsid w:val="005E7498"/>
    <w:rsid w:val="005E7999"/>
    <w:rsid w:val="005F0193"/>
    <w:rsid w:val="005F495B"/>
    <w:rsid w:val="005F60E6"/>
    <w:rsid w:val="00603F88"/>
    <w:rsid w:val="00604D83"/>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6278E"/>
    <w:rsid w:val="00666D7C"/>
    <w:rsid w:val="006718E5"/>
    <w:rsid w:val="00680844"/>
    <w:rsid w:val="006832EB"/>
    <w:rsid w:val="0068366E"/>
    <w:rsid w:val="0068378E"/>
    <w:rsid w:val="006837E4"/>
    <w:rsid w:val="00685F47"/>
    <w:rsid w:val="00687C9A"/>
    <w:rsid w:val="006956DA"/>
    <w:rsid w:val="006962F8"/>
    <w:rsid w:val="006B0E47"/>
    <w:rsid w:val="006B119F"/>
    <w:rsid w:val="006B5A46"/>
    <w:rsid w:val="006C01A4"/>
    <w:rsid w:val="006C41D6"/>
    <w:rsid w:val="006C5FE3"/>
    <w:rsid w:val="006D1EC2"/>
    <w:rsid w:val="006D434E"/>
    <w:rsid w:val="006E0AE9"/>
    <w:rsid w:val="006E13CB"/>
    <w:rsid w:val="006E54F9"/>
    <w:rsid w:val="006E75AE"/>
    <w:rsid w:val="006F06D3"/>
    <w:rsid w:val="006F3215"/>
    <w:rsid w:val="006F46E4"/>
    <w:rsid w:val="006F502A"/>
    <w:rsid w:val="00700E81"/>
    <w:rsid w:val="007058A3"/>
    <w:rsid w:val="00705B95"/>
    <w:rsid w:val="00713E69"/>
    <w:rsid w:val="00716986"/>
    <w:rsid w:val="00722119"/>
    <w:rsid w:val="00724197"/>
    <w:rsid w:val="00727CA0"/>
    <w:rsid w:val="00730BAA"/>
    <w:rsid w:val="00736100"/>
    <w:rsid w:val="00741727"/>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818D9"/>
    <w:rsid w:val="00782D2E"/>
    <w:rsid w:val="0078632D"/>
    <w:rsid w:val="00791E89"/>
    <w:rsid w:val="00792ADC"/>
    <w:rsid w:val="007933A7"/>
    <w:rsid w:val="00796008"/>
    <w:rsid w:val="0079656D"/>
    <w:rsid w:val="007A16E8"/>
    <w:rsid w:val="007A1B5C"/>
    <w:rsid w:val="007A1BBC"/>
    <w:rsid w:val="007A29F2"/>
    <w:rsid w:val="007A6391"/>
    <w:rsid w:val="007A7013"/>
    <w:rsid w:val="007B5A1F"/>
    <w:rsid w:val="007B6400"/>
    <w:rsid w:val="007C497F"/>
    <w:rsid w:val="007D3937"/>
    <w:rsid w:val="007D3A14"/>
    <w:rsid w:val="007D530A"/>
    <w:rsid w:val="007E280C"/>
    <w:rsid w:val="007E367B"/>
    <w:rsid w:val="007E4139"/>
    <w:rsid w:val="007E6A1C"/>
    <w:rsid w:val="007F0489"/>
    <w:rsid w:val="007F2BD6"/>
    <w:rsid w:val="007F3D2D"/>
    <w:rsid w:val="007F40A4"/>
    <w:rsid w:val="008008A5"/>
    <w:rsid w:val="00800CF2"/>
    <w:rsid w:val="008015F0"/>
    <w:rsid w:val="00804625"/>
    <w:rsid w:val="00805D15"/>
    <w:rsid w:val="00811170"/>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589C"/>
    <w:rsid w:val="008667D6"/>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1696"/>
    <w:rsid w:val="008D5A85"/>
    <w:rsid w:val="008D5E95"/>
    <w:rsid w:val="008E0C1F"/>
    <w:rsid w:val="008E0DF0"/>
    <w:rsid w:val="008E1062"/>
    <w:rsid w:val="008E492C"/>
    <w:rsid w:val="008E74BE"/>
    <w:rsid w:val="008F0255"/>
    <w:rsid w:val="008F066A"/>
    <w:rsid w:val="008F4407"/>
    <w:rsid w:val="008F7287"/>
    <w:rsid w:val="00902321"/>
    <w:rsid w:val="00904060"/>
    <w:rsid w:val="00905B00"/>
    <w:rsid w:val="00907A2A"/>
    <w:rsid w:val="00907CE8"/>
    <w:rsid w:val="00910B6C"/>
    <w:rsid w:val="0091656B"/>
    <w:rsid w:val="00920225"/>
    <w:rsid w:val="00920DFD"/>
    <w:rsid w:val="00921FDB"/>
    <w:rsid w:val="00925842"/>
    <w:rsid w:val="009265C5"/>
    <w:rsid w:val="00927D31"/>
    <w:rsid w:val="0093193B"/>
    <w:rsid w:val="00932F8F"/>
    <w:rsid w:val="009337B2"/>
    <w:rsid w:val="00933ABA"/>
    <w:rsid w:val="00941740"/>
    <w:rsid w:val="00947016"/>
    <w:rsid w:val="009472B1"/>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A17E5"/>
    <w:rsid w:val="009A2E1E"/>
    <w:rsid w:val="009A2E5D"/>
    <w:rsid w:val="009A3581"/>
    <w:rsid w:val="009A634C"/>
    <w:rsid w:val="009A73DD"/>
    <w:rsid w:val="009A7611"/>
    <w:rsid w:val="009B4F53"/>
    <w:rsid w:val="009B545E"/>
    <w:rsid w:val="009B669D"/>
    <w:rsid w:val="009C26E4"/>
    <w:rsid w:val="009C274C"/>
    <w:rsid w:val="009C4B3C"/>
    <w:rsid w:val="009D12C2"/>
    <w:rsid w:val="009D2516"/>
    <w:rsid w:val="009D2C0F"/>
    <w:rsid w:val="009D4425"/>
    <w:rsid w:val="009D59A7"/>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35F0"/>
    <w:rsid w:val="00A15360"/>
    <w:rsid w:val="00A175AD"/>
    <w:rsid w:val="00A22686"/>
    <w:rsid w:val="00A25EE7"/>
    <w:rsid w:val="00A27D06"/>
    <w:rsid w:val="00A30A54"/>
    <w:rsid w:val="00A31526"/>
    <w:rsid w:val="00A31E92"/>
    <w:rsid w:val="00A35A28"/>
    <w:rsid w:val="00A35F2E"/>
    <w:rsid w:val="00A37FCB"/>
    <w:rsid w:val="00A40186"/>
    <w:rsid w:val="00A5218E"/>
    <w:rsid w:val="00A52A01"/>
    <w:rsid w:val="00A53A32"/>
    <w:rsid w:val="00A53DE9"/>
    <w:rsid w:val="00A53DF1"/>
    <w:rsid w:val="00A53F17"/>
    <w:rsid w:val="00A544B3"/>
    <w:rsid w:val="00A61816"/>
    <w:rsid w:val="00A64030"/>
    <w:rsid w:val="00A75886"/>
    <w:rsid w:val="00A774ED"/>
    <w:rsid w:val="00A8370E"/>
    <w:rsid w:val="00A9182C"/>
    <w:rsid w:val="00A96912"/>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B2C"/>
    <w:rsid w:val="00AE13ED"/>
    <w:rsid w:val="00AE62DC"/>
    <w:rsid w:val="00AF3660"/>
    <w:rsid w:val="00AF4C4D"/>
    <w:rsid w:val="00AF505B"/>
    <w:rsid w:val="00AF65C6"/>
    <w:rsid w:val="00B00553"/>
    <w:rsid w:val="00B01812"/>
    <w:rsid w:val="00B019ED"/>
    <w:rsid w:val="00B033BD"/>
    <w:rsid w:val="00B051E1"/>
    <w:rsid w:val="00B05E35"/>
    <w:rsid w:val="00B1055D"/>
    <w:rsid w:val="00B1346E"/>
    <w:rsid w:val="00B22AB3"/>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3BB8"/>
    <w:rsid w:val="00B60DFD"/>
    <w:rsid w:val="00B6516C"/>
    <w:rsid w:val="00B65CBC"/>
    <w:rsid w:val="00B67148"/>
    <w:rsid w:val="00B6744D"/>
    <w:rsid w:val="00B71D77"/>
    <w:rsid w:val="00B74085"/>
    <w:rsid w:val="00B77F18"/>
    <w:rsid w:val="00B814B3"/>
    <w:rsid w:val="00B83939"/>
    <w:rsid w:val="00B84BCA"/>
    <w:rsid w:val="00B853C3"/>
    <w:rsid w:val="00B91B93"/>
    <w:rsid w:val="00B94458"/>
    <w:rsid w:val="00BA3C3E"/>
    <w:rsid w:val="00BA577D"/>
    <w:rsid w:val="00BA5930"/>
    <w:rsid w:val="00BA74C6"/>
    <w:rsid w:val="00BB1FCD"/>
    <w:rsid w:val="00BB28AC"/>
    <w:rsid w:val="00BB4A4F"/>
    <w:rsid w:val="00BB793E"/>
    <w:rsid w:val="00BC0CE2"/>
    <w:rsid w:val="00BC1160"/>
    <w:rsid w:val="00BC3074"/>
    <w:rsid w:val="00BC7246"/>
    <w:rsid w:val="00BD3863"/>
    <w:rsid w:val="00BD3F24"/>
    <w:rsid w:val="00BD46C0"/>
    <w:rsid w:val="00BD4710"/>
    <w:rsid w:val="00BD588E"/>
    <w:rsid w:val="00BD6229"/>
    <w:rsid w:val="00BD676E"/>
    <w:rsid w:val="00BD6EBA"/>
    <w:rsid w:val="00BE5DC4"/>
    <w:rsid w:val="00BE60A4"/>
    <w:rsid w:val="00BE7924"/>
    <w:rsid w:val="00BF50B6"/>
    <w:rsid w:val="00BF77D6"/>
    <w:rsid w:val="00C063EB"/>
    <w:rsid w:val="00C14726"/>
    <w:rsid w:val="00C16DCC"/>
    <w:rsid w:val="00C202D0"/>
    <w:rsid w:val="00C22C8A"/>
    <w:rsid w:val="00C241BC"/>
    <w:rsid w:val="00C25B63"/>
    <w:rsid w:val="00C302AA"/>
    <w:rsid w:val="00C31074"/>
    <w:rsid w:val="00C34D9D"/>
    <w:rsid w:val="00C3736E"/>
    <w:rsid w:val="00C410D0"/>
    <w:rsid w:val="00C41434"/>
    <w:rsid w:val="00C4309C"/>
    <w:rsid w:val="00C43216"/>
    <w:rsid w:val="00C43DAD"/>
    <w:rsid w:val="00C46065"/>
    <w:rsid w:val="00C50635"/>
    <w:rsid w:val="00C53606"/>
    <w:rsid w:val="00C5544B"/>
    <w:rsid w:val="00C56CE2"/>
    <w:rsid w:val="00C57DE3"/>
    <w:rsid w:val="00C62DA0"/>
    <w:rsid w:val="00C63295"/>
    <w:rsid w:val="00C632AC"/>
    <w:rsid w:val="00C6573D"/>
    <w:rsid w:val="00C65EB6"/>
    <w:rsid w:val="00C66249"/>
    <w:rsid w:val="00C710E9"/>
    <w:rsid w:val="00C71455"/>
    <w:rsid w:val="00C74FBC"/>
    <w:rsid w:val="00C7517A"/>
    <w:rsid w:val="00C80862"/>
    <w:rsid w:val="00C80FAC"/>
    <w:rsid w:val="00C81230"/>
    <w:rsid w:val="00C909EE"/>
    <w:rsid w:val="00CA2668"/>
    <w:rsid w:val="00CA341D"/>
    <w:rsid w:val="00CA601D"/>
    <w:rsid w:val="00CB4A27"/>
    <w:rsid w:val="00CB4EDA"/>
    <w:rsid w:val="00CB598A"/>
    <w:rsid w:val="00CB6445"/>
    <w:rsid w:val="00CD4949"/>
    <w:rsid w:val="00CD665A"/>
    <w:rsid w:val="00CD6AAE"/>
    <w:rsid w:val="00CD76FC"/>
    <w:rsid w:val="00CE2B69"/>
    <w:rsid w:val="00CE50FD"/>
    <w:rsid w:val="00CE74EA"/>
    <w:rsid w:val="00CE7CC2"/>
    <w:rsid w:val="00CF1E8E"/>
    <w:rsid w:val="00CF1EF4"/>
    <w:rsid w:val="00CF276C"/>
    <w:rsid w:val="00CF37DE"/>
    <w:rsid w:val="00CF3AD1"/>
    <w:rsid w:val="00CF655A"/>
    <w:rsid w:val="00CF6B50"/>
    <w:rsid w:val="00CF7849"/>
    <w:rsid w:val="00D012AC"/>
    <w:rsid w:val="00D06D7C"/>
    <w:rsid w:val="00D07044"/>
    <w:rsid w:val="00D1430F"/>
    <w:rsid w:val="00D145BE"/>
    <w:rsid w:val="00D208AB"/>
    <w:rsid w:val="00D2341C"/>
    <w:rsid w:val="00D237EC"/>
    <w:rsid w:val="00D30BAF"/>
    <w:rsid w:val="00D33330"/>
    <w:rsid w:val="00D34491"/>
    <w:rsid w:val="00D34A46"/>
    <w:rsid w:val="00D34EF1"/>
    <w:rsid w:val="00D43E1B"/>
    <w:rsid w:val="00D537C1"/>
    <w:rsid w:val="00D53B4D"/>
    <w:rsid w:val="00D557FD"/>
    <w:rsid w:val="00D55E06"/>
    <w:rsid w:val="00D561E3"/>
    <w:rsid w:val="00D64F15"/>
    <w:rsid w:val="00D71115"/>
    <w:rsid w:val="00D7540E"/>
    <w:rsid w:val="00D846C1"/>
    <w:rsid w:val="00D85FB4"/>
    <w:rsid w:val="00D922B3"/>
    <w:rsid w:val="00D92850"/>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BAA"/>
    <w:rsid w:val="00DD1D0B"/>
    <w:rsid w:val="00DD401C"/>
    <w:rsid w:val="00DD4691"/>
    <w:rsid w:val="00DE2DE0"/>
    <w:rsid w:val="00DE3AA2"/>
    <w:rsid w:val="00DE4CAA"/>
    <w:rsid w:val="00DE56BE"/>
    <w:rsid w:val="00DF4008"/>
    <w:rsid w:val="00DF4337"/>
    <w:rsid w:val="00DF4932"/>
    <w:rsid w:val="00DF7E4A"/>
    <w:rsid w:val="00E07F52"/>
    <w:rsid w:val="00E10F7A"/>
    <w:rsid w:val="00E13FBC"/>
    <w:rsid w:val="00E14212"/>
    <w:rsid w:val="00E159F9"/>
    <w:rsid w:val="00E23EB9"/>
    <w:rsid w:val="00E46F37"/>
    <w:rsid w:val="00E51BCF"/>
    <w:rsid w:val="00E52FFD"/>
    <w:rsid w:val="00E54A66"/>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7509"/>
    <w:rsid w:val="00EA3C25"/>
    <w:rsid w:val="00EA4DDF"/>
    <w:rsid w:val="00EA566A"/>
    <w:rsid w:val="00EB2E6B"/>
    <w:rsid w:val="00EB3295"/>
    <w:rsid w:val="00EB4375"/>
    <w:rsid w:val="00EC23BC"/>
    <w:rsid w:val="00EC2EA7"/>
    <w:rsid w:val="00ED0AE5"/>
    <w:rsid w:val="00ED66A7"/>
    <w:rsid w:val="00ED770B"/>
    <w:rsid w:val="00EE1B09"/>
    <w:rsid w:val="00EE23BB"/>
    <w:rsid w:val="00EE346B"/>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576"/>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3636"/>
    <w:rsid w:val="00F73D2E"/>
    <w:rsid w:val="00F75446"/>
    <w:rsid w:val="00F766F7"/>
    <w:rsid w:val="00F76ED7"/>
    <w:rsid w:val="00F81C7D"/>
    <w:rsid w:val="00F82870"/>
    <w:rsid w:val="00F96A5E"/>
    <w:rsid w:val="00FA0225"/>
    <w:rsid w:val="00FA1F5D"/>
    <w:rsid w:val="00FA4C58"/>
    <w:rsid w:val="00FB0A26"/>
    <w:rsid w:val="00FB0D17"/>
    <w:rsid w:val="00FB2C5C"/>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589DD-F9CD-482E-AA6E-2EB8E899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FollowedHyperlink">
    <w:name w:val="FollowedHyperlink"/>
    <w:basedOn w:val="DefaultParagraphFont"/>
    <w:uiPriority w:val="99"/>
    <w:semiHidden/>
    <w:unhideWhenUsed/>
    <w:rsid w:val="00150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ibrary%20Research/EMSI_Industry_INT.rtf" TargetMode="External"/><Relationship Id="rId13" Type="http://schemas.openxmlformats.org/officeDocument/2006/relationships/hyperlink" Target="INT_Curriculum%20Information.docx" TargetMode="External"/><Relationship Id="rId18" Type="http://schemas.openxmlformats.org/officeDocument/2006/relationships/hyperlink" Target="Library%20Research/EMSI_Occupations_INT.rt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DR%20Data/RetentionReportW14.pdf" TargetMode="External"/><Relationship Id="rId7" Type="http://schemas.openxmlformats.org/officeDocument/2006/relationships/hyperlink" Target="Library%20Research/Instrumentation%20Technician%20Labour%20Market%20Information.docx" TargetMode="External"/><Relationship Id="rId12" Type="http://schemas.openxmlformats.org/officeDocument/2006/relationships/hyperlink" Target="instrumentation-and-control-engineering-technician.pdf" TargetMode="External"/><Relationship Id="rId17" Type="http://schemas.openxmlformats.org/officeDocument/2006/relationships/hyperlink" Target="../../CurriculumRenewal/FocusGroup2011/Summary%20of%20Student%20Focus%20Group%20for%20INT.docx" TargetMode="External"/><Relationship Id="rId25" Type="http://schemas.openxmlformats.org/officeDocument/2006/relationships/hyperlink" Target="EE%20Structure%20Proposal2.xlsx" TargetMode="External"/><Relationship Id="rId2" Type="http://schemas.openxmlformats.org/officeDocument/2006/relationships/styles" Target="styles.xml"/><Relationship Id="rId16" Type="http://schemas.openxmlformats.org/officeDocument/2006/relationships/hyperlink" Target="Tutoring%20Services%20Stats_2015.xlsx" TargetMode="External"/><Relationship Id="rId20" Type="http://schemas.openxmlformats.org/officeDocument/2006/relationships/hyperlink" Target="FDR%20Data_2015/INT_Enrollment%20Data_10%20years.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rogram%20Standards/INT%20MTCU%20Program%20Standards_2012.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DR%20Data_2015/INT_KPI%20details_2010-2014.pdf" TargetMode="External"/><Relationship Id="rId23" Type="http://schemas.openxmlformats.org/officeDocument/2006/relationships/footer" Target="footer1.xml"/><Relationship Id="rId10" Type="http://schemas.openxmlformats.org/officeDocument/2006/relationships/hyperlink" Target="file:///H:\1.%20My%20Documents\CLT\Credentials_Framework.pdf" TargetMode="External"/><Relationship Id="rId19" Type="http://schemas.openxmlformats.org/officeDocument/2006/relationships/hyperlink" Target="Library%20Research/INT%202015%20Educational%20Competitors.docx" TargetMode="External"/><Relationship Id="rId4" Type="http://schemas.openxmlformats.org/officeDocument/2006/relationships/webSettings" Target="webSettings.xml"/><Relationship Id="rId9" Type="http://schemas.openxmlformats.org/officeDocument/2006/relationships/hyperlink" Target="../../Block%20Development%20Folder/Course%20Outline%20Review%20Summary%20Sheet%20for%20Block%20Development%20Planning%20For%20INT%20Fall%202013_bbFeb14.docx" TargetMode="External"/><Relationship Id="rId14" Type="http://schemas.openxmlformats.org/officeDocument/2006/relationships/hyperlink" Target="file:///S:\shared%20data\CLT\STT\Trades_TechPROGRAMS\Instrumentation_Control%20Technician_INT\Program%20Review\2014-15\FDR%20Data_2015\INT_KPI%20ProgramReview_2011-2015.xls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F3FD52B7</Template>
  <TotalTime>249</TotalTime>
  <Pages>11</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Kari Draker-Fortis</cp:lastModifiedBy>
  <cp:revision>16</cp:revision>
  <cp:lastPrinted>2012-04-04T19:23:00Z</cp:lastPrinted>
  <dcterms:created xsi:type="dcterms:W3CDTF">2012-05-14T19:42:00Z</dcterms:created>
  <dcterms:modified xsi:type="dcterms:W3CDTF">2015-06-23T19:07:00Z</dcterms:modified>
</cp:coreProperties>
</file>