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9111DD" w:rsidP="00373FD2">
            <w:pPr>
              <w:pStyle w:val="Header"/>
              <w:jc w:val="center"/>
              <w:rPr>
                <w:rFonts w:cs="Arial"/>
                <w:b/>
                <w:szCs w:val="22"/>
                <w:lang w:val="en-CA"/>
              </w:rPr>
            </w:pPr>
            <w:r>
              <w:rPr>
                <w:rFonts w:cs="Arial"/>
                <w:b/>
                <w:szCs w:val="22"/>
                <w:lang w:val="en-CA"/>
              </w:rPr>
              <w:t>Alex Smith</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9111DD" w:rsidP="00373FD2">
            <w:pPr>
              <w:pStyle w:val="Header"/>
              <w:jc w:val="center"/>
              <w:rPr>
                <w:rFonts w:cs="Arial"/>
                <w:b/>
                <w:szCs w:val="22"/>
                <w:lang w:val="en-CA"/>
              </w:rPr>
            </w:pPr>
            <w:r>
              <w:rPr>
                <w:rFonts w:cs="Arial"/>
                <w:b/>
                <w:szCs w:val="22"/>
                <w:lang w:val="en-CA"/>
              </w:rPr>
              <w:t>Community Development &amp; Health</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73FD2" w:rsidP="00373FD2">
            <w:pPr>
              <w:pStyle w:val="Header"/>
              <w:jc w:val="center"/>
              <w:rPr>
                <w:rFonts w:cs="Arial"/>
                <w:b/>
                <w:szCs w:val="22"/>
                <w:lang w:val="en-CA"/>
              </w:rPr>
            </w:pP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9111DD" w:rsidP="00373FD2">
            <w:pPr>
              <w:pStyle w:val="Header"/>
              <w:jc w:val="center"/>
              <w:rPr>
                <w:rFonts w:cs="Arial"/>
                <w:b/>
                <w:szCs w:val="22"/>
                <w:lang w:val="en-CA"/>
              </w:rPr>
            </w:pPr>
            <w:r>
              <w:rPr>
                <w:rFonts w:cs="Arial"/>
                <w:b/>
                <w:szCs w:val="22"/>
                <w:lang w:val="en-CA"/>
              </w:rPr>
              <w:t>December 15</w:t>
            </w:r>
            <w:r w:rsidRPr="009111DD">
              <w:rPr>
                <w:rFonts w:cs="Arial"/>
                <w:b/>
                <w:szCs w:val="22"/>
                <w:vertAlign w:val="superscript"/>
                <w:lang w:val="en-CA"/>
              </w:rPr>
              <w:t>th</w:t>
            </w:r>
            <w:r>
              <w:rPr>
                <w:rFonts w:cs="Arial"/>
                <w:b/>
                <w:szCs w:val="22"/>
                <w:lang w:val="en-CA"/>
              </w:rPr>
              <w:t xml:space="preserve">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9111DD" w:rsidP="00373FD2">
            <w:pPr>
              <w:pStyle w:val="Header"/>
              <w:jc w:val="center"/>
              <w:rPr>
                <w:rFonts w:cs="Arial"/>
                <w:b/>
                <w:szCs w:val="22"/>
                <w:lang w:val="en-CA"/>
              </w:rPr>
            </w:pPr>
            <w:r>
              <w:rPr>
                <w:rFonts w:cs="Arial"/>
                <w:b/>
                <w:szCs w:val="22"/>
                <w:lang w:val="en-CA"/>
              </w:rPr>
              <w:t>Recreation and Leisure Services Program</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F1335" w:rsidRDefault="00BF7A03" w:rsidP="004C2936">
            <w:pPr>
              <w:numPr>
                <w:ilvl w:val="1"/>
                <w:numId w:val="3"/>
              </w:numPr>
              <w:rPr>
                <w:rFonts w:cs="Arial"/>
                <w:b/>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r w:rsidR="009111DD">
              <w:rPr>
                <w:rFonts w:cs="Arial"/>
                <w:sz w:val="20"/>
              </w:rPr>
              <w:t xml:space="preserve"> </w:t>
            </w:r>
            <w:proofErr w:type="gramStart"/>
            <w:r w:rsidR="009111DD">
              <w:rPr>
                <w:rFonts w:cs="Arial"/>
                <w:sz w:val="20"/>
              </w:rPr>
              <w:t>is</w:t>
            </w:r>
            <w:proofErr w:type="gramEnd"/>
            <w:r w:rsidR="009111DD">
              <w:rPr>
                <w:rFonts w:cs="Arial"/>
                <w:sz w:val="20"/>
              </w:rPr>
              <w:t xml:space="preserve"> </w:t>
            </w:r>
            <w:r w:rsidR="00EF3293" w:rsidRPr="00EF3293">
              <w:rPr>
                <w:rFonts w:cs="Arial"/>
                <w:b/>
                <w:sz w:val="20"/>
              </w:rPr>
              <w:t>No profound changes in trends since last year’s report ,interest remains consistent</w:t>
            </w:r>
            <w:r w:rsidR="00CD03D7">
              <w:rPr>
                <w:rFonts w:cs="Arial"/>
                <w:b/>
                <w:sz w:val="20"/>
              </w:rPr>
              <w:t>ly strong</w:t>
            </w:r>
            <w:r w:rsidR="00EF3293" w:rsidRPr="00EF3293">
              <w:rPr>
                <w:rFonts w:cs="Arial"/>
                <w:b/>
                <w:sz w:val="20"/>
              </w:rPr>
              <w:t xml:space="preserve"> in careers working with seniors where there</w:t>
            </w:r>
            <w:r w:rsidR="00CD03D7">
              <w:rPr>
                <w:rFonts w:cs="Arial"/>
                <w:b/>
                <w:sz w:val="20"/>
              </w:rPr>
              <w:t xml:space="preserve"> is</w:t>
            </w:r>
            <w:r w:rsidR="00EF3293" w:rsidRPr="00EF3293">
              <w:rPr>
                <w:rFonts w:cs="Arial"/>
                <w:b/>
                <w:sz w:val="20"/>
              </w:rPr>
              <w:t xml:space="preserve"> </w:t>
            </w:r>
            <w:r w:rsidR="009111DD" w:rsidRPr="00EF3293">
              <w:rPr>
                <w:rFonts w:cs="Arial"/>
                <w:b/>
                <w:sz w:val="20"/>
              </w:rPr>
              <w:t>ongoing demand for RLS graduates to work in Long term care Facilities</w:t>
            </w:r>
            <w:r w:rsidR="0032066E">
              <w:rPr>
                <w:rFonts w:cs="Arial"/>
                <w:b/>
                <w:sz w:val="20"/>
              </w:rPr>
              <w:t>, and we also notice increased interest in the area of Therapeutic Recreation as a career choice</w:t>
            </w:r>
            <w:r w:rsidR="00EF3293" w:rsidRPr="00EF3293">
              <w:rPr>
                <w:rFonts w:cs="Arial"/>
                <w:b/>
                <w:sz w:val="20"/>
              </w:rPr>
              <w:t>.</w:t>
            </w:r>
            <w:r w:rsidR="00225376">
              <w:rPr>
                <w:rFonts w:cs="Arial"/>
                <w:b/>
                <w:sz w:val="20"/>
              </w:rPr>
              <w:t xml:space="preserve"> Coordinators at the 2014 Provincial meeting reported increased enrollment activity towards Therapeutic Recreation graduate programs.</w:t>
            </w:r>
          </w:p>
          <w:p w:rsidR="00373FD2" w:rsidRPr="00EF3293" w:rsidRDefault="005E59EA" w:rsidP="004C2936">
            <w:pPr>
              <w:numPr>
                <w:ilvl w:val="1"/>
                <w:numId w:val="3"/>
              </w:numPr>
              <w:rPr>
                <w:rFonts w:cs="Arial"/>
                <w:b/>
                <w:sz w:val="20"/>
              </w:rPr>
            </w:pPr>
            <w:r>
              <w:rPr>
                <w:rFonts w:cs="Arial"/>
                <w:b/>
                <w:sz w:val="20"/>
              </w:rPr>
              <w:t xml:space="preserve">Of concern was the reduction of applications across the system to RLS programs including our </w:t>
            </w:r>
            <w:proofErr w:type="gramStart"/>
            <w:r>
              <w:rPr>
                <w:rFonts w:cs="Arial"/>
                <w:b/>
                <w:sz w:val="20"/>
              </w:rPr>
              <w:t>program.</w:t>
            </w:r>
            <w:proofErr w:type="gramEnd"/>
            <w:r>
              <w:rPr>
                <w:rFonts w:cs="Arial"/>
                <w:b/>
                <w:sz w:val="20"/>
              </w:rPr>
              <w:t xml:space="preserve"> In response we </w:t>
            </w:r>
            <w:r w:rsidR="007E34C1">
              <w:rPr>
                <w:rFonts w:cs="Arial"/>
                <w:b/>
                <w:sz w:val="20"/>
              </w:rPr>
              <w:t>increased</w:t>
            </w:r>
            <w:r>
              <w:rPr>
                <w:rFonts w:cs="Arial"/>
                <w:b/>
                <w:sz w:val="20"/>
              </w:rPr>
              <w:t xml:space="preserve"> conversion initiatives, and</w:t>
            </w:r>
            <w:r w:rsidR="007E34C1">
              <w:rPr>
                <w:rFonts w:cs="Arial"/>
                <w:b/>
                <w:sz w:val="20"/>
              </w:rPr>
              <w:t xml:space="preserve"> took</w:t>
            </w:r>
            <w:r>
              <w:rPr>
                <w:rFonts w:cs="Arial"/>
                <w:b/>
                <w:sz w:val="20"/>
              </w:rPr>
              <w:t xml:space="preserve"> a number of marketing actions to hopefully bolster increased applications to our program for 2015. </w:t>
            </w:r>
            <w:r w:rsidR="009111DD" w:rsidRPr="00EF3293">
              <w:rPr>
                <w:rFonts w:cs="Arial"/>
                <w:b/>
                <w:sz w:val="20"/>
              </w:rPr>
              <w:t xml:space="preserve">  </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r w:rsidR="00EF3293">
              <w:rPr>
                <w:rFonts w:cs="Arial"/>
                <w:sz w:val="20"/>
              </w:rPr>
              <w:t xml:space="preserve">  </w:t>
            </w:r>
            <w:r w:rsidR="00EF3293" w:rsidRPr="00EF3293">
              <w:rPr>
                <w:rFonts w:cs="Arial"/>
                <w:b/>
                <w:sz w:val="20"/>
              </w:rPr>
              <w:t>The only specific recom</w:t>
            </w:r>
            <w:r w:rsidR="00EF3293">
              <w:rPr>
                <w:rFonts w:cs="Arial"/>
                <w:b/>
                <w:sz w:val="20"/>
              </w:rPr>
              <w:t>m</w:t>
            </w:r>
            <w:r w:rsidR="00EF3293" w:rsidRPr="00EF3293">
              <w:rPr>
                <w:rFonts w:cs="Arial"/>
                <w:b/>
                <w:sz w:val="20"/>
              </w:rPr>
              <w:t>endation from the Advisory Committee that came from our last meeting was to better prepare our graduate</w:t>
            </w:r>
            <w:r w:rsidR="0032066E">
              <w:rPr>
                <w:rFonts w:cs="Arial"/>
                <w:b/>
                <w:sz w:val="20"/>
              </w:rPr>
              <w:t xml:space="preserve"> written communication skills and ability</w:t>
            </w:r>
            <w:r w:rsidR="003F1335">
              <w:rPr>
                <w:rFonts w:cs="Arial"/>
                <w:b/>
                <w:sz w:val="20"/>
              </w:rPr>
              <w:t xml:space="preserve"> .T</w:t>
            </w:r>
            <w:r w:rsidR="00EF3293" w:rsidRPr="00EF3293">
              <w:rPr>
                <w:rFonts w:cs="Arial"/>
                <w:b/>
                <w:sz w:val="20"/>
              </w:rPr>
              <w:t>he preparation and documentation of policies at the Municipal leve</w:t>
            </w:r>
            <w:r w:rsidR="003F1335">
              <w:rPr>
                <w:rFonts w:cs="Arial"/>
                <w:b/>
                <w:sz w:val="20"/>
              </w:rPr>
              <w:t>l was given as an example</w:t>
            </w:r>
            <w:r w:rsidR="00EF3293" w:rsidRPr="00EF3293">
              <w:rPr>
                <w:rFonts w:cs="Arial"/>
                <w:b/>
                <w:sz w:val="20"/>
              </w:rPr>
              <w:t>.</w:t>
            </w:r>
            <w:r w:rsidR="00EF3293">
              <w:rPr>
                <w:rFonts w:cs="Arial"/>
                <w:sz w:val="20"/>
              </w:rPr>
              <w:t xml:space="preserve"> </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w:t>
            </w:r>
            <w:proofErr w:type="spellStart"/>
            <w:r w:rsidR="00373FD2" w:rsidRPr="00902FB1">
              <w:rPr>
                <w:rFonts w:cs="Arial"/>
                <w:sz w:val="20"/>
              </w:rPr>
              <w:t>sectoral</w:t>
            </w:r>
            <w:proofErr w:type="spellEnd"/>
            <w:r w:rsidR="00373FD2" w:rsidRPr="00902FB1">
              <w:rPr>
                <w:rFonts w:cs="Arial"/>
                <w:sz w:val="20"/>
              </w:rPr>
              <w:t xml:space="preserve">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r w:rsidR="00CD03D7">
              <w:rPr>
                <w:rFonts w:cs="Arial"/>
                <w:sz w:val="20"/>
              </w:rPr>
              <w:t xml:space="preserve"> </w:t>
            </w:r>
            <w:r w:rsidR="00CD03D7" w:rsidRPr="001F15FE">
              <w:rPr>
                <w:rFonts w:cs="Arial"/>
                <w:b/>
                <w:sz w:val="20"/>
              </w:rPr>
              <w:t>I am pleased to report that our “Improve the Learning Experience” direction of early 2014 has increased our linkages and partnerships with community Recreation related agencies resulting in added applied learning options for our students</w:t>
            </w:r>
            <w:r w:rsidR="001F15FE" w:rsidRPr="001F15FE">
              <w:rPr>
                <w:rFonts w:cs="Arial"/>
                <w:b/>
                <w:sz w:val="20"/>
              </w:rPr>
              <w:t xml:space="preserve"> </w:t>
            </w:r>
            <w:r w:rsidR="00CD03D7" w:rsidRPr="001F15FE">
              <w:rPr>
                <w:rFonts w:cs="Arial"/>
                <w:b/>
                <w:sz w:val="20"/>
              </w:rPr>
              <w:t>.We have also cemented a great</w:t>
            </w:r>
            <w:r w:rsidR="001F15FE" w:rsidRPr="001F15FE">
              <w:rPr>
                <w:rFonts w:cs="Arial"/>
                <w:b/>
                <w:sz w:val="20"/>
              </w:rPr>
              <w:t xml:space="preserve"> learning</w:t>
            </w:r>
            <w:r w:rsidR="00CD03D7" w:rsidRPr="001F15FE">
              <w:rPr>
                <w:rFonts w:cs="Arial"/>
                <w:b/>
                <w:sz w:val="20"/>
              </w:rPr>
              <w:t xml:space="preserve"> partnership with the Peterborough </w:t>
            </w:r>
            <w:proofErr w:type="spellStart"/>
            <w:r w:rsidR="00CD03D7" w:rsidRPr="001F15FE">
              <w:rPr>
                <w:rFonts w:cs="Arial"/>
                <w:b/>
                <w:sz w:val="20"/>
              </w:rPr>
              <w:t>Petes</w:t>
            </w:r>
            <w:proofErr w:type="spellEnd"/>
            <w:r w:rsidR="00CD03D7" w:rsidRPr="001F15FE">
              <w:rPr>
                <w:rFonts w:cs="Arial"/>
                <w:b/>
                <w:sz w:val="20"/>
              </w:rPr>
              <w:t xml:space="preserve"> organization</w:t>
            </w:r>
            <w:r w:rsidR="001F15FE" w:rsidRPr="001F15FE">
              <w:rPr>
                <w:rFonts w:cs="Arial"/>
                <w:b/>
                <w:sz w:val="20"/>
              </w:rPr>
              <w:t xml:space="preserve"> resulting in Field Placement options for students interested in Sports and event planning.</w:t>
            </w:r>
            <w:r w:rsidR="00A07A9A">
              <w:rPr>
                <w:rFonts w:cs="Arial"/>
                <w:b/>
                <w:sz w:val="20"/>
              </w:rPr>
              <w:t xml:space="preserve"> Also our highly valued (by students) student membership partnership with Parks and Recreation Ontario has been renewed again until September 2015.</w:t>
            </w:r>
            <w:r w:rsidR="007E34C1">
              <w:rPr>
                <w:rFonts w:cs="Arial"/>
                <w:b/>
                <w:sz w:val="20"/>
              </w:rPr>
              <w:t xml:space="preserve"> NOTE: This was not funded by the College/School this year.</w:t>
            </w:r>
          </w:p>
          <w:p w:rsidR="00373FD2" w:rsidRDefault="00373FD2" w:rsidP="00373FD2">
            <w:pPr>
              <w:rPr>
                <w:rFonts w:cs="Arial"/>
                <w:sz w:val="20"/>
              </w:rPr>
            </w:pP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C059D3" w:rsidRDefault="00373FD2" w:rsidP="00373FD2">
            <w:pPr>
              <w:tabs>
                <w:tab w:val="left" w:pos="252"/>
                <w:tab w:val="left" w:pos="972"/>
              </w:tabs>
              <w:ind w:left="252" w:hanging="180"/>
              <w:rPr>
                <w:rFonts w:cs="Arial"/>
                <w:sz w:val="20"/>
              </w:rPr>
            </w:pPr>
            <w:r w:rsidRPr="00C059D3">
              <w:rPr>
                <w:rFonts w:cs="Arial"/>
                <w:sz w:val="20"/>
              </w:rPr>
              <w:t>2. Curriculum Development</w:t>
            </w:r>
          </w:p>
          <w:p w:rsidR="00373FD2" w:rsidRPr="00C059D3" w:rsidRDefault="00373FD2" w:rsidP="00373FD2">
            <w:pPr>
              <w:tabs>
                <w:tab w:val="left" w:pos="252"/>
                <w:tab w:val="left" w:pos="972"/>
              </w:tabs>
              <w:ind w:left="252" w:hanging="180"/>
              <w:rPr>
                <w:rFonts w:cs="Arial"/>
                <w:sz w:val="20"/>
              </w:rPr>
            </w:pPr>
          </w:p>
          <w:p w:rsidR="001D5C52" w:rsidRPr="00C059D3" w:rsidRDefault="001D5C52" w:rsidP="004C2936">
            <w:pPr>
              <w:pStyle w:val="ListParagraph"/>
              <w:numPr>
                <w:ilvl w:val="0"/>
                <w:numId w:val="4"/>
              </w:numPr>
              <w:tabs>
                <w:tab w:val="left" w:pos="681"/>
                <w:tab w:val="left" w:pos="972"/>
              </w:tabs>
              <w:rPr>
                <w:rFonts w:cs="Arial"/>
                <w:vanish/>
                <w:sz w:val="20"/>
              </w:rPr>
            </w:pPr>
          </w:p>
          <w:p w:rsidR="001D5C52" w:rsidRPr="00C059D3" w:rsidRDefault="001D5C52" w:rsidP="004C2936">
            <w:pPr>
              <w:pStyle w:val="ListParagraph"/>
              <w:numPr>
                <w:ilvl w:val="0"/>
                <w:numId w:val="4"/>
              </w:numPr>
              <w:tabs>
                <w:tab w:val="left" w:pos="681"/>
                <w:tab w:val="left" w:pos="972"/>
              </w:tabs>
              <w:rPr>
                <w:rFonts w:cs="Arial"/>
                <w:vanish/>
                <w:sz w:val="20"/>
              </w:rPr>
            </w:pPr>
          </w:p>
          <w:p w:rsidR="00373FD2" w:rsidRPr="00C059D3" w:rsidRDefault="002247EA" w:rsidP="004C2936">
            <w:pPr>
              <w:numPr>
                <w:ilvl w:val="1"/>
                <w:numId w:val="4"/>
              </w:numPr>
              <w:tabs>
                <w:tab w:val="left" w:pos="681"/>
                <w:tab w:val="left" w:pos="972"/>
              </w:tabs>
              <w:rPr>
                <w:rFonts w:cs="Arial"/>
                <w:sz w:val="20"/>
              </w:rPr>
            </w:pPr>
            <w:r w:rsidRPr="00C059D3">
              <w:rPr>
                <w:rFonts w:cs="Arial"/>
                <w:sz w:val="20"/>
              </w:rPr>
              <w:t xml:space="preserve"> </w:t>
            </w:r>
            <w:r w:rsidR="001D5863" w:rsidRPr="00C059D3">
              <w:rPr>
                <w:rFonts w:cs="Arial"/>
                <w:sz w:val="20"/>
              </w:rPr>
              <w:t xml:space="preserve">Identify </w:t>
            </w:r>
            <w:r w:rsidR="001D5C52" w:rsidRPr="00C059D3">
              <w:rPr>
                <w:rFonts w:cs="Arial"/>
                <w:sz w:val="20"/>
              </w:rPr>
              <w:t>any c</w:t>
            </w:r>
            <w:r w:rsidR="00373FD2" w:rsidRPr="00C059D3">
              <w:rPr>
                <w:rFonts w:cs="Arial"/>
                <w:sz w:val="20"/>
              </w:rPr>
              <w:t xml:space="preserve">urriculum changes in the last year such as changes in course content and course materials, course / program outcomes, innovative delivery approaches, </w:t>
            </w:r>
            <w:r w:rsidR="001D5863" w:rsidRPr="00C059D3">
              <w:rPr>
                <w:rFonts w:cs="Arial"/>
                <w:sz w:val="20"/>
              </w:rPr>
              <w:t xml:space="preserve">and/or </w:t>
            </w:r>
            <w:r w:rsidR="00373FD2" w:rsidRPr="00C059D3">
              <w:rPr>
                <w:rFonts w:cs="Arial"/>
                <w:sz w:val="20"/>
              </w:rPr>
              <w:t>assessment practices</w:t>
            </w:r>
            <w:r w:rsidR="001F15FE" w:rsidRPr="00C059D3">
              <w:rPr>
                <w:rFonts w:cs="Arial"/>
                <w:sz w:val="20"/>
              </w:rPr>
              <w:t xml:space="preserve"> </w:t>
            </w:r>
            <w:r w:rsidR="00BF7A03" w:rsidRPr="00C059D3">
              <w:rPr>
                <w:rFonts w:cs="Arial"/>
                <w:sz w:val="20"/>
              </w:rPr>
              <w:t>.</w:t>
            </w:r>
            <w:r w:rsidR="001F15FE" w:rsidRPr="00FC28A1">
              <w:rPr>
                <w:rFonts w:cs="Arial"/>
                <w:b/>
                <w:sz w:val="20"/>
              </w:rPr>
              <w:t>All of our Recreation specific courses have been updated and modified for relevancy to the field of Recreation and student interest over the past year with increased linkage to</w:t>
            </w:r>
            <w:r w:rsidR="0032066E">
              <w:rPr>
                <w:rFonts w:cs="Arial"/>
                <w:b/>
                <w:sz w:val="20"/>
              </w:rPr>
              <w:t xml:space="preserve"> community</w:t>
            </w:r>
            <w:r w:rsidR="001F15FE" w:rsidRPr="00FC28A1">
              <w:rPr>
                <w:rFonts w:cs="Arial"/>
                <w:b/>
                <w:sz w:val="20"/>
              </w:rPr>
              <w:t xml:space="preserve"> recreation </w:t>
            </w:r>
            <w:r w:rsidR="00FE50AB" w:rsidRPr="00FC28A1">
              <w:rPr>
                <w:rFonts w:cs="Arial"/>
                <w:b/>
                <w:sz w:val="20"/>
              </w:rPr>
              <w:t xml:space="preserve">sites through course assignments, class </w:t>
            </w:r>
            <w:proofErr w:type="gramStart"/>
            <w:r w:rsidR="00FE50AB" w:rsidRPr="00FC28A1">
              <w:rPr>
                <w:rFonts w:cs="Arial"/>
                <w:b/>
                <w:sz w:val="20"/>
              </w:rPr>
              <w:t>presentations ,</w:t>
            </w:r>
            <w:proofErr w:type="gramEnd"/>
            <w:r w:rsidR="00FE50AB" w:rsidRPr="00FC28A1">
              <w:rPr>
                <w:rFonts w:cs="Arial"/>
                <w:b/>
                <w:sz w:val="20"/>
              </w:rPr>
              <w:t>and class field trips.</w:t>
            </w:r>
            <w:r w:rsidR="001F15FE" w:rsidRPr="00C059D3">
              <w:rPr>
                <w:rFonts w:cs="Arial"/>
                <w:sz w:val="20"/>
              </w:rPr>
              <w:t xml:space="preserve"> </w:t>
            </w:r>
            <w:r w:rsidR="00BF7A03" w:rsidRPr="00C059D3">
              <w:rPr>
                <w:rFonts w:cs="Arial"/>
                <w:sz w:val="20"/>
              </w:rPr>
              <w:t xml:space="preserve">  </w:t>
            </w:r>
            <w:r w:rsidR="001D5863" w:rsidRPr="00C059D3">
              <w:rPr>
                <w:rFonts w:cs="Arial"/>
                <w:sz w:val="20"/>
              </w:rPr>
              <w:t xml:space="preserve">  </w:t>
            </w:r>
          </w:p>
          <w:p w:rsidR="00EF15D9" w:rsidRPr="00C059D3" w:rsidRDefault="00EF15D9" w:rsidP="00373FD2">
            <w:pPr>
              <w:tabs>
                <w:tab w:val="left" w:pos="681"/>
                <w:tab w:val="left" w:pos="972"/>
              </w:tabs>
              <w:ind w:left="681" w:hanging="609"/>
              <w:rPr>
                <w:rFonts w:cs="Arial"/>
                <w:sz w:val="20"/>
              </w:rPr>
            </w:pPr>
          </w:p>
          <w:p w:rsidR="00EF15D9" w:rsidRPr="00C059D3" w:rsidRDefault="001D5C52" w:rsidP="004C2936">
            <w:pPr>
              <w:numPr>
                <w:ilvl w:val="1"/>
                <w:numId w:val="4"/>
              </w:numPr>
              <w:tabs>
                <w:tab w:val="left" w:pos="681"/>
                <w:tab w:val="left" w:pos="972"/>
              </w:tabs>
              <w:rPr>
                <w:rFonts w:cs="Arial"/>
                <w:sz w:val="20"/>
              </w:rPr>
            </w:pPr>
            <w:r w:rsidRPr="00C059D3">
              <w:rPr>
                <w:rFonts w:cs="Arial"/>
                <w:sz w:val="20"/>
              </w:rPr>
              <w:t xml:space="preserve"> Does the current curriculum </w:t>
            </w:r>
            <w:r w:rsidR="00EF15D9" w:rsidRPr="00C059D3">
              <w:rPr>
                <w:rFonts w:cs="Arial"/>
                <w:sz w:val="20"/>
              </w:rPr>
              <w:t>align with the college’s e-learning strategy</w:t>
            </w:r>
            <w:r w:rsidR="000673C8" w:rsidRPr="00C059D3">
              <w:rPr>
                <w:rFonts w:cs="Arial"/>
                <w:sz w:val="20"/>
              </w:rPr>
              <w:t xml:space="preserve"> which strives to have all Fleming graduates experience </w:t>
            </w:r>
            <w:r w:rsidR="009E264C" w:rsidRPr="00C059D3">
              <w:rPr>
                <w:rFonts w:cs="Arial"/>
                <w:sz w:val="20"/>
              </w:rPr>
              <w:t xml:space="preserve">technology enhanced </w:t>
            </w:r>
            <w:r w:rsidR="000673C8" w:rsidRPr="00C059D3">
              <w:rPr>
                <w:rFonts w:cs="Arial"/>
                <w:sz w:val="20"/>
              </w:rPr>
              <w:t>learning in each semester of their program</w:t>
            </w:r>
            <w:r w:rsidR="00F12BDC" w:rsidRPr="00C059D3">
              <w:rPr>
                <w:rFonts w:cs="Arial"/>
                <w:sz w:val="20"/>
              </w:rPr>
              <w:t xml:space="preserve">? </w:t>
            </w:r>
            <w:r w:rsidR="009E264C" w:rsidRPr="00C059D3">
              <w:rPr>
                <w:rFonts w:cs="Arial"/>
                <w:sz w:val="20"/>
              </w:rPr>
              <w:t>Identify courses where possible</w:t>
            </w:r>
            <w:r w:rsidR="00FE50AB" w:rsidRPr="00C059D3">
              <w:rPr>
                <w:rFonts w:cs="Arial"/>
                <w:sz w:val="20"/>
              </w:rPr>
              <w:t xml:space="preserve"> </w:t>
            </w:r>
            <w:r w:rsidR="009E264C" w:rsidRPr="00C059D3">
              <w:rPr>
                <w:rFonts w:cs="Arial"/>
                <w:sz w:val="20"/>
              </w:rPr>
              <w:t>.</w:t>
            </w:r>
            <w:r w:rsidR="00FE50AB" w:rsidRPr="00C059D3">
              <w:rPr>
                <w:rFonts w:cs="Arial"/>
                <w:b/>
                <w:sz w:val="20"/>
              </w:rPr>
              <w:t xml:space="preserve">E-Learning evaluation elements have been added to ALL our Recreation specific </w:t>
            </w:r>
            <w:r w:rsidR="00FE50AB" w:rsidRPr="00C059D3">
              <w:rPr>
                <w:rFonts w:cs="Arial"/>
                <w:b/>
                <w:sz w:val="20"/>
              </w:rPr>
              <w:lastRenderedPageBreak/>
              <w:t>courses</w:t>
            </w:r>
          </w:p>
          <w:p w:rsidR="002247EA" w:rsidRPr="00C059D3" w:rsidRDefault="002247EA" w:rsidP="005C63D5">
            <w:pPr>
              <w:pStyle w:val="ListParagraph"/>
              <w:rPr>
                <w:rFonts w:cs="Arial"/>
                <w:sz w:val="20"/>
              </w:rPr>
            </w:pPr>
          </w:p>
          <w:p w:rsidR="00F12BDC" w:rsidRPr="00C059D3" w:rsidRDefault="00F12BDC" w:rsidP="007E34C1">
            <w:pPr>
              <w:numPr>
                <w:ilvl w:val="1"/>
                <w:numId w:val="4"/>
              </w:numPr>
              <w:tabs>
                <w:tab w:val="left" w:pos="681"/>
                <w:tab w:val="left" w:pos="972"/>
              </w:tabs>
              <w:rPr>
                <w:rFonts w:cs="Arial"/>
                <w:sz w:val="20"/>
              </w:rPr>
            </w:pPr>
            <w:r w:rsidRPr="00C059D3">
              <w:rPr>
                <w:rFonts w:cs="Arial"/>
                <w:sz w:val="20"/>
              </w:rPr>
              <w:t xml:space="preserve"> </w:t>
            </w:r>
            <w:r w:rsidR="007E10F0" w:rsidRPr="00C059D3">
              <w:rPr>
                <w:rFonts w:cs="Arial"/>
                <w:sz w:val="20"/>
              </w:rPr>
              <w:t xml:space="preserve">Does the current curriculum align with the College’s Strategic </w:t>
            </w:r>
            <w:r w:rsidRPr="00C059D3">
              <w:rPr>
                <w:rFonts w:cs="Arial"/>
                <w:sz w:val="20"/>
              </w:rPr>
              <w:t>Plan to</w:t>
            </w:r>
            <w:r w:rsidR="007E10F0" w:rsidRPr="00C059D3">
              <w:rPr>
                <w:rFonts w:cs="Arial"/>
                <w:i/>
                <w:iCs/>
                <w:sz w:val="20"/>
              </w:rPr>
              <w:t xml:space="preserve"> “infuse sustainability across the curriculum and across the student experience so that graduates understand and address sustainability </w:t>
            </w:r>
            <w:proofErr w:type="gramStart"/>
            <w:r w:rsidR="007E10F0" w:rsidRPr="00C059D3">
              <w:rPr>
                <w:rFonts w:cs="Arial"/>
                <w:i/>
                <w:iCs/>
                <w:sz w:val="20"/>
              </w:rPr>
              <w:t>issues.</w:t>
            </w:r>
            <w:proofErr w:type="gramEnd"/>
            <w:r w:rsidR="007E10F0" w:rsidRPr="00C059D3">
              <w:rPr>
                <w:rFonts w:cs="Arial"/>
                <w:i/>
                <w:iCs/>
                <w:sz w:val="20"/>
              </w:rPr>
              <w:t>” (Goal 3.3)</w:t>
            </w:r>
            <w:r w:rsidRPr="00C059D3">
              <w:rPr>
                <w:rFonts w:cs="Arial"/>
                <w:i/>
                <w:iCs/>
                <w:sz w:val="20"/>
              </w:rPr>
              <w:t xml:space="preserve">  </w:t>
            </w:r>
            <w:r w:rsidRPr="00C059D3">
              <w:rPr>
                <w:rFonts w:cs="Arial"/>
                <w:iCs/>
                <w:sz w:val="20"/>
              </w:rPr>
              <w:t>Please identify which courses/experiences in the students’ program that sustainability issues are addressed.</w:t>
            </w:r>
            <w:r w:rsidR="00FE50AB" w:rsidRPr="00C059D3">
              <w:rPr>
                <w:rFonts w:cs="Arial"/>
                <w:iCs/>
                <w:sz w:val="20"/>
              </w:rPr>
              <w:t xml:space="preserve"> </w:t>
            </w:r>
            <w:r w:rsidR="00FE50AB" w:rsidRPr="00C059D3">
              <w:rPr>
                <w:rFonts w:cs="Arial"/>
                <w:b/>
                <w:iCs/>
                <w:sz w:val="20"/>
              </w:rPr>
              <w:t>Sustainability/Greenup is a key factor addressed in courses such</w:t>
            </w:r>
            <w:r w:rsidR="00C059D3" w:rsidRPr="00C059D3">
              <w:rPr>
                <w:rFonts w:cs="Arial"/>
                <w:b/>
                <w:iCs/>
                <w:sz w:val="20"/>
              </w:rPr>
              <w:t xml:space="preserve"> Leisure/</w:t>
            </w:r>
            <w:proofErr w:type="gramStart"/>
            <w:r w:rsidR="00C059D3" w:rsidRPr="00C059D3">
              <w:rPr>
                <w:rFonts w:cs="Arial"/>
                <w:b/>
                <w:iCs/>
                <w:sz w:val="20"/>
              </w:rPr>
              <w:t>Lifestyle ,Intro</w:t>
            </w:r>
            <w:proofErr w:type="gramEnd"/>
            <w:r w:rsidR="00C059D3" w:rsidRPr="00C059D3">
              <w:rPr>
                <w:rFonts w:cs="Arial"/>
                <w:b/>
                <w:iCs/>
                <w:sz w:val="20"/>
              </w:rPr>
              <w:t>. Recreation and Leisure Services, Building Communities Through Parks &amp; Recreation, Recreation Programming, Tournaments &amp; Events, Facility Management and Finance and Revenue generation</w:t>
            </w:r>
            <w:r w:rsidR="00C059D3">
              <w:rPr>
                <w:rFonts w:cs="Arial"/>
                <w:iCs/>
                <w:sz w:val="20"/>
              </w:rPr>
              <w:t>.</w:t>
            </w:r>
            <w:r w:rsidR="00FE50AB" w:rsidRPr="00C059D3">
              <w:rPr>
                <w:rFonts w:cs="Arial"/>
                <w:iCs/>
                <w:sz w:val="20"/>
              </w:rPr>
              <w:t xml:space="preserve"> </w:t>
            </w:r>
          </w:p>
          <w:p w:rsidR="00373FD2" w:rsidRPr="00C059D3" w:rsidRDefault="00373FD2" w:rsidP="00373FD2">
            <w:pPr>
              <w:tabs>
                <w:tab w:val="left" w:pos="432"/>
                <w:tab w:val="left" w:pos="972"/>
              </w:tabs>
              <w:ind w:left="432" w:hanging="360"/>
              <w:rPr>
                <w:rFonts w:cs="Arial"/>
                <w:sz w:val="20"/>
              </w:rPr>
            </w:pPr>
          </w:p>
          <w:p w:rsidR="00373FD2" w:rsidRPr="0073534B" w:rsidRDefault="001D5C52" w:rsidP="004C2936">
            <w:pPr>
              <w:numPr>
                <w:ilvl w:val="1"/>
                <w:numId w:val="4"/>
              </w:numPr>
              <w:tabs>
                <w:tab w:val="left" w:pos="681"/>
                <w:tab w:val="left" w:pos="972"/>
              </w:tabs>
              <w:rPr>
                <w:rFonts w:cs="Arial"/>
                <w:b/>
                <w:sz w:val="20"/>
              </w:rPr>
            </w:pPr>
            <w:r w:rsidRPr="00C059D3">
              <w:rPr>
                <w:rFonts w:cs="Arial"/>
                <w:sz w:val="20"/>
              </w:rPr>
              <w:t xml:space="preserve"> </w:t>
            </w:r>
            <w:r w:rsidR="00BF7A03" w:rsidRPr="00C059D3">
              <w:rPr>
                <w:rFonts w:cs="Arial"/>
                <w:sz w:val="20"/>
              </w:rPr>
              <w:t xml:space="preserve">Identify </w:t>
            </w:r>
            <w:r w:rsidRPr="00C059D3">
              <w:rPr>
                <w:rFonts w:cs="Arial"/>
                <w:sz w:val="20"/>
              </w:rPr>
              <w:t>any r</w:t>
            </w:r>
            <w:r w:rsidR="00373FD2" w:rsidRPr="00C059D3">
              <w:rPr>
                <w:rFonts w:cs="Arial"/>
                <w:sz w:val="20"/>
              </w:rPr>
              <w:t xml:space="preserve">ecent or anticipated initiatives that promote student pathways </w:t>
            </w:r>
            <w:r w:rsidR="00BF7A03" w:rsidRPr="00C059D3">
              <w:rPr>
                <w:rFonts w:cs="Arial"/>
                <w:sz w:val="20"/>
              </w:rPr>
              <w:t>i</w:t>
            </w:r>
            <w:r w:rsidR="00373FD2" w:rsidRPr="00C059D3">
              <w:rPr>
                <w:rFonts w:cs="Arial"/>
                <w:sz w:val="20"/>
              </w:rPr>
              <w:t xml:space="preserve">ncluding partnerships with high schools, program laddering, </w:t>
            </w:r>
            <w:r w:rsidR="00BF7A03" w:rsidRPr="00C059D3">
              <w:rPr>
                <w:rFonts w:cs="Arial"/>
                <w:sz w:val="20"/>
              </w:rPr>
              <w:t>u</w:t>
            </w:r>
            <w:r w:rsidR="00373FD2" w:rsidRPr="00C059D3">
              <w:rPr>
                <w:rFonts w:cs="Arial"/>
                <w:sz w:val="20"/>
              </w:rPr>
              <w:t xml:space="preserve">niversity transfer / articulations, </w:t>
            </w:r>
            <w:r w:rsidR="00BF7A03" w:rsidRPr="00C059D3">
              <w:rPr>
                <w:rFonts w:cs="Arial"/>
                <w:sz w:val="20"/>
              </w:rPr>
              <w:t xml:space="preserve">or </w:t>
            </w:r>
            <w:r w:rsidR="00373FD2" w:rsidRPr="00C059D3">
              <w:rPr>
                <w:rFonts w:cs="Arial"/>
                <w:sz w:val="20"/>
              </w:rPr>
              <w:t>continuing education?</w:t>
            </w:r>
            <w:r w:rsidR="0032066E">
              <w:rPr>
                <w:rFonts w:cs="Arial"/>
                <w:sz w:val="20"/>
              </w:rPr>
              <w:t xml:space="preserve"> </w:t>
            </w:r>
            <w:r w:rsidR="003E5E7E" w:rsidRPr="0073534B">
              <w:rPr>
                <w:rFonts w:cs="Arial"/>
                <w:b/>
                <w:sz w:val="20"/>
              </w:rPr>
              <w:t>We have now</w:t>
            </w:r>
            <w:r w:rsidR="003E5E7E">
              <w:rPr>
                <w:rFonts w:cs="Arial"/>
                <w:sz w:val="20"/>
              </w:rPr>
              <w:t xml:space="preserve"> </w:t>
            </w:r>
            <w:r w:rsidR="003E5E7E" w:rsidRPr="0073534B">
              <w:rPr>
                <w:rFonts w:cs="Arial"/>
                <w:b/>
                <w:sz w:val="20"/>
              </w:rPr>
              <w:t>proposed two semester 1 course</w:t>
            </w:r>
            <w:r w:rsidR="00C15791">
              <w:rPr>
                <w:rFonts w:cs="Arial"/>
                <w:b/>
                <w:sz w:val="20"/>
              </w:rPr>
              <w:t>s</w:t>
            </w:r>
            <w:r w:rsidR="003E5E7E" w:rsidRPr="0073534B">
              <w:rPr>
                <w:rFonts w:cs="Arial"/>
                <w:b/>
                <w:sz w:val="20"/>
              </w:rPr>
              <w:t xml:space="preserve"> for delivery at the High School </w:t>
            </w:r>
            <w:proofErr w:type="gramStart"/>
            <w:r w:rsidR="003E5E7E" w:rsidRPr="0073534B">
              <w:rPr>
                <w:rFonts w:cs="Arial"/>
                <w:b/>
                <w:sz w:val="20"/>
              </w:rPr>
              <w:t>level  (</w:t>
            </w:r>
            <w:proofErr w:type="gramEnd"/>
            <w:r w:rsidR="003E5E7E" w:rsidRPr="0073534B">
              <w:rPr>
                <w:rFonts w:cs="Arial"/>
                <w:b/>
                <w:sz w:val="20"/>
              </w:rPr>
              <w:t>Intro., To Recreation &amp; Leisure Services, and Leisure/Lifestyles),but no positive decisions as of yet</w:t>
            </w:r>
            <w:r w:rsidR="007E34C1">
              <w:rPr>
                <w:rFonts w:cs="Arial"/>
                <w:b/>
                <w:sz w:val="20"/>
              </w:rPr>
              <w:t xml:space="preserve">. I spoke to Will Howe about this and he indicated neither course has been picked up on by the Schools, but that they remain pending. He also mentioned that declining enrollment at the High School level is impacting this program. The good news is that elementary school enrollment is strong but it will take a few years for that to impact at the High School level. </w:t>
            </w:r>
            <w:r w:rsidR="003E5E7E" w:rsidRPr="0073534B">
              <w:rPr>
                <w:rFonts w:cs="Arial"/>
                <w:b/>
                <w:sz w:val="20"/>
              </w:rPr>
              <w:t xml:space="preserve">.We also met with a B.C. University </w:t>
            </w:r>
            <w:r w:rsidR="0073534B">
              <w:rPr>
                <w:rFonts w:cs="Arial"/>
                <w:b/>
                <w:sz w:val="20"/>
              </w:rPr>
              <w:t>representative</w:t>
            </w:r>
            <w:r w:rsidR="003E5E7E" w:rsidRPr="0073534B">
              <w:rPr>
                <w:rFonts w:cs="Arial"/>
                <w:b/>
                <w:sz w:val="20"/>
              </w:rPr>
              <w:t xml:space="preserve"> in October around a possible BA articulation related to Hotel &amp; Resort Management .Finally we completed and submitted a proposal to reinstate the College Event Management Post Graduate program within CD&amp;H under the title of </w:t>
            </w:r>
            <w:proofErr w:type="gramStart"/>
            <w:r w:rsidR="003E5E7E" w:rsidRPr="0073534B">
              <w:rPr>
                <w:rFonts w:cs="Arial"/>
                <w:b/>
                <w:sz w:val="20"/>
              </w:rPr>
              <w:t>Sports ,Festivals</w:t>
            </w:r>
            <w:proofErr w:type="gramEnd"/>
            <w:r w:rsidR="003E5E7E" w:rsidRPr="0073534B">
              <w:rPr>
                <w:rFonts w:cs="Arial"/>
                <w:b/>
                <w:sz w:val="20"/>
              </w:rPr>
              <w:t xml:space="preserve"> &amp; Events .</w:t>
            </w:r>
          </w:p>
          <w:p w:rsidR="00373FD2" w:rsidRPr="00C059D3" w:rsidRDefault="00373FD2" w:rsidP="00373FD2">
            <w:pPr>
              <w:tabs>
                <w:tab w:val="left" w:pos="432"/>
                <w:tab w:val="left" w:pos="972"/>
              </w:tabs>
              <w:ind w:left="432" w:hanging="360"/>
              <w:rPr>
                <w:rFonts w:cs="Arial"/>
                <w:sz w:val="20"/>
              </w:rPr>
            </w:pPr>
          </w:p>
          <w:p w:rsidR="00373FD2" w:rsidRPr="00C059D3" w:rsidRDefault="001D5C52" w:rsidP="004C2936">
            <w:pPr>
              <w:numPr>
                <w:ilvl w:val="1"/>
                <w:numId w:val="4"/>
              </w:numPr>
              <w:tabs>
                <w:tab w:val="left" w:pos="681"/>
                <w:tab w:val="left" w:pos="972"/>
              </w:tabs>
              <w:rPr>
                <w:rFonts w:cs="Arial"/>
                <w:sz w:val="20"/>
              </w:rPr>
            </w:pPr>
            <w:r w:rsidRPr="00C059D3">
              <w:rPr>
                <w:rFonts w:cs="Arial"/>
                <w:sz w:val="20"/>
              </w:rPr>
              <w:t xml:space="preserve"> </w:t>
            </w:r>
            <w:r w:rsidR="00BF7A03" w:rsidRPr="00C059D3">
              <w:rPr>
                <w:rFonts w:cs="Arial"/>
                <w:sz w:val="20"/>
              </w:rPr>
              <w:t xml:space="preserve">Identify </w:t>
            </w:r>
            <w:r w:rsidRPr="00C059D3">
              <w:rPr>
                <w:rFonts w:cs="Arial"/>
                <w:sz w:val="20"/>
              </w:rPr>
              <w:t>any n</w:t>
            </w:r>
            <w:r w:rsidR="00373FD2" w:rsidRPr="00C059D3">
              <w:rPr>
                <w:rFonts w:cs="Arial"/>
                <w:sz w:val="20"/>
              </w:rPr>
              <w:t>ew competitor programs and/or re-positioning of existing programs</w:t>
            </w:r>
            <w:r w:rsidRPr="00C059D3">
              <w:rPr>
                <w:rFonts w:cs="Arial"/>
                <w:sz w:val="20"/>
              </w:rPr>
              <w:t>?</w:t>
            </w:r>
            <w:r w:rsidR="0073534B">
              <w:rPr>
                <w:rFonts w:cs="Arial"/>
                <w:sz w:val="20"/>
              </w:rPr>
              <w:t xml:space="preserve"> </w:t>
            </w:r>
            <w:r w:rsidR="0073534B" w:rsidRPr="0073534B">
              <w:rPr>
                <w:rFonts w:cs="Arial"/>
                <w:b/>
                <w:sz w:val="20"/>
              </w:rPr>
              <w:t>The most recent was a new RLS Program at Durham College</w:t>
            </w:r>
            <w:r w:rsidR="0073534B">
              <w:rPr>
                <w:rFonts w:cs="Arial"/>
                <w:b/>
                <w:sz w:val="20"/>
              </w:rPr>
              <w:t>.</w:t>
            </w:r>
            <w:r w:rsidR="007E34C1">
              <w:rPr>
                <w:rFonts w:cs="Arial"/>
                <w:b/>
                <w:sz w:val="20"/>
              </w:rPr>
              <w:t xml:space="preserve"> Also there has been an increase in College offerings of graduate Therapeutic Recreation programs that is drawing potential RLS students away from RLS.</w:t>
            </w:r>
          </w:p>
          <w:p w:rsidR="00373FD2" w:rsidRPr="00C059D3" w:rsidRDefault="00373FD2" w:rsidP="00373FD2">
            <w:pPr>
              <w:tabs>
                <w:tab w:val="left" w:pos="252"/>
                <w:tab w:val="left" w:pos="972"/>
              </w:tabs>
              <w:ind w:left="72"/>
              <w:rPr>
                <w:rFonts w:cs="Arial"/>
                <w:sz w:val="20"/>
              </w:rPr>
            </w:pPr>
          </w:p>
          <w:p w:rsidR="001D5C52" w:rsidRPr="00C059D3" w:rsidRDefault="001D5C52" w:rsidP="007E34C1">
            <w:pPr>
              <w:numPr>
                <w:ilvl w:val="1"/>
                <w:numId w:val="4"/>
              </w:numPr>
              <w:tabs>
                <w:tab w:val="left" w:pos="681"/>
                <w:tab w:val="left" w:pos="972"/>
              </w:tabs>
              <w:rPr>
                <w:rFonts w:cs="Arial"/>
                <w:sz w:val="20"/>
              </w:rPr>
            </w:pPr>
            <w:r w:rsidRPr="00C059D3">
              <w:rPr>
                <w:rFonts w:cs="Arial"/>
                <w:sz w:val="20"/>
              </w:rPr>
              <w:t xml:space="preserve"> </w:t>
            </w:r>
            <w:r w:rsidR="00BF7A03" w:rsidRPr="00C059D3">
              <w:rPr>
                <w:rFonts w:cs="Arial"/>
                <w:sz w:val="20"/>
              </w:rPr>
              <w:t xml:space="preserve">Identify if there are </w:t>
            </w:r>
            <w:r w:rsidRPr="00C059D3">
              <w:rPr>
                <w:rFonts w:cs="Arial"/>
                <w:sz w:val="20"/>
              </w:rPr>
              <w:t>any n</w:t>
            </w:r>
            <w:r w:rsidR="00373FD2" w:rsidRPr="00C059D3">
              <w:rPr>
                <w:rFonts w:cs="Arial"/>
                <w:sz w:val="20"/>
              </w:rPr>
              <w:t>ew or changing provincial standards, standards for accreditation, credentials, and / or industry or sector certifications over the past year</w:t>
            </w:r>
            <w:r w:rsidRPr="00C059D3">
              <w:rPr>
                <w:rFonts w:cs="Arial"/>
                <w:sz w:val="20"/>
              </w:rPr>
              <w:t>?</w:t>
            </w:r>
            <w:r w:rsidR="00373FD2" w:rsidRPr="00C059D3">
              <w:rPr>
                <w:rFonts w:cs="Arial"/>
                <w:sz w:val="20"/>
              </w:rPr>
              <w:t xml:space="preserve"> </w:t>
            </w:r>
            <w:r w:rsidR="0073534B" w:rsidRPr="0073534B">
              <w:rPr>
                <w:rFonts w:cs="Arial"/>
                <w:b/>
                <w:sz w:val="20"/>
              </w:rPr>
              <w:t>MTCU implemented new RLS Provincial Standards effective June 2014.</w:t>
            </w:r>
          </w:p>
          <w:p w:rsidR="000673C8" w:rsidRPr="00C059D3" w:rsidRDefault="000673C8" w:rsidP="000673C8">
            <w:pPr>
              <w:pStyle w:val="ListParagraph"/>
              <w:rPr>
                <w:rFonts w:cs="Arial"/>
                <w:sz w:val="20"/>
              </w:rPr>
            </w:pPr>
          </w:p>
          <w:p w:rsidR="000673C8" w:rsidRPr="00C059D3" w:rsidRDefault="000673C8" w:rsidP="000673C8">
            <w:pPr>
              <w:tabs>
                <w:tab w:val="left" w:pos="681"/>
                <w:tab w:val="left" w:pos="972"/>
              </w:tabs>
              <w:ind w:left="720"/>
              <w:rPr>
                <w:rFonts w:cs="Arial"/>
                <w:sz w:val="20"/>
              </w:rPr>
            </w:pPr>
          </w:p>
          <w:p w:rsidR="00373FD2" w:rsidRPr="00C059D3" w:rsidRDefault="00373FD2" w:rsidP="00EF15D9">
            <w:pPr>
              <w:pStyle w:val="Title"/>
              <w:tabs>
                <w:tab w:val="left" w:pos="432"/>
                <w:tab w:val="left" w:pos="972"/>
              </w:tabs>
              <w:ind w:left="432" w:hanging="360"/>
              <w:jc w:val="left"/>
              <w:rPr>
                <w:rFonts w:ascii="Arial" w:hAnsi="Arial" w:cs="Arial"/>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w:t>
            </w:r>
            <w:r w:rsidR="00093D08">
              <w:rPr>
                <w:rFonts w:cs="Arial"/>
                <w:sz w:val="20"/>
              </w:rPr>
              <w:t>x</w:t>
            </w:r>
            <w:r>
              <w:rPr>
                <w:rFonts w:cs="Arial"/>
                <w:sz w:val="20"/>
              </w:rPr>
              <w:t xml:space="preserve">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_</w:t>
            </w:r>
            <w:r w:rsidR="00093D08">
              <w:rPr>
                <w:rFonts w:cs="Arial"/>
                <w:sz w:val="20"/>
              </w:rPr>
              <w:t>x</w:t>
            </w:r>
            <w:r>
              <w:rPr>
                <w:rFonts w:cs="Arial"/>
                <w:sz w:val="20"/>
              </w:rPr>
              <w:t xml:space="preserve">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w:t>
            </w:r>
            <w:r w:rsidR="00093D08">
              <w:rPr>
                <w:rFonts w:cs="Arial"/>
                <w:sz w:val="20"/>
              </w:rPr>
              <w:t>x</w:t>
            </w:r>
            <w:r>
              <w:rPr>
                <w:rFonts w:cs="Arial"/>
                <w:sz w:val="20"/>
              </w:rPr>
              <w:t xml:space="preserve">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Pr="00153A44" w:rsidRDefault="001D5863" w:rsidP="00373FD2">
            <w:pPr>
              <w:tabs>
                <w:tab w:val="left" w:pos="681"/>
              </w:tabs>
              <w:ind w:left="681" w:hanging="609"/>
              <w:rPr>
                <w:rFonts w:cs="Arial"/>
                <w:b/>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r w:rsidRPr="00153A44">
              <w:rPr>
                <w:rFonts w:cs="Arial"/>
                <w:b/>
                <w:sz w:val="20"/>
              </w:rPr>
              <w:t>)</w:t>
            </w:r>
            <w:r w:rsidR="009249E1" w:rsidRPr="00153A44">
              <w:rPr>
                <w:rFonts w:cs="Arial"/>
                <w:b/>
                <w:sz w:val="20"/>
              </w:rPr>
              <w:t xml:space="preserve"> KPI4-Graduate satisfaction with Generic &amp; Vocational outcomes shows RLS as </w:t>
            </w:r>
            <w:r w:rsidR="00B46AA6" w:rsidRPr="00153A44">
              <w:rPr>
                <w:rFonts w:cs="Arial"/>
                <w:b/>
                <w:sz w:val="20"/>
              </w:rPr>
              <w:t>85.11</w:t>
            </w:r>
            <w:r w:rsidR="009249E1" w:rsidRPr="00153A44">
              <w:rPr>
                <w:rFonts w:cs="Arial"/>
                <w:b/>
                <w:sz w:val="20"/>
              </w:rPr>
              <w:t xml:space="preserve">% </w:t>
            </w:r>
            <w:r w:rsidR="00B46AA6" w:rsidRPr="00153A44">
              <w:rPr>
                <w:rFonts w:cs="Arial"/>
                <w:b/>
                <w:sz w:val="20"/>
              </w:rPr>
              <w:t>,College 86.07 and System 85.46.So RLS is slightly below System and College. We will continue to work at improvements here.KPI8 Student Satisfaction with learning Experience at 71.15% is  -14.11% below the system, and we expect much improvement in this KPI based on 201</w:t>
            </w:r>
            <w:r w:rsidR="0049041F" w:rsidRPr="00153A44">
              <w:rPr>
                <w:rFonts w:cs="Arial"/>
                <w:b/>
                <w:sz w:val="20"/>
              </w:rPr>
              <w:t xml:space="preserve">3-14 improve the experience initiatives implemented by </w:t>
            </w:r>
            <w:r w:rsidR="0049041F" w:rsidRPr="00153A44">
              <w:rPr>
                <w:rFonts w:cs="Arial"/>
                <w:b/>
                <w:sz w:val="20"/>
              </w:rPr>
              <w:lastRenderedPageBreak/>
              <w:t>faculty. KPI 9</w:t>
            </w:r>
            <w:r w:rsidR="00B46AA6" w:rsidRPr="00153A44">
              <w:rPr>
                <w:rFonts w:cs="Arial"/>
                <w:b/>
                <w:sz w:val="20"/>
              </w:rPr>
              <w:t xml:space="preserve"> </w:t>
            </w:r>
            <w:r w:rsidR="0049041F" w:rsidRPr="00153A44">
              <w:rPr>
                <w:rFonts w:cs="Arial"/>
                <w:b/>
                <w:sz w:val="20"/>
              </w:rPr>
              <w:t>Satisfaction with teachers rated 48.39%,and 26.07% below the College is not a good result and we can only assume that it was due to faculty changes( 1 retired, &amp; 1 resignation</w:t>
            </w:r>
            <w:r w:rsidR="00153A44" w:rsidRPr="00153A44">
              <w:rPr>
                <w:rFonts w:cs="Arial"/>
                <w:b/>
                <w:sz w:val="20"/>
              </w:rPr>
              <w:t xml:space="preserve"> both on short notice</w:t>
            </w:r>
            <w:r w:rsidR="0049041F" w:rsidRPr="00153A44">
              <w:rPr>
                <w:rFonts w:cs="Arial"/>
                <w:b/>
                <w:sz w:val="20"/>
              </w:rPr>
              <w:t>), and the related time and adjustment that has to take place from a student and</w:t>
            </w:r>
            <w:r w:rsidR="00153A44" w:rsidRPr="00153A44">
              <w:rPr>
                <w:rFonts w:cs="Arial"/>
                <w:b/>
                <w:sz w:val="20"/>
              </w:rPr>
              <w:t xml:space="preserve"> new</w:t>
            </w:r>
            <w:r w:rsidR="0049041F" w:rsidRPr="00153A44">
              <w:rPr>
                <w:rFonts w:cs="Arial"/>
                <w:b/>
                <w:sz w:val="20"/>
              </w:rPr>
              <w:t xml:space="preserve"> faculty perspective when coping with change .Time has now passed adjustments made, and improve the learning experience initiatives have been implemented</w:t>
            </w:r>
            <w:r w:rsidR="00153A44" w:rsidRPr="00153A44">
              <w:rPr>
                <w:rFonts w:cs="Arial"/>
                <w:b/>
                <w:sz w:val="20"/>
              </w:rPr>
              <w:t xml:space="preserve"> </w:t>
            </w:r>
            <w:r w:rsidR="0049041F" w:rsidRPr="00153A44">
              <w:rPr>
                <w:rFonts w:cs="Arial"/>
                <w:b/>
                <w:sz w:val="20"/>
              </w:rPr>
              <w:t>,</w:t>
            </w:r>
            <w:r w:rsidR="00153A44" w:rsidRPr="00153A44">
              <w:rPr>
                <w:rFonts w:cs="Arial"/>
                <w:b/>
                <w:sz w:val="20"/>
              </w:rPr>
              <w:t xml:space="preserve">so we do expect significant improvement in this area.KPI11 Graduate Satisfaction with the Program RLS show 81.51% student satisfaction as compared to the College 82.66%. Again with our improve the experience direction of the past year we do expect this area to show at or better than the College and the System </w:t>
            </w:r>
            <w:r w:rsidR="0049041F" w:rsidRPr="00153A44">
              <w:rPr>
                <w:rFonts w:cs="Arial"/>
                <w:b/>
                <w:sz w:val="20"/>
              </w:rPr>
              <w:t xml:space="preserve"> </w:t>
            </w:r>
            <w:r w:rsidR="00B46AA6" w:rsidRPr="00153A44">
              <w:rPr>
                <w:rFonts w:cs="Arial"/>
                <w:b/>
                <w:sz w:val="20"/>
              </w:rPr>
              <w:t xml:space="preserve"> </w:t>
            </w:r>
          </w:p>
          <w:p w:rsidR="00B46AA6" w:rsidRDefault="00B46AA6" w:rsidP="00373FD2">
            <w:pPr>
              <w:tabs>
                <w:tab w:val="left" w:pos="681"/>
              </w:tabs>
              <w:ind w:left="681" w:hanging="609"/>
              <w:rPr>
                <w:rFonts w:cs="Arial"/>
                <w:sz w:val="20"/>
              </w:rPr>
            </w:pPr>
          </w:p>
          <w:p w:rsidR="00373FD2" w:rsidRDefault="00373FD2"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Pr="00D338F3" w:rsidRDefault="001D5863" w:rsidP="00373FD2">
            <w:pPr>
              <w:tabs>
                <w:tab w:val="left" w:pos="252"/>
                <w:tab w:val="left" w:pos="972"/>
              </w:tabs>
              <w:ind w:left="252" w:hanging="180"/>
              <w:rPr>
                <w:rFonts w:cs="Arial"/>
                <w:b/>
                <w:sz w:val="20"/>
              </w:rPr>
            </w:pPr>
            <w:r>
              <w:rPr>
                <w:rFonts w:cs="Arial"/>
                <w:sz w:val="20"/>
              </w:rPr>
              <w:t>4</w:t>
            </w:r>
            <w:r w:rsidR="00373FD2">
              <w:rPr>
                <w:rFonts w:cs="Arial"/>
                <w:sz w:val="20"/>
              </w:rPr>
              <w:t xml:space="preserve">.2     </w:t>
            </w:r>
            <w:r w:rsidR="00373FD2" w:rsidRPr="00D338F3">
              <w:rPr>
                <w:rFonts w:cs="Arial"/>
                <w:b/>
                <w:sz w:val="20"/>
              </w:rPr>
              <w:t>Review and discuss student retention on a semester by semester basis over the past year.</w:t>
            </w:r>
            <w:r w:rsidR="00153A44" w:rsidRPr="00D338F3">
              <w:rPr>
                <w:rFonts w:cs="Arial"/>
                <w:b/>
                <w:sz w:val="20"/>
              </w:rPr>
              <w:t xml:space="preserve"> We have reviewed the student retention data for RLS over the past three years and other than the year 2011 that showed an 83% </w:t>
            </w:r>
            <w:proofErr w:type="spellStart"/>
            <w:r w:rsidR="00153A44" w:rsidRPr="00D338F3">
              <w:rPr>
                <w:rFonts w:cs="Arial"/>
                <w:b/>
                <w:sz w:val="20"/>
              </w:rPr>
              <w:t>avge</w:t>
            </w:r>
            <w:proofErr w:type="spellEnd"/>
            <w:r w:rsidR="00153A44" w:rsidRPr="00D338F3">
              <w:rPr>
                <w:rFonts w:cs="Arial"/>
                <w:b/>
                <w:sz w:val="20"/>
              </w:rPr>
              <w:t xml:space="preserve"> retention between semesters, all the other years</w:t>
            </w:r>
            <w:r w:rsidR="00D338F3" w:rsidRPr="00D338F3">
              <w:rPr>
                <w:rFonts w:cs="Arial"/>
                <w:b/>
                <w:sz w:val="20"/>
              </w:rPr>
              <w:t xml:space="preserve"> have averaged in the upper 88% range from semester to semester .Therefore no real concerns in this area</w:t>
            </w:r>
          </w:p>
          <w:p w:rsidR="00BF7A03" w:rsidRPr="00D338F3" w:rsidRDefault="00BF7A03" w:rsidP="00373FD2">
            <w:pPr>
              <w:tabs>
                <w:tab w:val="left" w:pos="252"/>
                <w:tab w:val="left" w:pos="972"/>
              </w:tabs>
              <w:ind w:left="252" w:hanging="180"/>
              <w:rPr>
                <w:rFonts w:cs="Arial"/>
                <w:b/>
                <w:sz w:val="20"/>
              </w:rPr>
            </w:pP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FE1E37" w:rsidP="004C2936">
            <w:pPr>
              <w:numPr>
                <w:ilvl w:val="0"/>
                <w:numId w:val="2"/>
              </w:numPr>
              <w:rPr>
                <w:rFonts w:cs="Arial"/>
                <w:b/>
                <w:sz w:val="20"/>
              </w:rPr>
            </w:pPr>
            <w:r>
              <w:rPr>
                <w:rFonts w:cs="Arial"/>
                <w:b/>
                <w:sz w:val="20"/>
              </w:rPr>
              <w:t xml:space="preserve">The program is now operating under new (June 2014) revised and current MTCU Provincial Standards with appropriate changes already reflected in the delivery of our </w:t>
            </w:r>
            <w:proofErr w:type="gramStart"/>
            <w:r>
              <w:rPr>
                <w:rFonts w:cs="Arial"/>
                <w:b/>
                <w:sz w:val="20"/>
              </w:rPr>
              <w:t>Fall</w:t>
            </w:r>
            <w:proofErr w:type="gramEnd"/>
            <w:r>
              <w:rPr>
                <w:rFonts w:cs="Arial"/>
                <w:b/>
                <w:sz w:val="20"/>
              </w:rPr>
              <w:t xml:space="preserve"> 2014 courses.</w:t>
            </w:r>
            <w:r w:rsidR="00373FD2" w:rsidRPr="00356C80">
              <w:rPr>
                <w:rFonts w:cs="Arial"/>
                <w:b/>
                <w:sz w:val="20"/>
              </w:rPr>
              <w:br/>
            </w:r>
          </w:p>
          <w:p w:rsidR="00373FD2" w:rsidRPr="00B82A68" w:rsidRDefault="00FE1E37" w:rsidP="004C2936">
            <w:pPr>
              <w:numPr>
                <w:ilvl w:val="0"/>
                <w:numId w:val="2"/>
              </w:numPr>
              <w:rPr>
                <w:rFonts w:cs="Arial"/>
                <w:b/>
                <w:sz w:val="20"/>
              </w:rPr>
            </w:pPr>
            <w:r>
              <w:rPr>
                <w:rFonts w:cs="Arial"/>
                <w:b/>
                <w:sz w:val="20"/>
              </w:rPr>
              <w:t>Review and updating of our winter courses relative to the revised standards is currently under way.</w:t>
            </w:r>
            <w:r w:rsidR="00373FD2" w:rsidRPr="00B82A68">
              <w:rPr>
                <w:rFonts w:cs="Arial"/>
                <w:b/>
                <w:sz w:val="20"/>
              </w:rPr>
              <w:br/>
            </w:r>
          </w:p>
          <w:p w:rsidR="00FE1E37" w:rsidRPr="00B82A68" w:rsidRDefault="00FE1E37" w:rsidP="004C2936">
            <w:pPr>
              <w:numPr>
                <w:ilvl w:val="0"/>
                <w:numId w:val="2"/>
              </w:numPr>
              <w:rPr>
                <w:rFonts w:cs="Arial"/>
                <w:b/>
                <w:sz w:val="20"/>
              </w:rPr>
            </w:pPr>
            <w:r w:rsidRPr="00B82A68">
              <w:rPr>
                <w:rFonts w:cs="Arial"/>
                <w:b/>
              </w:rPr>
              <w:t>The Program curriculum Map has been completely revised and in line with the June 2014 MTCU Provincial standards.</w:t>
            </w:r>
          </w:p>
          <w:p w:rsidR="00225376" w:rsidRPr="009249E1" w:rsidRDefault="00FE1E37" w:rsidP="00B82A68">
            <w:pPr>
              <w:numPr>
                <w:ilvl w:val="0"/>
                <w:numId w:val="2"/>
              </w:numPr>
              <w:rPr>
                <w:rFonts w:cs="Arial"/>
                <w:b/>
                <w:sz w:val="20"/>
              </w:rPr>
            </w:pPr>
            <w:r w:rsidRPr="00B82A68">
              <w:rPr>
                <w:rFonts w:cs="Arial"/>
                <w:b/>
              </w:rPr>
              <w:t xml:space="preserve">In the June 2014 review </w:t>
            </w:r>
            <w:proofErr w:type="gramStart"/>
            <w:r w:rsidRPr="00B82A68">
              <w:rPr>
                <w:rFonts w:cs="Arial"/>
                <w:b/>
              </w:rPr>
              <w:t>process</w:t>
            </w:r>
            <w:r w:rsidR="00B82A68" w:rsidRPr="00B82A68">
              <w:rPr>
                <w:rFonts w:cs="Arial"/>
                <w:b/>
              </w:rPr>
              <w:t xml:space="preserve"> ,course</w:t>
            </w:r>
            <w:proofErr w:type="gramEnd"/>
            <w:r w:rsidR="00B82A68" w:rsidRPr="00B82A68">
              <w:rPr>
                <w:rFonts w:cs="Arial"/>
                <w:b/>
              </w:rPr>
              <w:t xml:space="preserve"> titles were updated (Field Integration, Field</w:t>
            </w:r>
            <w:r w:rsidR="00B82A68" w:rsidRPr="00B82A68">
              <w:rPr>
                <w:rFonts w:cs="Arial"/>
              </w:rPr>
              <w:t xml:space="preserve"> </w:t>
            </w:r>
            <w:r w:rsidR="00B82A68" w:rsidRPr="004A789A">
              <w:rPr>
                <w:rFonts w:cs="Arial"/>
                <w:b/>
              </w:rPr>
              <w:t>Preparation</w:t>
            </w:r>
            <w:r w:rsidR="00B82A68" w:rsidRPr="00B82A68">
              <w:rPr>
                <w:rFonts w:cs="Arial"/>
              </w:rPr>
              <w:t xml:space="preserve"> </w:t>
            </w:r>
            <w:r w:rsidR="00B82A68" w:rsidRPr="00B82A68">
              <w:rPr>
                <w:rFonts w:cs="Arial"/>
                <w:b/>
              </w:rPr>
              <w:t>and Inclusive Recreation), and the first semester now has six courses rather than seven. (Sport Psychology moved to an upper semester</w:t>
            </w:r>
            <w:r w:rsidR="00617D0B">
              <w:rPr>
                <w:rFonts w:cs="Arial"/>
                <w:b/>
              </w:rPr>
              <w:t>, with this change being reflected in the 2015 curriculum map update</w:t>
            </w:r>
            <w:r w:rsidR="00B82A68" w:rsidRPr="00B82A68">
              <w:rPr>
                <w:rFonts w:cs="Arial"/>
                <w:b/>
              </w:rPr>
              <w:t>).</w:t>
            </w:r>
          </w:p>
          <w:p w:rsidR="009249E1" w:rsidRPr="00225376" w:rsidRDefault="009249E1" w:rsidP="00B82A68">
            <w:pPr>
              <w:numPr>
                <w:ilvl w:val="0"/>
                <w:numId w:val="2"/>
              </w:numPr>
              <w:rPr>
                <w:rFonts w:cs="Arial"/>
                <w:b/>
                <w:sz w:val="20"/>
              </w:rPr>
            </w:pPr>
            <w:r>
              <w:rPr>
                <w:rFonts w:cs="Arial"/>
                <w:b/>
              </w:rPr>
              <w:t>The program continues to contribute financially favorably to School Revenue.</w:t>
            </w:r>
          </w:p>
          <w:p w:rsidR="00617D0B" w:rsidRPr="00617D0B" w:rsidRDefault="00225376" w:rsidP="00B82A68">
            <w:pPr>
              <w:numPr>
                <w:ilvl w:val="0"/>
                <w:numId w:val="2"/>
              </w:numPr>
              <w:rPr>
                <w:rFonts w:cs="Arial"/>
                <w:b/>
                <w:sz w:val="20"/>
              </w:rPr>
            </w:pPr>
            <w:r>
              <w:rPr>
                <w:rFonts w:cs="Arial"/>
                <w:b/>
              </w:rPr>
              <w:t xml:space="preserve">The “Improve the experience” theme outlined in our 2013 report to Molly Westland has been </w:t>
            </w:r>
            <w:proofErr w:type="spellStart"/>
            <w:r>
              <w:rPr>
                <w:rFonts w:cs="Arial"/>
                <w:b/>
              </w:rPr>
              <w:t>actioned</w:t>
            </w:r>
            <w:proofErr w:type="spellEnd"/>
            <w:r>
              <w:rPr>
                <w:rFonts w:cs="Arial"/>
                <w:b/>
              </w:rPr>
              <w:t xml:space="preserve"> to the fullest extent possible within resources available, including a first time Team Bui</w:t>
            </w:r>
            <w:r w:rsidR="004061F2">
              <w:rPr>
                <w:rFonts w:cs="Arial"/>
                <w:b/>
              </w:rPr>
              <w:t>l</w:t>
            </w:r>
            <w:r>
              <w:rPr>
                <w:rFonts w:cs="Arial"/>
                <w:b/>
              </w:rPr>
              <w:t xml:space="preserve">ding overnight trip to </w:t>
            </w:r>
            <w:proofErr w:type="spellStart"/>
            <w:r>
              <w:rPr>
                <w:rFonts w:cs="Arial"/>
                <w:b/>
              </w:rPr>
              <w:t>Ganaraska</w:t>
            </w:r>
            <w:proofErr w:type="spellEnd"/>
            <w:r>
              <w:rPr>
                <w:rFonts w:cs="Arial"/>
                <w:b/>
              </w:rPr>
              <w:t xml:space="preserve"> Forest</w:t>
            </w:r>
            <w:r w:rsidR="004061F2">
              <w:rPr>
                <w:rFonts w:cs="Arial"/>
                <w:b/>
              </w:rPr>
              <w:t xml:space="preserve"> in September 2014</w:t>
            </w:r>
            <w:r>
              <w:rPr>
                <w:rFonts w:cs="Arial"/>
                <w:b/>
              </w:rPr>
              <w:t xml:space="preserve"> for first semester students</w:t>
            </w:r>
            <w:r w:rsidR="004061F2">
              <w:rPr>
                <w:rFonts w:cs="Arial"/>
                <w:b/>
              </w:rPr>
              <w:t>.</w:t>
            </w:r>
          </w:p>
          <w:p w:rsidR="00617D0B" w:rsidRPr="00617D0B" w:rsidRDefault="00617D0B" w:rsidP="00617D0B">
            <w:pPr>
              <w:numPr>
                <w:ilvl w:val="0"/>
                <w:numId w:val="2"/>
              </w:numPr>
              <w:rPr>
                <w:rFonts w:cs="Arial"/>
                <w:b/>
                <w:sz w:val="20"/>
              </w:rPr>
            </w:pPr>
            <w:r>
              <w:rPr>
                <w:rFonts w:cs="Arial"/>
                <w:b/>
              </w:rPr>
              <w:t>We do feel that some course/curriculum adjustments are required but with the RLS Program review scheduled for 2015 we think such changes as needed to improve the program will be captured within that review process.</w:t>
            </w:r>
          </w:p>
          <w:p w:rsidR="00373FD2" w:rsidRPr="00356C80" w:rsidRDefault="00617D0B" w:rsidP="00617D0B">
            <w:pPr>
              <w:numPr>
                <w:ilvl w:val="0"/>
                <w:numId w:val="2"/>
              </w:numPr>
              <w:rPr>
                <w:rFonts w:cs="Arial"/>
                <w:b/>
                <w:sz w:val="20"/>
              </w:rPr>
            </w:pPr>
            <w:r>
              <w:rPr>
                <w:rFonts w:cs="Arial"/>
                <w:b/>
              </w:rPr>
              <w:t xml:space="preserve">Finally I am pleased to advise that Fleming’s RLS program is well known and well thought of in the Peterborough region as evidenced by requests for student groups to volunteer </w:t>
            </w:r>
            <w:r w:rsidR="004A789A">
              <w:rPr>
                <w:rFonts w:cs="Arial"/>
                <w:b/>
              </w:rPr>
              <w:t xml:space="preserve">for services/agencies </w:t>
            </w:r>
            <w:r>
              <w:rPr>
                <w:rFonts w:cs="Arial"/>
                <w:b/>
              </w:rPr>
              <w:t>and requests received from agencies for field placement students.</w:t>
            </w:r>
            <w:r w:rsidR="00373FD2" w:rsidRPr="00B82A68">
              <w:rPr>
                <w:rFonts w:cs="Arial"/>
                <w:b/>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xml:space="preserve">, </w:t>
            </w:r>
            <w:r w:rsidR="00CE109D" w:rsidRPr="000673C8">
              <w:rPr>
                <w:rFonts w:ascii="Arial" w:hAnsi="Arial" w:cs="Arial"/>
                <w:b/>
                <w:sz w:val="20"/>
              </w:rPr>
              <w:lastRenderedPageBreak/>
              <w:t>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373FD2" w:rsidRPr="00356C80" w:rsidRDefault="00A0321C" w:rsidP="004C2936">
            <w:pPr>
              <w:numPr>
                <w:ilvl w:val="0"/>
                <w:numId w:val="2"/>
              </w:numPr>
              <w:rPr>
                <w:rFonts w:cs="Arial"/>
                <w:b/>
                <w:sz w:val="20"/>
              </w:rPr>
            </w:pPr>
            <w:r>
              <w:rPr>
                <w:rFonts w:cs="Arial"/>
                <w:b/>
                <w:sz w:val="20"/>
              </w:rPr>
              <w:t>Revise and update winter 2015 course outlines in line with revised curriculum map and 2014 provincial program standards. Lead Alex Smith and Francis Boyes</w:t>
            </w:r>
            <w:r w:rsidR="00373FD2" w:rsidRPr="00356C80">
              <w:rPr>
                <w:rFonts w:cs="Arial"/>
                <w:b/>
                <w:sz w:val="20"/>
              </w:rPr>
              <w:br/>
            </w:r>
          </w:p>
          <w:p w:rsidR="00373FD2" w:rsidRPr="00356C80" w:rsidRDefault="00A0321C" w:rsidP="004C2936">
            <w:pPr>
              <w:numPr>
                <w:ilvl w:val="0"/>
                <w:numId w:val="2"/>
              </w:numPr>
              <w:rPr>
                <w:rFonts w:cs="Arial"/>
                <w:b/>
                <w:sz w:val="20"/>
              </w:rPr>
            </w:pPr>
            <w:r>
              <w:rPr>
                <w:rFonts w:cs="Arial"/>
                <w:b/>
                <w:sz w:val="20"/>
              </w:rPr>
              <w:t>Incorporate E-Learning elements in all winter 2015 courses. Alex Smith and Francis Boyes</w:t>
            </w:r>
            <w:r w:rsidR="00373FD2" w:rsidRPr="00356C80">
              <w:rPr>
                <w:rFonts w:cs="Arial"/>
                <w:b/>
                <w:sz w:val="20"/>
              </w:rPr>
              <w:br/>
            </w:r>
          </w:p>
          <w:p w:rsidR="00373FD2" w:rsidRPr="00356C80" w:rsidRDefault="00A0321C" w:rsidP="004C2936">
            <w:pPr>
              <w:numPr>
                <w:ilvl w:val="0"/>
                <w:numId w:val="2"/>
              </w:numPr>
              <w:rPr>
                <w:rFonts w:cs="Arial"/>
                <w:b/>
                <w:sz w:val="20"/>
              </w:rPr>
            </w:pPr>
            <w:r>
              <w:rPr>
                <w:rFonts w:cs="Arial"/>
                <w:b/>
                <w:sz w:val="20"/>
              </w:rPr>
              <w:t xml:space="preserve">Incorporate sustainability emphasis in </w:t>
            </w:r>
            <w:proofErr w:type="gramStart"/>
            <w:r>
              <w:rPr>
                <w:rFonts w:cs="Arial"/>
                <w:b/>
                <w:sz w:val="20"/>
              </w:rPr>
              <w:t>Winter</w:t>
            </w:r>
            <w:proofErr w:type="gramEnd"/>
            <w:r>
              <w:rPr>
                <w:rFonts w:cs="Arial"/>
                <w:b/>
                <w:sz w:val="20"/>
              </w:rPr>
              <w:t xml:space="preserve"> 2015 courses as follows: Recreation Programming-Alex Smith Leadership and Teams-Alex Smith and Francis Boyes. Finance Admin., &amp; Revenue Generation-Francis Boyes.</w:t>
            </w:r>
            <w:r w:rsidR="00373FD2" w:rsidRPr="00356C80">
              <w:rPr>
                <w:rFonts w:cs="Arial"/>
                <w:b/>
                <w:sz w:val="20"/>
              </w:rPr>
              <w:br/>
            </w:r>
          </w:p>
          <w:p w:rsidR="00373FD2" w:rsidRDefault="00A0321C" w:rsidP="004C2936">
            <w:pPr>
              <w:numPr>
                <w:ilvl w:val="0"/>
                <w:numId w:val="2"/>
              </w:numPr>
              <w:rPr>
                <w:rFonts w:cs="Arial"/>
                <w:b/>
                <w:sz w:val="20"/>
              </w:rPr>
            </w:pPr>
            <w:r>
              <w:rPr>
                <w:rFonts w:cs="Arial"/>
                <w:b/>
                <w:sz w:val="20"/>
              </w:rPr>
              <w:t>Subject to a decision on the Post graduate proposal for Sports,</w:t>
            </w:r>
            <w:r w:rsidR="009B0E7D">
              <w:rPr>
                <w:rFonts w:cs="Arial"/>
                <w:b/>
                <w:sz w:val="20"/>
              </w:rPr>
              <w:t xml:space="preserve"> </w:t>
            </w:r>
            <w:r>
              <w:rPr>
                <w:rFonts w:cs="Arial"/>
                <w:b/>
                <w:sz w:val="20"/>
              </w:rPr>
              <w:t>Festivals</w:t>
            </w:r>
            <w:proofErr w:type="gramStart"/>
            <w:r>
              <w:rPr>
                <w:rFonts w:cs="Arial"/>
                <w:b/>
                <w:sz w:val="20"/>
              </w:rPr>
              <w:t>,&amp;</w:t>
            </w:r>
            <w:proofErr w:type="gramEnd"/>
            <w:r>
              <w:rPr>
                <w:rFonts w:cs="Arial"/>
                <w:b/>
                <w:sz w:val="20"/>
              </w:rPr>
              <w:t xml:space="preserve"> Events, follow up as required for timely implementation</w:t>
            </w:r>
            <w:r w:rsidR="009B0E7D">
              <w:rPr>
                <w:rFonts w:cs="Arial"/>
                <w:b/>
                <w:sz w:val="20"/>
              </w:rPr>
              <w:t>.</w:t>
            </w:r>
          </w:p>
          <w:p w:rsidR="00A07A9A" w:rsidRDefault="00A07A9A" w:rsidP="004C2936">
            <w:pPr>
              <w:numPr>
                <w:ilvl w:val="0"/>
                <w:numId w:val="2"/>
              </w:numPr>
              <w:rPr>
                <w:rFonts w:cs="Arial"/>
                <w:b/>
                <w:sz w:val="20"/>
              </w:rPr>
            </w:pPr>
            <w:r>
              <w:rPr>
                <w:rFonts w:cs="Arial"/>
                <w:b/>
                <w:sz w:val="20"/>
              </w:rPr>
              <w:t>Student enrollment towards the fall of 2015 is a high priority and will require faculty intervention at every possible opportunity- Alex Smith –On-going to September 2015.</w:t>
            </w:r>
          </w:p>
          <w:p w:rsidR="00373FD2" w:rsidRPr="004A789A" w:rsidRDefault="004061F2" w:rsidP="00373FD2">
            <w:pPr>
              <w:numPr>
                <w:ilvl w:val="0"/>
                <w:numId w:val="2"/>
              </w:numPr>
              <w:rPr>
                <w:rFonts w:cs="Arial"/>
                <w:b/>
                <w:sz w:val="20"/>
              </w:rPr>
            </w:pPr>
            <w:r w:rsidRPr="004A789A">
              <w:rPr>
                <w:rFonts w:cs="Arial"/>
                <w:b/>
                <w:sz w:val="20"/>
              </w:rPr>
              <w:t>Maintain the “Improve the experience” theme through 2015 in terms of course delivery and</w:t>
            </w:r>
            <w:r w:rsidR="004A789A" w:rsidRPr="004A789A">
              <w:rPr>
                <w:rFonts w:cs="Arial"/>
                <w:b/>
                <w:sz w:val="20"/>
              </w:rPr>
              <w:t xml:space="preserve"> community based activities</w:t>
            </w:r>
            <w:r w:rsidR="004A789A">
              <w:rPr>
                <w:rFonts w:cs="Arial"/>
                <w:b/>
                <w:sz w:val="20"/>
              </w:rPr>
              <w:t>. This will include class Field Trips to enhance the student learning and a continued School financial commitment to funding bus trips to programs and Facilities such as Variety Village Toronto, and the Ability Centre Whitby.</w:t>
            </w:r>
          </w:p>
          <w:p w:rsidR="00E51CA2" w:rsidRDefault="00E51CA2" w:rsidP="00373FD2">
            <w:pPr>
              <w:pStyle w:val="Title"/>
              <w:jc w:val="left"/>
              <w:rPr>
                <w:rFonts w:ascii="Arial" w:hAnsi="Arial" w:cs="Arial"/>
                <w:b/>
                <w:sz w:val="20"/>
              </w:rPr>
            </w:pPr>
          </w:p>
          <w:p w:rsidR="00E51CA2" w:rsidRPr="00356C80" w:rsidRDefault="00E51CA2" w:rsidP="00373FD2">
            <w:pPr>
              <w:pStyle w:val="Title"/>
              <w:jc w:val="left"/>
              <w:rPr>
                <w:rFonts w:ascii="Arial" w:hAnsi="Arial" w:cs="Arial"/>
                <w:b/>
                <w:sz w:val="20"/>
              </w:rPr>
            </w:pPr>
          </w:p>
        </w:tc>
      </w:tr>
      <w:tr w:rsidR="00373FD2" w:rsidRPr="00A07A9A" w:rsidTr="00367B3B">
        <w:tc>
          <w:tcPr>
            <w:tcW w:w="10206" w:type="dxa"/>
            <w:shd w:val="clear" w:color="auto" w:fill="C0C0C0"/>
            <w:tcMar>
              <w:top w:w="113" w:type="dxa"/>
              <w:bottom w:w="113" w:type="dxa"/>
            </w:tcMar>
          </w:tcPr>
          <w:p w:rsidR="00373FD2" w:rsidRPr="00A07A9A" w:rsidRDefault="00373FD2" w:rsidP="00373FD2">
            <w:pPr>
              <w:pStyle w:val="Title"/>
              <w:shd w:val="clear" w:color="auto" w:fill="C0C0C0"/>
              <w:jc w:val="left"/>
              <w:rPr>
                <w:rFonts w:ascii="Arial" w:hAnsi="Arial" w:cs="Arial"/>
                <w:b/>
                <w:szCs w:val="24"/>
              </w:rPr>
            </w:pPr>
            <w:r w:rsidRPr="00A07A9A">
              <w:rPr>
                <w:rFonts w:ascii="Arial" w:hAnsi="Arial" w:cs="Arial"/>
                <w:b/>
                <w:szCs w:val="24"/>
              </w:rPr>
              <w:t>D. Deferred Actions</w:t>
            </w:r>
          </w:p>
          <w:p w:rsidR="00373FD2" w:rsidRPr="00A07A9A" w:rsidRDefault="00373FD2" w:rsidP="00373FD2">
            <w:pPr>
              <w:pStyle w:val="Title"/>
              <w:shd w:val="clear" w:color="auto" w:fill="C0C0C0"/>
              <w:jc w:val="left"/>
              <w:rPr>
                <w:rFonts w:ascii="Arial" w:hAnsi="Arial" w:cs="Arial"/>
                <w:b/>
                <w:sz w:val="20"/>
              </w:rPr>
            </w:pPr>
          </w:p>
          <w:p w:rsidR="00373FD2" w:rsidRPr="00A07A9A" w:rsidRDefault="00373FD2" w:rsidP="00373FD2">
            <w:pPr>
              <w:pStyle w:val="Title"/>
              <w:shd w:val="clear" w:color="auto" w:fill="C0C0C0"/>
              <w:jc w:val="left"/>
              <w:rPr>
                <w:rFonts w:ascii="Arial" w:hAnsi="Arial" w:cs="Arial"/>
                <w:b/>
                <w:sz w:val="20"/>
              </w:rPr>
            </w:pPr>
            <w:r w:rsidRPr="00A07A9A">
              <w:rPr>
                <w:rFonts w:ascii="Arial" w:hAnsi="Arial" w:cs="Arial"/>
                <w:b/>
                <w:sz w:val="20"/>
              </w:rPr>
              <w:t>Record any issues that will need to be monitored, researched, or deferred for future action.</w:t>
            </w:r>
          </w:p>
          <w:p w:rsidR="00373FD2" w:rsidRPr="00A07A9A" w:rsidRDefault="00373FD2" w:rsidP="00373FD2">
            <w:pPr>
              <w:pStyle w:val="Title"/>
              <w:shd w:val="clear" w:color="auto" w:fill="C0C0C0"/>
              <w:jc w:val="left"/>
              <w:rPr>
                <w:rFonts w:ascii="Arial" w:hAnsi="Arial" w:cs="Arial"/>
                <w:b/>
                <w:sz w:val="20"/>
              </w:rPr>
            </w:pPr>
          </w:p>
        </w:tc>
      </w:tr>
      <w:tr w:rsidR="00373FD2" w:rsidRPr="00A07A9A" w:rsidTr="00367B3B">
        <w:tc>
          <w:tcPr>
            <w:tcW w:w="10206" w:type="dxa"/>
            <w:tcMar>
              <w:top w:w="113" w:type="dxa"/>
              <w:bottom w:w="113" w:type="dxa"/>
            </w:tcMar>
          </w:tcPr>
          <w:p w:rsidR="00373FD2" w:rsidRPr="00A07A9A" w:rsidRDefault="00373FD2" w:rsidP="00373FD2">
            <w:pPr>
              <w:rPr>
                <w:rFonts w:cs="Arial"/>
                <w:b/>
                <w:sz w:val="20"/>
              </w:rPr>
            </w:pPr>
          </w:p>
          <w:p w:rsidR="00373FD2" w:rsidRPr="00A07A9A" w:rsidRDefault="009B0E7D" w:rsidP="004C2936">
            <w:pPr>
              <w:numPr>
                <w:ilvl w:val="0"/>
                <w:numId w:val="2"/>
              </w:numPr>
              <w:rPr>
                <w:rFonts w:cs="Arial"/>
                <w:b/>
                <w:sz w:val="20"/>
              </w:rPr>
            </w:pPr>
            <w:r w:rsidRPr="00A07A9A">
              <w:rPr>
                <w:rFonts w:cs="Arial"/>
                <w:b/>
                <w:sz w:val="20"/>
              </w:rPr>
              <w:t>The RLS Program is scheduled for a full program review in 2015 that will no doubt result in a new ACTION PLAN.</w:t>
            </w:r>
            <w:r w:rsidR="00373FD2" w:rsidRPr="00A07A9A">
              <w:rPr>
                <w:rFonts w:cs="Arial"/>
                <w:b/>
                <w:sz w:val="20"/>
              </w:rPr>
              <w:br/>
            </w:r>
          </w:p>
          <w:p w:rsidR="00373FD2" w:rsidRPr="00A07A9A" w:rsidRDefault="00A07A9A" w:rsidP="00A07A9A">
            <w:pPr>
              <w:numPr>
                <w:ilvl w:val="0"/>
                <w:numId w:val="2"/>
              </w:numPr>
              <w:rPr>
                <w:rFonts w:cs="Arial"/>
                <w:b/>
                <w:sz w:val="20"/>
              </w:rPr>
            </w:pPr>
            <w:r w:rsidRPr="00A07A9A">
              <w:rPr>
                <w:rFonts w:cs="Arial"/>
                <w:b/>
                <w:sz w:val="20"/>
              </w:rPr>
              <w:t xml:space="preserve">Student registration to the program for the </w:t>
            </w:r>
            <w:proofErr w:type="gramStart"/>
            <w:r w:rsidRPr="00A07A9A">
              <w:rPr>
                <w:rFonts w:cs="Arial"/>
                <w:b/>
                <w:sz w:val="20"/>
              </w:rPr>
              <w:t>Fall</w:t>
            </w:r>
            <w:proofErr w:type="gramEnd"/>
            <w:r w:rsidRPr="00A07A9A">
              <w:rPr>
                <w:rFonts w:cs="Arial"/>
                <w:b/>
                <w:sz w:val="20"/>
              </w:rPr>
              <w:t xml:space="preserve"> 2015 will need to be closely monitored and special actions taken when necessary</w:t>
            </w:r>
            <w:r w:rsidR="004A789A">
              <w:rPr>
                <w:rFonts w:cs="Arial"/>
                <w:b/>
                <w:sz w:val="20"/>
              </w:rPr>
              <w:t>.</w:t>
            </w:r>
            <w:r w:rsidR="00373FD2" w:rsidRPr="00A07A9A">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tbl>
            <w:tblPr>
              <w:tblW w:w="13000" w:type="dxa"/>
              <w:tblLayout w:type="fixed"/>
              <w:tblLook w:val="04A0" w:firstRow="1" w:lastRow="0" w:firstColumn="1" w:lastColumn="0" w:noHBand="0" w:noVBand="1"/>
            </w:tblPr>
            <w:tblGrid>
              <w:gridCol w:w="1340"/>
              <w:gridCol w:w="5760"/>
              <w:gridCol w:w="280"/>
              <w:gridCol w:w="280"/>
              <w:gridCol w:w="280"/>
              <w:gridCol w:w="280"/>
              <w:gridCol w:w="280"/>
              <w:gridCol w:w="280"/>
              <w:gridCol w:w="280"/>
              <w:gridCol w:w="280"/>
              <w:gridCol w:w="280"/>
              <w:gridCol w:w="340"/>
              <w:gridCol w:w="340"/>
              <w:gridCol w:w="340"/>
              <w:gridCol w:w="280"/>
              <w:gridCol w:w="280"/>
              <w:gridCol w:w="280"/>
              <w:gridCol w:w="280"/>
              <w:gridCol w:w="280"/>
              <w:gridCol w:w="280"/>
              <w:gridCol w:w="400"/>
              <w:gridCol w:w="280"/>
            </w:tblGrid>
            <w:tr w:rsidR="00C3416A" w:rsidRPr="00C3416A" w:rsidTr="00C3416A">
              <w:trPr>
                <w:trHeight w:val="27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w:t>
                  </w:r>
                </w:p>
              </w:tc>
              <w:tc>
                <w:tcPr>
                  <w:tcW w:w="5760" w:type="dxa"/>
                  <w:tcBorders>
                    <w:top w:val="single" w:sz="8" w:space="0" w:color="auto"/>
                    <w:left w:val="nil"/>
                    <w:bottom w:val="single" w:sz="8" w:space="0" w:color="auto"/>
                    <w:right w:val="nil"/>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Name</w:t>
                  </w:r>
                </w:p>
              </w:tc>
              <w:tc>
                <w:tcPr>
                  <w:tcW w:w="2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34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40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10</w:t>
                  </w:r>
                </w:p>
              </w:tc>
              <w:tc>
                <w:tcPr>
                  <w:tcW w:w="280" w:type="dxa"/>
                  <w:tcBorders>
                    <w:top w:val="single" w:sz="8" w:space="0" w:color="auto"/>
                    <w:left w:val="nil"/>
                    <w:bottom w:val="single" w:sz="8" w:space="0" w:color="auto"/>
                    <w:right w:val="single" w:sz="8"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11</w:t>
                  </w:r>
                </w:p>
              </w:tc>
            </w:tr>
            <w:tr w:rsidR="00C3416A" w:rsidRPr="00C3416A" w:rsidTr="00C3416A">
              <w:trPr>
                <w:trHeight w:val="255"/>
              </w:trPr>
              <w:tc>
                <w:tcPr>
                  <w:tcW w:w="1340" w:type="dxa"/>
                  <w:tcBorders>
                    <w:top w:val="nil"/>
                    <w:left w:val="single" w:sz="8" w:space="0" w:color="auto"/>
                    <w:bottom w:val="nil"/>
                    <w:right w:val="single" w:sz="8" w:space="0" w:color="auto"/>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34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34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400" w:type="dxa"/>
                  <w:tcBorders>
                    <w:top w:val="nil"/>
                    <w:left w:val="nil"/>
                    <w:bottom w:val="nil"/>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nil"/>
                    <w:bottom w:val="nil"/>
                    <w:right w:val="single" w:sz="8" w:space="0" w:color="auto"/>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SOCI025</w:t>
                  </w:r>
                </w:p>
              </w:tc>
              <w:tc>
                <w:tcPr>
                  <w:tcW w:w="5760" w:type="dxa"/>
                  <w:tcBorders>
                    <w:top w:val="single" w:sz="4" w:space="0" w:color="auto"/>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xml:space="preserve">Human Growth and Development (Mandatory </w:t>
                  </w:r>
                  <w:proofErr w:type="spellStart"/>
                  <w:r w:rsidRPr="00C3416A">
                    <w:rPr>
                      <w:rFonts w:cs="Arial"/>
                      <w:sz w:val="20"/>
                      <w:lang w:val="en-CA" w:eastAsia="en-CA"/>
                    </w:rPr>
                    <w:t>GenEd</w:t>
                  </w:r>
                  <w:proofErr w:type="spellEnd"/>
                  <w:r w:rsidRPr="00C3416A">
                    <w:rPr>
                      <w:rFonts w:cs="Arial"/>
                      <w:sz w:val="20"/>
                      <w:lang w:val="en-CA" w:eastAsia="en-CA"/>
                    </w:rPr>
                    <w:t>)</w:t>
                  </w:r>
                </w:p>
              </w:tc>
              <w:tc>
                <w:tcPr>
                  <w:tcW w:w="2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RECR022</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Intro to Recreation and Leisure Services</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00B0F0"/>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COMM79</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College Communication Skills for the Helping Professions</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COMP345</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Introductory Computing</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FF99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GNED35</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Psychology of Sport</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FFC000"/>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RECRO118</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Building Communities through Parks and Recreation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RECR014</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Leisure/Lifestyle Applications</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70"/>
              </w:trPr>
              <w:tc>
                <w:tcPr>
                  <w:tcW w:w="1340" w:type="dxa"/>
                  <w:tcBorders>
                    <w:top w:val="nil"/>
                    <w:left w:val="single" w:sz="8" w:space="0" w:color="auto"/>
                    <w:bottom w:val="single" w:sz="4" w:space="0" w:color="auto"/>
                    <w:right w:val="single" w:sz="8" w:space="0" w:color="auto"/>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7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w:t>
                  </w:r>
                </w:p>
              </w:tc>
              <w:tc>
                <w:tcPr>
                  <w:tcW w:w="5760" w:type="dxa"/>
                  <w:tcBorders>
                    <w:top w:val="single" w:sz="8" w:space="0" w:color="auto"/>
                    <w:left w:val="nil"/>
                    <w:bottom w:val="single" w:sz="8" w:space="0" w:color="auto"/>
                    <w:right w:val="nil"/>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Name</w:t>
                  </w:r>
                </w:p>
              </w:tc>
              <w:tc>
                <w:tcPr>
                  <w:tcW w:w="2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34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40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10</w:t>
                  </w:r>
                </w:p>
              </w:tc>
              <w:tc>
                <w:tcPr>
                  <w:tcW w:w="280" w:type="dxa"/>
                  <w:tcBorders>
                    <w:top w:val="single" w:sz="8" w:space="0" w:color="auto"/>
                    <w:left w:val="nil"/>
                    <w:bottom w:val="single" w:sz="8" w:space="0" w:color="auto"/>
                    <w:right w:val="single" w:sz="8"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11</w:t>
                  </w:r>
                </w:p>
              </w:tc>
            </w:tr>
            <w:tr w:rsidR="00C3416A" w:rsidRPr="00C3416A" w:rsidTr="00C3416A">
              <w:trPr>
                <w:trHeight w:val="255"/>
              </w:trPr>
              <w:tc>
                <w:tcPr>
                  <w:tcW w:w="1340"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COMM146</w:t>
                  </w:r>
                </w:p>
              </w:tc>
              <w:tc>
                <w:tcPr>
                  <w:tcW w:w="5760" w:type="dxa"/>
                  <w:tcBorders>
                    <w:top w:val="single" w:sz="4" w:space="0" w:color="auto"/>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Communicating at Work</w:t>
                  </w:r>
                </w:p>
              </w:tc>
              <w:tc>
                <w:tcPr>
                  <w:tcW w:w="2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FFC000"/>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FLPL60</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Field Preparation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FFC000"/>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lastRenderedPageBreak/>
                    <w:t>RECR101</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Inclusive Recreation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SOCI128</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Leadership and Teams in Recreation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RECR23</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Recreation Administration, Finance and Revenue Generation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RECR24</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Recreation Programming</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70"/>
              </w:trPr>
              <w:tc>
                <w:tcPr>
                  <w:tcW w:w="1340" w:type="dxa"/>
                  <w:tcBorders>
                    <w:top w:val="nil"/>
                    <w:left w:val="single" w:sz="8" w:space="0" w:color="auto"/>
                    <w:bottom w:val="single" w:sz="4" w:space="0" w:color="auto"/>
                    <w:right w:val="single" w:sz="8" w:space="0" w:color="auto"/>
                  </w:tcBorders>
                  <w:shd w:val="clear" w:color="000000" w:fill="FF99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GNED35</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General Education Elective</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7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w:t>
                  </w:r>
                </w:p>
              </w:tc>
              <w:tc>
                <w:tcPr>
                  <w:tcW w:w="5760" w:type="dxa"/>
                  <w:tcBorders>
                    <w:top w:val="single" w:sz="8" w:space="0" w:color="auto"/>
                    <w:left w:val="nil"/>
                    <w:bottom w:val="single" w:sz="8" w:space="0" w:color="auto"/>
                    <w:right w:val="nil"/>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Name</w:t>
                  </w:r>
                </w:p>
              </w:tc>
              <w:tc>
                <w:tcPr>
                  <w:tcW w:w="2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34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40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10</w:t>
                  </w:r>
                </w:p>
              </w:tc>
              <w:tc>
                <w:tcPr>
                  <w:tcW w:w="280" w:type="dxa"/>
                  <w:tcBorders>
                    <w:top w:val="single" w:sz="8" w:space="0" w:color="auto"/>
                    <w:left w:val="nil"/>
                    <w:bottom w:val="single" w:sz="8" w:space="0" w:color="auto"/>
                    <w:right w:val="single" w:sz="8"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11</w:t>
                  </w:r>
                </w:p>
              </w:tc>
            </w:tr>
            <w:tr w:rsidR="00C3416A" w:rsidRPr="00C3416A" w:rsidTr="00C3416A">
              <w:trPr>
                <w:trHeight w:val="255"/>
              </w:trPr>
              <w:tc>
                <w:tcPr>
                  <w:tcW w:w="1340"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RECR84</w:t>
                  </w:r>
                </w:p>
              </w:tc>
              <w:tc>
                <w:tcPr>
                  <w:tcW w:w="5760" w:type="dxa"/>
                  <w:tcBorders>
                    <w:top w:val="single" w:sz="4" w:space="0" w:color="auto"/>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Facility Management and Small Business Operation</w:t>
                  </w:r>
                </w:p>
              </w:tc>
              <w:tc>
                <w:tcPr>
                  <w:tcW w:w="2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FLPL82</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Field Integration</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COMP268</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Recreation and Leisure Computer Applications</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RECR28</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Recreation Promotions and Marketing</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RECR027</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Recreation Applications in Human Resource Management</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70"/>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RECR26</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Tournament Organization and Special Events Planning</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7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w:t>
                  </w:r>
                </w:p>
              </w:tc>
              <w:tc>
                <w:tcPr>
                  <w:tcW w:w="5760" w:type="dxa"/>
                  <w:tcBorders>
                    <w:top w:val="single" w:sz="8" w:space="0" w:color="auto"/>
                    <w:left w:val="nil"/>
                    <w:bottom w:val="single" w:sz="8" w:space="0" w:color="auto"/>
                    <w:right w:val="nil"/>
                  </w:tcBorders>
                  <w:shd w:val="clear" w:color="auto" w:fill="auto"/>
                  <w:noWrap/>
                  <w:vAlign w:val="bottom"/>
                  <w:hideMark/>
                </w:tcPr>
                <w:p w:rsidR="00C3416A" w:rsidRPr="00C3416A" w:rsidRDefault="00C3416A" w:rsidP="00C3416A">
                  <w:pPr>
                    <w:jc w:val="center"/>
                    <w:rPr>
                      <w:rFonts w:cs="Arial"/>
                      <w:b/>
                      <w:bCs/>
                      <w:sz w:val="20"/>
                      <w:lang w:val="en-CA" w:eastAsia="en-CA"/>
                    </w:rPr>
                  </w:pPr>
                  <w:r w:rsidRPr="00C3416A">
                    <w:rPr>
                      <w:rFonts w:cs="Arial"/>
                      <w:b/>
                      <w:bCs/>
                      <w:sz w:val="20"/>
                      <w:lang w:val="en-CA" w:eastAsia="en-CA"/>
                    </w:rPr>
                    <w:t>Course Name</w:t>
                  </w:r>
                </w:p>
              </w:tc>
              <w:tc>
                <w:tcPr>
                  <w:tcW w:w="2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34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2</w:t>
                  </w:r>
                </w:p>
              </w:tc>
              <w:tc>
                <w:tcPr>
                  <w:tcW w:w="34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3</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4</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5</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6</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7</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8</w:t>
                  </w:r>
                </w:p>
              </w:tc>
              <w:tc>
                <w:tcPr>
                  <w:tcW w:w="28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9</w:t>
                  </w:r>
                </w:p>
              </w:tc>
              <w:tc>
                <w:tcPr>
                  <w:tcW w:w="400" w:type="dxa"/>
                  <w:tcBorders>
                    <w:top w:val="single" w:sz="8" w:space="0" w:color="auto"/>
                    <w:left w:val="nil"/>
                    <w:bottom w:val="single" w:sz="8" w:space="0" w:color="auto"/>
                    <w:right w:val="single" w:sz="4"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10</w:t>
                  </w:r>
                </w:p>
              </w:tc>
              <w:tc>
                <w:tcPr>
                  <w:tcW w:w="280" w:type="dxa"/>
                  <w:tcBorders>
                    <w:top w:val="single" w:sz="8" w:space="0" w:color="auto"/>
                    <w:left w:val="nil"/>
                    <w:bottom w:val="single" w:sz="8" w:space="0" w:color="auto"/>
                    <w:right w:val="single" w:sz="8" w:space="0" w:color="auto"/>
                  </w:tcBorders>
                  <w:shd w:val="clear" w:color="000000" w:fill="D9D9D9"/>
                  <w:noWrap/>
                  <w:vAlign w:val="bottom"/>
                  <w:hideMark/>
                </w:tcPr>
                <w:p w:rsidR="00C3416A" w:rsidRPr="00C3416A" w:rsidRDefault="00C3416A" w:rsidP="00C3416A">
                  <w:pPr>
                    <w:jc w:val="center"/>
                    <w:rPr>
                      <w:rFonts w:cs="Arial"/>
                      <w:b/>
                      <w:bCs/>
                      <w:sz w:val="16"/>
                      <w:szCs w:val="16"/>
                      <w:lang w:val="en-CA" w:eastAsia="en-CA"/>
                    </w:rPr>
                  </w:pPr>
                  <w:r w:rsidRPr="00C3416A">
                    <w:rPr>
                      <w:rFonts w:cs="Arial"/>
                      <w:b/>
                      <w:bCs/>
                      <w:sz w:val="16"/>
                      <w:szCs w:val="16"/>
                      <w:lang w:val="en-CA" w:eastAsia="en-CA"/>
                    </w:rPr>
                    <w:t>11</w:t>
                  </w:r>
                </w:p>
              </w:tc>
            </w:tr>
            <w:tr w:rsidR="00C3416A" w:rsidRPr="00C3416A" w:rsidTr="00C3416A">
              <w:trPr>
                <w:trHeight w:val="255"/>
              </w:trPr>
              <w:tc>
                <w:tcPr>
                  <w:tcW w:w="134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FLPL055</w:t>
                  </w:r>
                </w:p>
              </w:tc>
              <w:tc>
                <w:tcPr>
                  <w:tcW w:w="5760" w:type="dxa"/>
                  <w:tcBorders>
                    <w:top w:val="single" w:sz="4" w:space="0" w:color="auto"/>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Field Practice and Evaluation</w:t>
                  </w:r>
                </w:p>
              </w:tc>
              <w:tc>
                <w:tcPr>
                  <w:tcW w:w="2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c>
                <w:tcPr>
                  <w:tcW w:w="280" w:type="dxa"/>
                  <w:tcBorders>
                    <w:top w:val="single" w:sz="4" w:space="0" w:color="auto"/>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X</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000000" w:fill="FFFFFF"/>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000000" w:fill="FFFFFF"/>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r w:rsidR="00C3416A" w:rsidRPr="00C3416A" w:rsidTr="00C3416A">
              <w:trPr>
                <w:trHeight w:val="255"/>
              </w:trPr>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5760" w:type="dxa"/>
                  <w:tcBorders>
                    <w:top w:val="nil"/>
                    <w:left w:val="nil"/>
                    <w:bottom w:val="single" w:sz="4" w:space="0" w:color="auto"/>
                    <w:right w:val="nil"/>
                  </w:tcBorders>
                  <w:shd w:val="clear" w:color="auto" w:fill="auto"/>
                  <w:noWrap/>
                  <w:vAlign w:val="bottom"/>
                  <w:hideMark/>
                </w:tcPr>
                <w:p w:rsidR="00C3416A" w:rsidRPr="00C3416A" w:rsidRDefault="00C3416A" w:rsidP="00C3416A">
                  <w:pPr>
                    <w:rPr>
                      <w:rFonts w:cs="Arial"/>
                      <w:sz w:val="20"/>
                      <w:lang w:val="en-CA" w:eastAsia="en-CA"/>
                    </w:rPr>
                  </w:pPr>
                  <w:r w:rsidRPr="00C3416A">
                    <w:rPr>
                      <w:rFonts w:cs="Arial"/>
                      <w:sz w:val="20"/>
                      <w:lang w:val="en-CA" w:eastAsia="en-CA"/>
                    </w:rPr>
                    <w:t> </w:t>
                  </w:r>
                </w:p>
              </w:tc>
              <w:tc>
                <w:tcPr>
                  <w:tcW w:w="28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34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400" w:type="dxa"/>
                  <w:tcBorders>
                    <w:top w:val="nil"/>
                    <w:left w:val="nil"/>
                    <w:bottom w:val="single" w:sz="4" w:space="0" w:color="auto"/>
                    <w:right w:val="single" w:sz="4"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c>
                <w:tcPr>
                  <w:tcW w:w="280" w:type="dxa"/>
                  <w:tcBorders>
                    <w:top w:val="nil"/>
                    <w:left w:val="nil"/>
                    <w:bottom w:val="single" w:sz="4" w:space="0" w:color="auto"/>
                    <w:right w:val="single" w:sz="8" w:space="0" w:color="auto"/>
                  </w:tcBorders>
                  <w:shd w:val="clear" w:color="auto" w:fill="auto"/>
                  <w:noWrap/>
                  <w:vAlign w:val="bottom"/>
                  <w:hideMark/>
                </w:tcPr>
                <w:p w:rsidR="00C3416A" w:rsidRPr="00C3416A" w:rsidRDefault="00C3416A" w:rsidP="00C3416A">
                  <w:pPr>
                    <w:jc w:val="center"/>
                    <w:rPr>
                      <w:rFonts w:cs="Arial"/>
                      <w:sz w:val="20"/>
                      <w:lang w:val="en-CA" w:eastAsia="en-CA"/>
                    </w:rPr>
                  </w:pPr>
                  <w:r w:rsidRPr="00C3416A">
                    <w:rPr>
                      <w:rFonts w:cs="Arial"/>
                      <w:sz w:val="20"/>
                      <w:lang w:val="en-CA" w:eastAsia="en-CA"/>
                    </w:rPr>
                    <w:t> </w:t>
                  </w:r>
                </w:p>
              </w:tc>
            </w:tr>
          </w:tbl>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41" w:rsidRDefault="000F1041">
      <w:r>
        <w:separator/>
      </w:r>
    </w:p>
  </w:endnote>
  <w:endnote w:type="continuationSeparator" w:id="0">
    <w:p w:rsidR="000F1041" w:rsidRDefault="000F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41" w:rsidRDefault="000F1041">
      <w:r>
        <w:separator/>
      </w:r>
    </w:p>
  </w:footnote>
  <w:footnote w:type="continuationSeparator" w:id="0">
    <w:p w:rsidR="000F1041" w:rsidRDefault="000F1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3D08"/>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1041"/>
    <w:rsid w:val="000F39A4"/>
    <w:rsid w:val="000F41EA"/>
    <w:rsid w:val="000F6700"/>
    <w:rsid w:val="000F6810"/>
    <w:rsid w:val="000F74BD"/>
    <w:rsid w:val="001002F7"/>
    <w:rsid w:val="00101042"/>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3A44"/>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15FE"/>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5376"/>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57B6D"/>
    <w:rsid w:val="002602B1"/>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2FC"/>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066E"/>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E5E7E"/>
    <w:rsid w:val="003F0E91"/>
    <w:rsid w:val="003F1335"/>
    <w:rsid w:val="003F4613"/>
    <w:rsid w:val="003F5BBA"/>
    <w:rsid w:val="004033FE"/>
    <w:rsid w:val="004061F2"/>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041F"/>
    <w:rsid w:val="0049190E"/>
    <w:rsid w:val="004927BF"/>
    <w:rsid w:val="00492C43"/>
    <w:rsid w:val="0049530C"/>
    <w:rsid w:val="00495324"/>
    <w:rsid w:val="004973FC"/>
    <w:rsid w:val="004A054A"/>
    <w:rsid w:val="004A539A"/>
    <w:rsid w:val="004A78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59EA"/>
    <w:rsid w:val="005E6A29"/>
    <w:rsid w:val="005F1522"/>
    <w:rsid w:val="005F25F2"/>
    <w:rsid w:val="005F2950"/>
    <w:rsid w:val="005F3C81"/>
    <w:rsid w:val="005F3E66"/>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17D0B"/>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534B"/>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0DEE"/>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4C1"/>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7DF"/>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1DD"/>
    <w:rsid w:val="00911289"/>
    <w:rsid w:val="00913557"/>
    <w:rsid w:val="00913B72"/>
    <w:rsid w:val="00916A85"/>
    <w:rsid w:val="00920C4D"/>
    <w:rsid w:val="009239AB"/>
    <w:rsid w:val="0092445D"/>
    <w:rsid w:val="009249E1"/>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0E7D"/>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321C"/>
    <w:rsid w:val="00A05C67"/>
    <w:rsid w:val="00A06F55"/>
    <w:rsid w:val="00A07A9A"/>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0D82"/>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4895"/>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6AA6"/>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A68"/>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059D3"/>
    <w:rsid w:val="00C126D7"/>
    <w:rsid w:val="00C15791"/>
    <w:rsid w:val="00C15C4C"/>
    <w:rsid w:val="00C17107"/>
    <w:rsid w:val="00C228AD"/>
    <w:rsid w:val="00C23461"/>
    <w:rsid w:val="00C23D5B"/>
    <w:rsid w:val="00C27041"/>
    <w:rsid w:val="00C300F2"/>
    <w:rsid w:val="00C3416A"/>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3D7"/>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38F3"/>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0CD9"/>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3E25"/>
    <w:rsid w:val="00EE5AB5"/>
    <w:rsid w:val="00EE659C"/>
    <w:rsid w:val="00EE6642"/>
    <w:rsid w:val="00EE6C74"/>
    <w:rsid w:val="00EE6DAF"/>
    <w:rsid w:val="00EF15D9"/>
    <w:rsid w:val="00EF3293"/>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87AA8"/>
    <w:rsid w:val="00F90493"/>
    <w:rsid w:val="00F911F1"/>
    <w:rsid w:val="00F9247F"/>
    <w:rsid w:val="00F94F02"/>
    <w:rsid w:val="00F95530"/>
    <w:rsid w:val="00F9586D"/>
    <w:rsid w:val="00F97B1A"/>
    <w:rsid w:val="00FA20AC"/>
    <w:rsid w:val="00FA3A3E"/>
    <w:rsid w:val="00FA6F0D"/>
    <w:rsid w:val="00FA771A"/>
    <w:rsid w:val="00FB0646"/>
    <w:rsid w:val="00FB189E"/>
    <w:rsid w:val="00FB439C"/>
    <w:rsid w:val="00FB5537"/>
    <w:rsid w:val="00FB6F0B"/>
    <w:rsid w:val="00FC0C23"/>
    <w:rsid w:val="00FC0FDE"/>
    <w:rsid w:val="00FC1D53"/>
    <w:rsid w:val="00FC28A1"/>
    <w:rsid w:val="00FC56D3"/>
    <w:rsid w:val="00FD2491"/>
    <w:rsid w:val="00FD24D9"/>
    <w:rsid w:val="00FD3360"/>
    <w:rsid w:val="00FD344B"/>
    <w:rsid w:val="00FD3F89"/>
    <w:rsid w:val="00FD4FDE"/>
    <w:rsid w:val="00FE12BC"/>
    <w:rsid w:val="00FE12F2"/>
    <w:rsid w:val="00FE1BA3"/>
    <w:rsid w:val="00FE1E37"/>
    <w:rsid w:val="00FE293C"/>
    <w:rsid w:val="00FE50AB"/>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 w:id="14045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2FAC-5DEC-4516-B1D2-E0F5CA1D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826FE5AE</Template>
  <TotalTime>3</TotalTime>
  <Pages>5</Pages>
  <Words>2149</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Pauline Smiley</cp:lastModifiedBy>
  <cp:revision>3</cp:revision>
  <cp:lastPrinted>2014-09-23T20:40:00Z</cp:lastPrinted>
  <dcterms:created xsi:type="dcterms:W3CDTF">2015-05-19T15:21:00Z</dcterms:created>
  <dcterms:modified xsi:type="dcterms:W3CDTF">2015-05-21T15:54:00Z</dcterms:modified>
</cp:coreProperties>
</file>