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DDF" w:rsidRDefault="0079656D" w:rsidP="00EA4DDF">
      <w:pPr>
        <w:pStyle w:val="Header"/>
        <w:jc w:val="center"/>
        <w:rPr>
          <w:rFonts w:cs="Arial"/>
          <w:b/>
          <w:sz w:val="28"/>
          <w:szCs w:val="28"/>
          <w:lang w:val="en-CA"/>
        </w:rPr>
      </w:pPr>
      <w:r>
        <w:rPr>
          <w:rFonts w:cs="Arial"/>
          <w:b/>
          <w:sz w:val="28"/>
          <w:szCs w:val="28"/>
          <w:lang w:val="en-CA"/>
        </w:rPr>
        <w:t>Progr</w:t>
      </w:r>
      <w:r w:rsidR="00EA4DDF" w:rsidRPr="00CA500D">
        <w:rPr>
          <w:rFonts w:cs="Arial"/>
          <w:b/>
          <w:sz w:val="28"/>
          <w:szCs w:val="28"/>
          <w:lang w:val="en-CA"/>
        </w:rPr>
        <w:t>am Review Self Study Template</w:t>
      </w:r>
    </w:p>
    <w:tbl>
      <w:tblPr>
        <w:tblW w:w="1310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723"/>
        <w:gridCol w:w="3940"/>
        <w:gridCol w:w="2268"/>
        <w:gridCol w:w="4111"/>
        <w:gridCol w:w="60"/>
      </w:tblGrid>
      <w:tr w:rsidR="000715B2" w:rsidRPr="00C54C7B" w:rsidTr="000715B2">
        <w:trPr>
          <w:gridAfter w:val="1"/>
          <w:wAfter w:w="60" w:type="dxa"/>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 xml:space="preserve">Program Coordinator:  </w:t>
            </w:r>
          </w:p>
        </w:tc>
        <w:tc>
          <w:tcPr>
            <w:tcW w:w="3940" w:type="dxa"/>
            <w:shd w:val="clear" w:color="auto" w:fill="DBE5F1" w:themeFill="accent1" w:themeFillTint="33"/>
          </w:tcPr>
          <w:p w:rsidR="000715B2" w:rsidRDefault="004E0D58" w:rsidP="000715B2">
            <w:pPr>
              <w:pStyle w:val="Header"/>
              <w:jc w:val="center"/>
              <w:rPr>
                <w:rFonts w:cs="Arial"/>
                <w:b/>
                <w:szCs w:val="22"/>
                <w:lang w:val="en-CA"/>
              </w:rPr>
            </w:pPr>
            <w:r>
              <w:rPr>
                <w:rFonts w:cs="Arial"/>
                <w:b/>
                <w:szCs w:val="22"/>
                <w:lang w:val="en-CA"/>
              </w:rPr>
              <w:t>Scott Heard</w:t>
            </w:r>
          </w:p>
          <w:p w:rsidR="009668DC" w:rsidRPr="00C54C7B" w:rsidRDefault="009668DC" w:rsidP="000715B2">
            <w:pPr>
              <w:pStyle w:val="Header"/>
              <w:jc w:val="center"/>
              <w:rPr>
                <w:rFonts w:cs="Arial"/>
                <w:b/>
                <w:szCs w:val="22"/>
                <w:lang w:val="en-CA"/>
              </w:rPr>
            </w:pPr>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School:</w:t>
            </w:r>
          </w:p>
        </w:tc>
        <w:tc>
          <w:tcPr>
            <w:tcW w:w="4111" w:type="dxa"/>
            <w:shd w:val="clear" w:color="auto" w:fill="DBE5F1" w:themeFill="accent1" w:themeFillTint="33"/>
          </w:tcPr>
          <w:p w:rsidR="000715B2" w:rsidRPr="00C54C7B" w:rsidRDefault="0070189D" w:rsidP="000715B2">
            <w:pPr>
              <w:pStyle w:val="Header"/>
              <w:jc w:val="center"/>
              <w:rPr>
                <w:rFonts w:cs="Arial"/>
                <w:b/>
                <w:szCs w:val="22"/>
                <w:lang w:val="en-CA"/>
              </w:rPr>
            </w:pPr>
            <w:r>
              <w:rPr>
                <w:rFonts w:cs="Arial"/>
                <w:b/>
                <w:szCs w:val="22"/>
                <w:lang w:val="en-CA"/>
              </w:rPr>
              <w:t>SENRS</w:t>
            </w:r>
          </w:p>
        </w:tc>
      </w:tr>
      <w:tr w:rsidR="000715B2" w:rsidRPr="00C54C7B" w:rsidTr="000715B2">
        <w:trPr>
          <w:gridAfter w:val="1"/>
          <w:wAfter w:w="60" w:type="dxa"/>
          <w:tblHeader/>
        </w:trPr>
        <w:tc>
          <w:tcPr>
            <w:tcW w:w="2723" w:type="dxa"/>
            <w:shd w:val="clear" w:color="auto" w:fill="DBE5F1" w:themeFill="accent1" w:themeFillTint="33"/>
          </w:tcPr>
          <w:p w:rsidR="000715B2" w:rsidRPr="00C54C7B" w:rsidRDefault="000715B2" w:rsidP="000715B2">
            <w:pPr>
              <w:pStyle w:val="Header"/>
              <w:jc w:val="right"/>
              <w:rPr>
                <w:rFonts w:cs="Arial"/>
                <w:b/>
                <w:szCs w:val="22"/>
                <w:lang w:val="en-CA"/>
              </w:rPr>
            </w:pPr>
            <w:r>
              <w:rPr>
                <w:rFonts w:cs="Arial"/>
                <w:b/>
                <w:szCs w:val="22"/>
                <w:lang w:val="en-CA"/>
              </w:rPr>
              <w:t>Program Code:</w:t>
            </w:r>
          </w:p>
        </w:tc>
        <w:tc>
          <w:tcPr>
            <w:tcW w:w="3940" w:type="dxa"/>
            <w:shd w:val="clear" w:color="auto" w:fill="DBE5F1" w:themeFill="accent1" w:themeFillTint="33"/>
          </w:tcPr>
          <w:p w:rsidR="009668DC" w:rsidRPr="00C54C7B" w:rsidRDefault="00F476CF" w:rsidP="00B34D8A">
            <w:pPr>
              <w:pStyle w:val="Header"/>
              <w:jc w:val="center"/>
              <w:rPr>
                <w:rFonts w:cs="Arial"/>
                <w:b/>
                <w:szCs w:val="22"/>
                <w:lang w:val="en-CA"/>
              </w:rPr>
            </w:pPr>
            <w:r>
              <w:rPr>
                <w:rFonts w:cs="Arial"/>
                <w:b/>
                <w:szCs w:val="22"/>
                <w:lang w:val="en-CA"/>
              </w:rPr>
              <w:t>HET</w:t>
            </w:r>
            <w:bookmarkStart w:id="0" w:name="_GoBack"/>
            <w:bookmarkEnd w:id="0"/>
          </w:p>
        </w:tc>
        <w:tc>
          <w:tcPr>
            <w:tcW w:w="2268" w:type="dxa"/>
            <w:shd w:val="clear" w:color="auto" w:fill="DBE5F1" w:themeFill="accent1" w:themeFillTint="33"/>
          </w:tcPr>
          <w:p w:rsidR="000715B2" w:rsidRPr="00C54C7B" w:rsidRDefault="000715B2" w:rsidP="000715B2">
            <w:pPr>
              <w:pStyle w:val="Header"/>
              <w:jc w:val="right"/>
              <w:rPr>
                <w:rFonts w:cs="Arial"/>
                <w:b/>
                <w:szCs w:val="22"/>
                <w:lang w:val="en-CA"/>
              </w:rPr>
            </w:pPr>
            <w:r w:rsidRPr="00C54C7B">
              <w:rPr>
                <w:rFonts w:cs="Arial"/>
                <w:b/>
                <w:szCs w:val="22"/>
                <w:lang w:val="en-CA"/>
              </w:rPr>
              <w:t>Date Completed:</w:t>
            </w:r>
          </w:p>
        </w:tc>
        <w:tc>
          <w:tcPr>
            <w:tcW w:w="4111" w:type="dxa"/>
            <w:shd w:val="clear" w:color="auto" w:fill="DBE5F1" w:themeFill="accent1" w:themeFillTint="33"/>
          </w:tcPr>
          <w:p w:rsidR="000715B2" w:rsidRPr="00C54C7B" w:rsidRDefault="0095020D" w:rsidP="000715B2">
            <w:pPr>
              <w:pStyle w:val="Header"/>
              <w:jc w:val="center"/>
              <w:rPr>
                <w:rFonts w:cs="Arial"/>
                <w:b/>
                <w:szCs w:val="22"/>
                <w:lang w:val="en-CA"/>
              </w:rPr>
            </w:pPr>
            <w:r>
              <w:rPr>
                <w:rFonts w:cs="Arial"/>
                <w:b/>
                <w:szCs w:val="22"/>
                <w:lang w:val="en-CA"/>
              </w:rPr>
              <w:t>January 30, 2013</w:t>
            </w:r>
          </w:p>
        </w:tc>
      </w:tr>
      <w:tr w:rsidR="000715B2" w:rsidRPr="00C54C7B" w:rsidTr="000715B2">
        <w:trPr>
          <w:gridAfter w:val="1"/>
          <w:wAfter w:w="60" w:type="dxa"/>
          <w:tblHeader/>
        </w:trPr>
        <w:tc>
          <w:tcPr>
            <w:tcW w:w="2723" w:type="dxa"/>
            <w:shd w:val="clear" w:color="auto" w:fill="DBE5F1" w:themeFill="accent1" w:themeFillTint="33"/>
          </w:tcPr>
          <w:p w:rsidR="000715B2" w:rsidRDefault="000715B2" w:rsidP="000715B2">
            <w:pPr>
              <w:pStyle w:val="Header"/>
              <w:jc w:val="right"/>
              <w:rPr>
                <w:rFonts w:cs="Arial"/>
                <w:b/>
                <w:szCs w:val="22"/>
                <w:lang w:val="en-CA"/>
              </w:rPr>
            </w:pPr>
            <w:r w:rsidRPr="00C54C7B">
              <w:rPr>
                <w:rFonts w:cs="Arial"/>
                <w:b/>
                <w:szCs w:val="22"/>
                <w:lang w:val="en-CA"/>
              </w:rPr>
              <w:t xml:space="preserve">Program Name:  </w:t>
            </w:r>
          </w:p>
        </w:tc>
        <w:tc>
          <w:tcPr>
            <w:tcW w:w="10319" w:type="dxa"/>
            <w:gridSpan w:val="3"/>
            <w:shd w:val="clear" w:color="auto" w:fill="DBE5F1" w:themeFill="accent1" w:themeFillTint="33"/>
          </w:tcPr>
          <w:p w:rsidR="000715B2" w:rsidRDefault="0070189D" w:rsidP="000715B2">
            <w:pPr>
              <w:pStyle w:val="Header"/>
              <w:jc w:val="center"/>
              <w:rPr>
                <w:rFonts w:cs="Arial"/>
                <w:b/>
                <w:szCs w:val="22"/>
                <w:lang w:val="en-CA"/>
              </w:rPr>
            </w:pPr>
            <w:r>
              <w:rPr>
                <w:rFonts w:cs="Arial"/>
                <w:b/>
                <w:szCs w:val="22"/>
                <w:lang w:val="en-CA"/>
              </w:rPr>
              <w:t>Motive Power Techniques- Heavy Equipment</w:t>
            </w:r>
          </w:p>
          <w:p w:rsidR="009668DC" w:rsidRPr="00C54C7B" w:rsidRDefault="009668DC" w:rsidP="000715B2">
            <w:pPr>
              <w:pStyle w:val="Header"/>
              <w:jc w:val="center"/>
              <w:rPr>
                <w:rFonts w:cs="Arial"/>
                <w:b/>
                <w:szCs w:val="22"/>
                <w:lang w:val="en-CA"/>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0715B2" w:rsidP="00AB5A30">
            <w:pPr>
              <w:rPr>
                <w:rFonts w:cs="Arial"/>
                <w:b/>
              </w:rPr>
            </w:pPr>
            <w:r>
              <w:rPr>
                <w:rFonts w:cs="Arial"/>
                <w:b/>
              </w:rPr>
              <w:t>In</w:t>
            </w:r>
            <w:r w:rsidR="00EA4DDF" w:rsidRPr="00356C80">
              <w:rPr>
                <w:rFonts w:cs="Arial"/>
                <w:b/>
              </w:rPr>
              <w:t>dicator</w:t>
            </w:r>
          </w:p>
          <w:p w:rsidR="00EA4DDF" w:rsidRPr="00356C80" w:rsidRDefault="00EA4DDF" w:rsidP="00AB5A30">
            <w:pPr>
              <w:rPr>
                <w:rFonts w:cs="Arial"/>
                <w:b/>
              </w:rPr>
            </w:pPr>
          </w:p>
          <w:p w:rsidR="00EA4DDF" w:rsidRPr="00356C80" w:rsidRDefault="00EA4DDF" w:rsidP="00AB5A30">
            <w:pPr>
              <w:rPr>
                <w:rFonts w:cs="Arial"/>
                <w:b/>
              </w:rPr>
            </w:pPr>
            <w:r w:rsidRPr="00356C80">
              <w:rPr>
                <w:rFonts w:cs="Arial"/>
                <w:b/>
              </w:rPr>
              <w:t>1.0 Industry Trends</w:t>
            </w:r>
          </w:p>
        </w:tc>
        <w:tc>
          <w:tcPr>
            <w:tcW w:w="6379" w:type="dxa"/>
            <w:gridSpan w:val="2"/>
            <w:shd w:val="clear" w:color="auto" w:fill="C0C0C0"/>
            <w:tcMar>
              <w:top w:w="113" w:type="dxa"/>
              <w:bottom w:w="113" w:type="dxa"/>
            </w:tcMar>
          </w:tcPr>
          <w:p w:rsidR="00EA4DDF" w:rsidRPr="00356C80" w:rsidRDefault="00EA4DDF" w:rsidP="00AB5A30">
            <w:pPr>
              <w:rPr>
                <w:rFonts w:cs="Arial"/>
                <w:b/>
              </w:rPr>
            </w:pPr>
          </w:p>
          <w:p w:rsidR="00EA4DDF" w:rsidRPr="00356C80" w:rsidRDefault="00EA4DDF" w:rsidP="00AB5A30">
            <w:pPr>
              <w:rPr>
                <w:rFonts w:cs="Arial"/>
                <w:b/>
              </w:rPr>
            </w:pPr>
          </w:p>
          <w:p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rPr>
                <w:rFonts w:cs="Arial"/>
                <w:b/>
                <w:bCs/>
                <w:sz w:val="20"/>
              </w:rPr>
            </w:pPr>
            <w:r w:rsidRPr="00356C80">
              <w:rPr>
                <w:rFonts w:cs="Arial"/>
                <w:b/>
                <w:bCs/>
                <w:sz w:val="20"/>
              </w:rPr>
              <w:t>1.1 Sectoral Standards and Industry Trends</w:t>
            </w:r>
          </w:p>
          <w:p w:rsidR="00EA4DDF" w:rsidRPr="00356C80" w:rsidRDefault="00EA4DDF" w:rsidP="005D66C4">
            <w:pPr>
              <w:ind w:right="-108"/>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rsidR="00D07044" w:rsidRPr="00356C80" w:rsidRDefault="00D07044" w:rsidP="00D07044">
            <w:pPr>
              <w:ind w:left="360"/>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Recent labour market data or sector reports</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rsidR="00D07044" w:rsidRDefault="00D07044" w:rsidP="00D07044">
            <w:pPr>
              <w:pStyle w:val="ListParagraph"/>
              <w:rPr>
                <w:rFonts w:cs="Arial"/>
                <w:sz w:val="20"/>
              </w:rPr>
            </w:pPr>
          </w:p>
          <w:p w:rsidR="00EA4DDF" w:rsidRDefault="00EA4DDF" w:rsidP="00EA4DDF">
            <w:pPr>
              <w:numPr>
                <w:ilvl w:val="0"/>
                <w:numId w:val="6"/>
              </w:numPr>
              <w:tabs>
                <w:tab w:val="clear" w:pos="720"/>
                <w:tab w:val="num" w:pos="360"/>
              </w:tabs>
              <w:ind w:left="360"/>
              <w:rPr>
                <w:rFonts w:cs="Arial"/>
                <w:sz w:val="20"/>
              </w:rPr>
            </w:pPr>
            <w:r w:rsidRPr="00356C80">
              <w:rPr>
                <w:rFonts w:cs="Arial"/>
                <w:sz w:val="20"/>
              </w:rPr>
              <w:t>Program alignment to labour market and sectoral trends</w:t>
            </w:r>
          </w:p>
          <w:p w:rsidR="00D07044" w:rsidRDefault="00D07044" w:rsidP="00D07044">
            <w:pPr>
              <w:pStyle w:val="ListParagraph"/>
              <w:rPr>
                <w:rFonts w:cs="Arial"/>
                <w:sz w:val="20"/>
              </w:rPr>
            </w:pPr>
          </w:p>
          <w:p w:rsidR="00EA4DDF" w:rsidRPr="00356C80" w:rsidRDefault="00EA4DDF" w:rsidP="00EA4DDF">
            <w:pPr>
              <w:numPr>
                <w:ilvl w:val="0"/>
                <w:numId w:val="6"/>
              </w:numPr>
              <w:tabs>
                <w:tab w:val="clear" w:pos="720"/>
                <w:tab w:val="num" w:pos="360"/>
              </w:tabs>
              <w:ind w:left="360"/>
              <w:rPr>
                <w:rFonts w:cs="Arial"/>
                <w:sz w:val="20"/>
              </w:rPr>
            </w:pPr>
            <w:r w:rsidRPr="00356C80">
              <w:rPr>
                <w:rFonts w:cs="Arial"/>
                <w:sz w:val="20"/>
              </w:rPr>
              <w:t>Trends identified by the Program Advisory Committee</w:t>
            </w:r>
          </w:p>
          <w:p w:rsidR="00EA4DDF" w:rsidRPr="00356C80" w:rsidRDefault="00EA4DDF" w:rsidP="00AB5A30">
            <w:pPr>
              <w:rPr>
                <w:rFonts w:cs="Arial"/>
                <w:szCs w:val="22"/>
              </w:rPr>
            </w:pPr>
          </w:p>
        </w:tc>
        <w:tc>
          <w:tcPr>
            <w:tcW w:w="6379" w:type="dxa"/>
            <w:gridSpan w:val="2"/>
            <w:tcMar>
              <w:top w:w="113" w:type="dxa"/>
              <w:bottom w:w="113" w:type="dxa"/>
            </w:tcMar>
          </w:tcPr>
          <w:p w:rsidR="00EA4DDF" w:rsidRPr="00356C80" w:rsidRDefault="00EA4DDF" w:rsidP="00AB5A30">
            <w:pPr>
              <w:rPr>
                <w:rFonts w:cs="Arial"/>
                <w:szCs w:val="22"/>
              </w:rPr>
            </w:pPr>
          </w:p>
          <w:p w:rsidR="00803C57" w:rsidRPr="00D50E41" w:rsidRDefault="00803C57" w:rsidP="00803C57">
            <w:pPr>
              <w:rPr>
                <w:rFonts w:cs="Arial"/>
                <w:sz w:val="20"/>
              </w:rPr>
            </w:pPr>
          </w:p>
          <w:p w:rsidR="00803C57" w:rsidRDefault="00F71A9D" w:rsidP="00803C57">
            <w:pPr>
              <w:rPr>
                <w:rFonts w:cs="Arial"/>
                <w:sz w:val="20"/>
              </w:rPr>
            </w:pPr>
            <w:r w:rsidRPr="00922161">
              <w:rPr>
                <w:rFonts w:cs="Arial"/>
                <w:sz w:val="20"/>
              </w:rPr>
              <w:t xml:space="preserve">The industry Advisory Committee provides </w:t>
            </w:r>
            <w:r w:rsidR="00922161" w:rsidRPr="00922161">
              <w:rPr>
                <w:rFonts w:cs="Arial"/>
                <w:sz w:val="20"/>
              </w:rPr>
              <w:t xml:space="preserve">the sectoral standards and recommendations which are followed by this program. </w:t>
            </w:r>
            <w:r w:rsidR="00803C57" w:rsidRPr="00D50E41">
              <w:rPr>
                <w:rFonts w:cs="Arial"/>
                <w:sz w:val="20"/>
              </w:rPr>
              <w:t xml:space="preserve"> </w:t>
            </w:r>
          </w:p>
          <w:p w:rsidR="00803C57" w:rsidRDefault="00803C57" w:rsidP="00803C57">
            <w:pPr>
              <w:rPr>
                <w:rFonts w:cs="Arial"/>
                <w:sz w:val="20"/>
              </w:rPr>
            </w:pPr>
          </w:p>
          <w:p w:rsidR="00803C57" w:rsidRDefault="00803C57" w:rsidP="00803C57">
            <w:pPr>
              <w:rPr>
                <w:rFonts w:cs="Arial"/>
                <w:sz w:val="20"/>
              </w:rPr>
            </w:pPr>
            <w:r>
              <w:rPr>
                <w:rFonts w:cs="Arial"/>
                <w:sz w:val="20"/>
              </w:rPr>
              <w:t>The industry is changing with more computerization and electrical components including:</w:t>
            </w:r>
          </w:p>
          <w:p w:rsidR="00671E74" w:rsidRDefault="00671E74" w:rsidP="00671E74">
            <w:pPr>
              <w:pStyle w:val="Default"/>
            </w:pPr>
          </w:p>
          <w:p w:rsidR="00803C57" w:rsidRPr="00D50E41" w:rsidRDefault="00803C57" w:rsidP="00803C57">
            <w:pPr>
              <w:rPr>
                <w:rFonts w:cs="Arial"/>
                <w:sz w:val="20"/>
              </w:rPr>
            </w:pPr>
            <w:r w:rsidRPr="00D50E41">
              <w:rPr>
                <w:rFonts w:cs="Arial"/>
                <w:sz w:val="20"/>
              </w:rPr>
              <w:t>-electric drive systems</w:t>
            </w:r>
          </w:p>
          <w:p w:rsidR="00803C57" w:rsidRPr="00D50E41" w:rsidRDefault="00803C57" w:rsidP="00803C57">
            <w:pPr>
              <w:rPr>
                <w:rFonts w:cs="Arial"/>
                <w:sz w:val="20"/>
              </w:rPr>
            </w:pPr>
            <w:r w:rsidRPr="00D50E41">
              <w:rPr>
                <w:rFonts w:cs="Arial"/>
                <w:sz w:val="20"/>
              </w:rPr>
              <w:t>-medium voltage systems on mobile equipment</w:t>
            </w:r>
          </w:p>
          <w:p w:rsidR="00803C57" w:rsidRDefault="00803C57" w:rsidP="00803C57">
            <w:pPr>
              <w:rPr>
                <w:rFonts w:cs="Arial"/>
                <w:sz w:val="20"/>
              </w:rPr>
            </w:pPr>
            <w:r w:rsidRPr="00D50E41">
              <w:rPr>
                <w:rFonts w:cs="Arial"/>
                <w:sz w:val="20"/>
              </w:rPr>
              <w:t>-low emission engine technology (Tier 4)</w:t>
            </w:r>
          </w:p>
          <w:p w:rsidR="00E3496F" w:rsidRDefault="00E3496F" w:rsidP="00803C57">
            <w:pPr>
              <w:rPr>
                <w:rFonts w:cs="Arial"/>
                <w:sz w:val="20"/>
              </w:rPr>
            </w:pPr>
            <w:r>
              <w:rPr>
                <w:rFonts w:cs="Arial"/>
                <w:sz w:val="20"/>
              </w:rPr>
              <w:t>-remote tracking</w:t>
            </w:r>
          </w:p>
          <w:p w:rsidR="00E3496F" w:rsidRDefault="00E3496F" w:rsidP="00803C57">
            <w:pPr>
              <w:rPr>
                <w:rFonts w:cs="Arial"/>
                <w:sz w:val="20"/>
              </w:rPr>
            </w:pPr>
          </w:p>
          <w:p w:rsidR="00803C57" w:rsidRDefault="00803C57" w:rsidP="00803C57">
            <w:pPr>
              <w:rPr>
                <w:rFonts w:cs="Arial"/>
                <w:sz w:val="20"/>
              </w:rPr>
            </w:pPr>
          </w:p>
          <w:p w:rsidR="00803C57" w:rsidRPr="00D50E41" w:rsidRDefault="00803C57" w:rsidP="00803C57">
            <w:pPr>
              <w:rPr>
                <w:rFonts w:cs="Arial"/>
                <w:sz w:val="20"/>
              </w:rPr>
            </w:pPr>
            <w:r>
              <w:rPr>
                <w:rFonts w:cs="Arial"/>
                <w:sz w:val="20"/>
              </w:rPr>
              <w:t>Training is also expanding as a result including such areas as:</w:t>
            </w:r>
          </w:p>
          <w:p w:rsidR="00803C57" w:rsidRDefault="00803C57" w:rsidP="00803C57">
            <w:pPr>
              <w:rPr>
                <w:rFonts w:cs="Arial"/>
                <w:sz w:val="20"/>
              </w:rPr>
            </w:pPr>
            <w:r w:rsidRPr="00D50E41">
              <w:rPr>
                <w:rFonts w:cs="Arial"/>
                <w:sz w:val="20"/>
              </w:rPr>
              <w:t xml:space="preserve"> -medium voltage/arc flash training</w:t>
            </w:r>
          </w:p>
          <w:p w:rsidR="00671E74" w:rsidRDefault="00671E74" w:rsidP="00803C57">
            <w:pPr>
              <w:rPr>
                <w:rFonts w:cs="Arial"/>
                <w:sz w:val="20"/>
              </w:rPr>
            </w:pPr>
          </w:p>
          <w:p w:rsidR="00EA4DDF" w:rsidRDefault="00671E74" w:rsidP="008205A1">
            <w:pPr>
              <w:pStyle w:val="Default"/>
              <w:rPr>
                <w:rFonts w:ascii="Arial" w:hAnsi="Arial" w:cs="Arial"/>
                <w:sz w:val="20"/>
                <w:szCs w:val="20"/>
              </w:rPr>
            </w:pPr>
            <w:r w:rsidRPr="00E3496F">
              <w:rPr>
                <w:rFonts w:ascii="Arial" w:hAnsi="Arial" w:cs="Arial"/>
                <w:sz w:val="20"/>
                <w:szCs w:val="20"/>
              </w:rPr>
              <w:t>Due to the increase in technology demand for skills in this trade now incl</w:t>
            </w:r>
            <w:r w:rsidR="00922161" w:rsidRPr="00E3496F">
              <w:rPr>
                <w:rFonts w:ascii="Arial" w:hAnsi="Arial" w:cs="Arial"/>
                <w:sz w:val="20"/>
                <w:szCs w:val="20"/>
              </w:rPr>
              <w:t>ude more computerized training.  Technicians are increasingly mobile and need to be able to use a variety of diagnostic equipment on-site.</w:t>
            </w:r>
          </w:p>
          <w:p w:rsidR="00E3496F" w:rsidRDefault="00E3496F" w:rsidP="008205A1">
            <w:pPr>
              <w:pStyle w:val="Default"/>
              <w:rPr>
                <w:rFonts w:ascii="Arial" w:hAnsi="Arial" w:cs="Arial"/>
                <w:sz w:val="20"/>
                <w:szCs w:val="20"/>
              </w:rPr>
            </w:pPr>
          </w:p>
          <w:p w:rsidR="00E3496F" w:rsidRPr="00E3496F" w:rsidRDefault="00E3496F" w:rsidP="008205A1">
            <w:pPr>
              <w:pStyle w:val="Default"/>
              <w:rPr>
                <w:rFonts w:ascii="Arial" w:hAnsi="Arial" w:cs="Arial"/>
                <w:sz w:val="20"/>
                <w:szCs w:val="20"/>
              </w:rPr>
            </w:pPr>
            <w:r>
              <w:rPr>
                <w:rFonts w:ascii="Arial" w:hAnsi="Arial" w:cs="Arial"/>
                <w:sz w:val="20"/>
                <w:szCs w:val="20"/>
              </w:rPr>
              <w:t>Trends reported by the Advisory Committee including the current mining boom and the age of technicians that work in the Aggregate Processing Industry. Mining required Heavy Equipment Technicians as well as graduates of the Electrical Power Generation Program.</w:t>
            </w:r>
          </w:p>
          <w:p w:rsidR="008205A1" w:rsidRPr="008205A1" w:rsidRDefault="008205A1" w:rsidP="008205A1">
            <w:pPr>
              <w:pStyle w:val="Default"/>
              <w:rPr>
                <w:sz w:val="22"/>
                <w:szCs w:val="22"/>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bCs/>
                <w:sz w:val="20"/>
              </w:rPr>
            </w:pPr>
            <w:r w:rsidRPr="00356C80">
              <w:rPr>
                <w:rFonts w:ascii="Arial" w:hAnsi="Arial" w:cs="Arial"/>
                <w:b/>
                <w:bCs/>
                <w:sz w:val="20"/>
              </w:rPr>
              <w:t>1.2 Industry Liaison</w:t>
            </w:r>
          </w:p>
          <w:p w:rsidR="00EA4DDF" w:rsidRPr="00356C80" w:rsidRDefault="00EA4DDF" w:rsidP="00AB5A30">
            <w:pPr>
              <w:pStyle w:val="Title"/>
              <w:jc w:val="left"/>
              <w:rPr>
                <w:rFonts w:ascii="Arial" w:hAnsi="Arial"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Pr="008667D6" w:rsidRDefault="00EA4DDF" w:rsidP="00AB5A30">
            <w:pPr>
              <w:numPr>
                <w:ilvl w:val="0"/>
                <w:numId w:val="7"/>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community-based projects</w:t>
            </w:r>
          </w:p>
          <w:p w:rsidR="005D66C4" w:rsidRDefault="005D66C4" w:rsidP="00AB5A30">
            <w:pPr>
              <w:pStyle w:val="Title"/>
              <w:jc w:val="left"/>
              <w:rPr>
                <w:rFonts w:ascii="Arial" w:hAnsi="Arial" w:cs="Arial"/>
                <w:b/>
                <w:bCs/>
                <w:sz w:val="20"/>
              </w:rPr>
            </w:pPr>
          </w:p>
          <w:p w:rsidR="005D66C4" w:rsidRPr="00356C80" w:rsidRDefault="005D66C4" w:rsidP="00AB5A30">
            <w:pPr>
              <w:pStyle w:val="Title"/>
              <w:jc w:val="left"/>
              <w:rPr>
                <w:rFonts w:ascii="Arial" w:hAnsi="Arial" w:cs="Arial"/>
                <w:b/>
                <w:bCs/>
                <w:sz w:val="20"/>
              </w:rPr>
            </w:pPr>
          </w:p>
        </w:tc>
        <w:tc>
          <w:tcPr>
            <w:tcW w:w="6379" w:type="dxa"/>
            <w:gridSpan w:val="2"/>
            <w:tcMar>
              <w:top w:w="113" w:type="dxa"/>
              <w:bottom w:w="113" w:type="dxa"/>
            </w:tcMar>
          </w:tcPr>
          <w:p w:rsidR="00663DAA" w:rsidRPr="00922161" w:rsidRDefault="00663DAA" w:rsidP="00663DAA">
            <w:pPr>
              <w:rPr>
                <w:rFonts w:cs="Arial"/>
                <w:sz w:val="20"/>
              </w:rPr>
            </w:pPr>
            <w:r w:rsidRPr="00922161">
              <w:rPr>
                <w:rFonts w:cs="Arial"/>
                <w:sz w:val="20"/>
              </w:rPr>
              <w:lastRenderedPageBreak/>
              <w:t xml:space="preserve">The internship is a direct industry link with many students being hired </w:t>
            </w:r>
            <w:r w:rsidRPr="00922161">
              <w:rPr>
                <w:rFonts w:cs="Arial"/>
                <w:sz w:val="20"/>
              </w:rPr>
              <w:lastRenderedPageBreak/>
              <w:t xml:space="preserve">by the company that hosted their </w:t>
            </w:r>
            <w:r w:rsidR="00B63FD8" w:rsidRPr="00922161">
              <w:rPr>
                <w:rFonts w:cs="Arial"/>
                <w:sz w:val="20"/>
              </w:rPr>
              <w:t>internships</w:t>
            </w:r>
            <w:r w:rsidRPr="00922161">
              <w:rPr>
                <w:rFonts w:cs="Arial"/>
                <w:sz w:val="20"/>
              </w:rPr>
              <w:t>.</w:t>
            </w:r>
          </w:p>
          <w:p w:rsidR="00663DAA" w:rsidRPr="00922161" w:rsidRDefault="00663DAA" w:rsidP="00663DAA">
            <w:pPr>
              <w:rPr>
                <w:rFonts w:cs="Arial"/>
                <w:sz w:val="20"/>
              </w:rPr>
            </w:pPr>
          </w:p>
          <w:p w:rsidR="00663DAA" w:rsidRPr="00922161" w:rsidRDefault="00663DAA" w:rsidP="00663DAA">
            <w:pPr>
              <w:rPr>
                <w:rFonts w:cs="Arial"/>
                <w:sz w:val="20"/>
              </w:rPr>
            </w:pPr>
            <w:r w:rsidRPr="00922161">
              <w:rPr>
                <w:rFonts w:cs="Arial"/>
                <w:sz w:val="20"/>
              </w:rPr>
              <w:t xml:space="preserve">The program belongs to the </w:t>
            </w:r>
            <w:r w:rsidR="00922161" w:rsidRPr="00922161">
              <w:rPr>
                <w:rFonts w:cs="Arial"/>
                <w:sz w:val="20"/>
              </w:rPr>
              <w:t xml:space="preserve">Canadian Association of Equipment Distributers and the </w:t>
            </w:r>
            <w:r w:rsidRPr="00922161">
              <w:rPr>
                <w:rFonts w:cs="Arial"/>
                <w:sz w:val="20"/>
              </w:rPr>
              <w:t>Ontario Chapter</w:t>
            </w:r>
            <w:r w:rsidR="00B63FD8" w:rsidRPr="00922161">
              <w:rPr>
                <w:rFonts w:cs="Arial"/>
                <w:sz w:val="20"/>
              </w:rPr>
              <w:t xml:space="preserve"> and the Caterpillar Foundation</w:t>
            </w:r>
            <w:r w:rsidRPr="00922161">
              <w:rPr>
                <w:rFonts w:cs="Arial"/>
                <w:sz w:val="20"/>
              </w:rPr>
              <w:t>.</w:t>
            </w:r>
            <w:r w:rsidR="00922161" w:rsidRPr="00922161">
              <w:rPr>
                <w:rFonts w:cs="Arial"/>
                <w:sz w:val="20"/>
              </w:rPr>
              <w:t xml:space="preserve">  These memberships provide machines, financial support and diagnostic equipment for the program.</w:t>
            </w:r>
          </w:p>
          <w:p w:rsidR="00663DAA" w:rsidRPr="00922161" w:rsidRDefault="00663DAA" w:rsidP="00663DAA">
            <w:pPr>
              <w:rPr>
                <w:rFonts w:cs="Arial"/>
                <w:sz w:val="20"/>
              </w:rPr>
            </w:pPr>
          </w:p>
          <w:p w:rsidR="00663DAA" w:rsidRDefault="00B63FD8" w:rsidP="00663DAA">
            <w:pPr>
              <w:rPr>
                <w:rFonts w:cs="Arial"/>
                <w:sz w:val="20"/>
              </w:rPr>
            </w:pPr>
            <w:r w:rsidRPr="00922161">
              <w:rPr>
                <w:rFonts w:cs="Arial"/>
                <w:sz w:val="20"/>
              </w:rPr>
              <w:t>The program would benefit from more personal contacts by faculty with industry to access more internship possibilities and to stay directly in tune with industry changes.</w:t>
            </w:r>
            <w:r w:rsidR="00922161">
              <w:rPr>
                <w:rFonts w:cs="Arial"/>
                <w:sz w:val="20"/>
              </w:rPr>
              <w:t xml:space="preserve">  New faculty have newer industry contacts beneficial to the program.</w:t>
            </w:r>
          </w:p>
          <w:p w:rsidR="00E3496F" w:rsidRDefault="00E3496F" w:rsidP="00663DAA">
            <w:pPr>
              <w:rPr>
                <w:rFonts w:cs="Arial"/>
                <w:sz w:val="20"/>
              </w:rPr>
            </w:pPr>
          </w:p>
          <w:p w:rsidR="00F00E14" w:rsidRPr="00922161" w:rsidRDefault="00E3496F" w:rsidP="00663DAA">
            <w:pPr>
              <w:rPr>
                <w:rFonts w:cs="Arial"/>
                <w:sz w:val="20"/>
              </w:rPr>
            </w:pPr>
            <w:r>
              <w:rPr>
                <w:rFonts w:cs="Arial"/>
                <w:sz w:val="20"/>
              </w:rPr>
              <w:t>Industry also provides the program with direct access to several online training programs including John Deere University, CAT, and Strongo.  More of these training modules are going to be incorporated into the program and some of the older modules are going to be removed.</w:t>
            </w:r>
            <w:r w:rsidR="00F00E14">
              <w:rPr>
                <w:rFonts w:cs="Arial"/>
                <w:sz w:val="20"/>
              </w:rPr>
              <w:t xml:space="preserve"> CAT Basics will be removed.</w:t>
            </w:r>
          </w:p>
          <w:p w:rsidR="00663DAA" w:rsidRPr="00922161" w:rsidRDefault="00663DAA" w:rsidP="00663DAA">
            <w:pPr>
              <w:rPr>
                <w:rFonts w:cs="Arial"/>
                <w:sz w:val="20"/>
              </w:rPr>
            </w:pPr>
          </w:p>
          <w:p w:rsidR="00EA4DDF" w:rsidRPr="00922161" w:rsidRDefault="00EA4DDF" w:rsidP="00AB5A30">
            <w:pPr>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6379" w:type="dxa"/>
            <w:gridSpan w:val="2"/>
            <w:shd w:val="clear" w:color="auto" w:fill="C0C0C0"/>
            <w:tcMar>
              <w:top w:w="113" w:type="dxa"/>
              <w:bottom w:w="113" w:type="dxa"/>
            </w:tcMar>
          </w:tcPr>
          <w:p w:rsidR="00EA4DDF" w:rsidRPr="00356C80" w:rsidRDefault="00EA4DDF" w:rsidP="00AB5A30">
            <w:pPr>
              <w:rPr>
                <w:rFonts w:cs="Arial"/>
                <w:b/>
              </w:rPr>
            </w:pPr>
            <w:r w:rsidRPr="00356C80">
              <w:rPr>
                <w:rFonts w:cs="Arial"/>
                <w:b/>
              </w:rPr>
              <w:t>Summary of Key Findings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2116CE" w:rsidRPr="002116CE" w:rsidRDefault="002116CE" w:rsidP="002116CE">
            <w:pPr>
              <w:numPr>
                <w:ilvl w:val="0"/>
                <w:numId w:val="7"/>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rsidR="00EB4375" w:rsidRPr="00356C80" w:rsidRDefault="00EB4375" w:rsidP="002116CE">
            <w:pPr>
              <w:ind w:left="360"/>
              <w:rPr>
                <w:rFonts w:cs="Arial"/>
                <w:b/>
                <w:sz w:val="20"/>
              </w:rPr>
            </w:pPr>
          </w:p>
        </w:tc>
        <w:tc>
          <w:tcPr>
            <w:tcW w:w="6379" w:type="dxa"/>
            <w:gridSpan w:val="2"/>
            <w:tcMar>
              <w:top w:w="113" w:type="dxa"/>
              <w:bottom w:w="113" w:type="dxa"/>
            </w:tcMar>
          </w:tcPr>
          <w:p w:rsidR="00EA4DDF" w:rsidRDefault="003C103B" w:rsidP="00B63FD8">
            <w:pPr>
              <w:rPr>
                <w:rFonts w:cs="Arial"/>
                <w:sz w:val="20"/>
              </w:rPr>
            </w:pPr>
            <w:r w:rsidRPr="003C103B">
              <w:rPr>
                <w:rFonts w:cs="Arial"/>
                <w:sz w:val="20"/>
              </w:rPr>
              <w:t>This program is very applied</w:t>
            </w:r>
            <w:r>
              <w:rPr>
                <w:rFonts w:cs="Arial"/>
                <w:sz w:val="20"/>
              </w:rPr>
              <w:t xml:space="preserve"> with </w:t>
            </w:r>
            <w:r w:rsidR="00B63FD8">
              <w:rPr>
                <w:rFonts w:cs="Arial"/>
                <w:sz w:val="20"/>
              </w:rPr>
              <w:t>a “</w:t>
            </w:r>
            <w:r>
              <w:rPr>
                <w:rFonts w:cs="Arial"/>
                <w:sz w:val="20"/>
              </w:rPr>
              <w:t>teach and then practice</w:t>
            </w:r>
            <w:r w:rsidR="00B63FD8">
              <w:rPr>
                <w:rFonts w:cs="Arial"/>
                <w:sz w:val="20"/>
              </w:rPr>
              <w:t>”</w:t>
            </w:r>
            <w:r>
              <w:rPr>
                <w:rFonts w:cs="Arial"/>
                <w:sz w:val="20"/>
              </w:rPr>
              <w:t xml:space="preserve"> approach.  </w:t>
            </w:r>
            <w:r w:rsidR="00922161">
              <w:rPr>
                <w:rFonts w:cs="Arial"/>
                <w:sz w:val="20"/>
              </w:rPr>
              <w:t xml:space="preserve">Students learn how to do the repair or maintenance, actually do the work and then are assessed. </w:t>
            </w:r>
            <w:r>
              <w:rPr>
                <w:rFonts w:cs="Arial"/>
                <w:sz w:val="20"/>
              </w:rPr>
              <w:t>Students spend the second semester in a paid internship and return for a final third semester of course work and full course work.</w:t>
            </w:r>
          </w:p>
          <w:p w:rsidR="00B63FD8" w:rsidRDefault="00B63FD8" w:rsidP="00B63FD8">
            <w:pPr>
              <w:rPr>
                <w:rFonts w:cs="Arial"/>
                <w:sz w:val="20"/>
              </w:rPr>
            </w:pPr>
          </w:p>
          <w:p w:rsidR="00B63FD8" w:rsidRPr="003C103B" w:rsidRDefault="00B63FD8" w:rsidP="00B63FD8">
            <w:pPr>
              <w:rPr>
                <w:rFonts w:cs="Arial"/>
                <w:sz w:val="20"/>
              </w:rPr>
            </w:pPr>
            <w:r>
              <w:rPr>
                <w:rFonts w:cs="Arial"/>
                <w:sz w:val="20"/>
              </w:rPr>
              <w:t xml:space="preserve">Small numbers in the applied settings </w:t>
            </w:r>
            <w:r w:rsidR="00922161">
              <w:rPr>
                <w:rFonts w:cs="Arial"/>
                <w:sz w:val="20"/>
              </w:rPr>
              <w:t xml:space="preserve">(20 max) </w:t>
            </w:r>
            <w:r>
              <w:rPr>
                <w:rFonts w:cs="Arial"/>
                <w:sz w:val="20"/>
              </w:rPr>
              <w:t>addresses individual learner-needs.</w:t>
            </w: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t>2.2 Outcomes from Curriculum Renewal</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bCs/>
                <w:sz w:val="20"/>
              </w:rPr>
            </w:pPr>
            <w:r w:rsidRPr="00356C80">
              <w:rPr>
                <w:rFonts w:cs="Arial"/>
                <w:b/>
                <w:bCs/>
                <w:sz w:val="20"/>
              </w:rPr>
              <w:t>Review / discuss:</w:t>
            </w:r>
          </w:p>
          <w:p w:rsidR="00EA4DDF" w:rsidRPr="00356C80" w:rsidRDefault="00EA4DDF" w:rsidP="00AB5A30">
            <w:pPr>
              <w:rPr>
                <w:rFonts w:cs="Arial"/>
                <w:b/>
                <w:bCs/>
                <w:sz w:val="20"/>
              </w:rPr>
            </w:pPr>
          </w:p>
          <w:p w:rsidR="00EA4DDF" w:rsidRDefault="00EA4DDF" w:rsidP="00EA4DDF">
            <w:pPr>
              <w:numPr>
                <w:ilvl w:val="0"/>
                <w:numId w:val="7"/>
              </w:numPr>
              <w:tabs>
                <w:tab w:val="clear" w:pos="900"/>
              </w:tabs>
              <w:ind w:left="360"/>
              <w:rPr>
                <w:rFonts w:cs="Arial"/>
                <w:sz w:val="20"/>
              </w:rPr>
            </w:pPr>
            <w:r w:rsidRPr="00356C80">
              <w:rPr>
                <w:rFonts w:cs="Arial"/>
                <w:sz w:val="20"/>
              </w:rPr>
              <w:lastRenderedPageBreak/>
              <w:t>Key outcomes from the Curriculum Renewal processes of the past few years</w:t>
            </w: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Progress to date in implementing the recommendations arising from Curriculum Renewal</w:t>
            </w:r>
          </w:p>
          <w:p w:rsidR="00D07044" w:rsidRDefault="00D07044" w:rsidP="00D07044">
            <w:pPr>
              <w:pStyle w:val="ListParagraph"/>
              <w:rPr>
                <w:rFonts w:cs="Arial"/>
                <w:sz w:val="20"/>
              </w:rPr>
            </w:pPr>
          </w:p>
          <w:p w:rsidR="00D07044" w:rsidRPr="00356C80" w:rsidRDefault="00D07044" w:rsidP="00D07044">
            <w:pPr>
              <w:ind w:left="360"/>
              <w:rPr>
                <w:rFonts w:cs="Arial"/>
                <w:sz w:val="20"/>
              </w:rPr>
            </w:pPr>
          </w:p>
          <w:p w:rsidR="00EA4DDF" w:rsidRDefault="00EA4DDF" w:rsidP="00EA4DDF">
            <w:pPr>
              <w:numPr>
                <w:ilvl w:val="0"/>
                <w:numId w:val="7"/>
              </w:numPr>
              <w:tabs>
                <w:tab w:val="clear" w:pos="900"/>
              </w:tabs>
              <w:ind w:left="360"/>
              <w:rPr>
                <w:rFonts w:cs="Arial"/>
                <w:sz w:val="20"/>
              </w:rPr>
            </w:pPr>
            <w:r w:rsidRPr="00356C80">
              <w:rPr>
                <w:rFonts w:cs="Arial"/>
                <w:sz w:val="20"/>
              </w:rPr>
              <w:t>Success of the changes implemented and the means by which they are being evaluated</w:t>
            </w:r>
          </w:p>
          <w:p w:rsidR="00EB4375" w:rsidRPr="00356C80" w:rsidRDefault="00EB4375" w:rsidP="00EB4375">
            <w:pPr>
              <w:rPr>
                <w:rFonts w:cs="Arial"/>
                <w:sz w:val="20"/>
              </w:rPr>
            </w:pPr>
          </w:p>
          <w:p w:rsidR="00EA4DDF" w:rsidRPr="00356C80" w:rsidRDefault="00EA4DDF" w:rsidP="00AB5A30">
            <w:pPr>
              <w:pStyle w:val="Title"/>
              <w:jc w:val="left"/>
              <w:rPr>
                <w:rFonts w:ascii="Arial" w:hAnsi="Arial" w:cs="Arial"/>
                <w:b/>
                <w:sz w:val="20"/>
              </w:rPr>
            </w:pPr>
          </w:p>
        </w:tc>
        <w:tc>
          <w:tcPr>
            <w:tcW w:w="6379" w:type="dxa"/>
            <w:gridSpan w:val="2"/>
            <w:tcMar>
              <w:top w:w="113" w:type="dxa"/>
              <w:bottom w:w="113" w:type="dxa"/>
            </w:tcMar>
          </w:tcPr>
          <w:p w:rsidR="00EA4DDF" w:rsidRDefault="003C103B" w:rsidP="00AB5A30">
            <w:pPr>
              <w:rPr>
                <w:rFonts w:cs="Arial"/>
                <w:sz w:val="20"/>
              </w:rPr>
            </w:pPr>
            <w:r w:rsidRPr="003C103B">
              <w:rPr>
                <w:rFonts w:cs="Arial"/>
                <w:sz w:val="20"/>
              </w:rPr>
              <w:lastRenderedPageBreak/>
              <w:t xml:space="preserve">Students were having difficulties with fitting in a mandatory General Education course in the third semester. </w:t>
            </w:r>
            <w:r>
              <w:rPr>
                <w:rFonts w:cs="Arial"/>
                <w:sz w:val="20"/>
              </w:rPr>
              <w:t xml:space="preserve">It was recommended that this situation could be alleviated with a different approach to obtaining this mandatory course for graduation.  </w:t>
            </w:r>
            <w:r w:rsidRPr="003C103B">
              <w:rPr>
                <w:rFonts w:cs="Arial"/>
                <w:sz w:val="20"/>
              </w:rPr>
              <w:t xml:space="preserve">As a result, this course was </w:t>
            </w:r>
            <w:r w:rsidRPr="003C103B">
              <w:rPr>
                <w:rFonts w:cs="Arial"/>
                <w:sz w:val="20"/>
              </w:rPr>
              <w:lastRenderedPageBreak/>
              <w:t>dropped and students now have a wider choice of general education electives which can be done online.</w:t>
            </w:r>
            <w:r w:rsidR="00922161">
              <w:rPr>
                <w:rFonts w:cs="Arial"/>
                <w:sz w:val="20"/>
              </w:rPr>
              <w:t xml:space="preserve">  The program would like to see more choices in elective</w:t>
            </w:r>
            <w:r w:rsidR="00202D54">
              <w:rPr>
                <w:rFonts w:cs="Arial"/>
                <w:sz w:val="20"/>
              </w:rPr>
              <w:t>s</w:t>
            </w:r>
            <w:r w:rsidR="00922161">
              <w:rPr>
                <w:rFonts w:cs="Arial"/>
                <w:sz w:val="20"/>
              </w:rPr>
              <w:t xml:space="preserve"> for the students.</w:t>
            </w:r>
          </w:p>
          <w:p w:rsidR="00B63FD8" w:rsidRDefault="00B63FD8" w:rsidP="00AB5A30">
            <w:pPr>
              <w:rPr>
                <w:rFonts w:cs="Arial"/>
                <w:sz w:val="20"/>
              </w:rPr>
            </w:pPr>
          </w:p>
          <w:p w:rsidR="00B65484" w:rsidRDefault="00B65484" w:rsidP="00B65484">
            <w:pPr>
              <w:rPr>
                <w:rFonts w:cs="Arial"/>
                <w:sz w:val="20"/>
              </w:rPr>
            </w:pPr>
            <w:r>
              <w:rPr>
                <w:rFonts w:cs="Arial"/>
                <w:sz w:val="20"/>
              </w:rPr>
              <w:t xml:space="preserve">As a result of the previous curriculum renewal, weekly lesson plans are now </w:t>
            </w:r>
            <w:r w:rsidRPr="00D50E41">
              <w:rPr>
                <w:rFonts w:cs="Arial"/>
                <w:sz w:val="20"/>
              </w:rPr>
              <w:t>developed standardize the courses</w:t>
            </w:r>
            <w:r>
              <w:rPr>
                <w:rFonts w:cs="Arial"/>
                <w:sz w:val="20"/>
              </w:rPr>
              <w:t xml:space="preserve"> and ensure consistency across groups.</w:t>
            </w:r>
            <w:r w:rsidR="00922161">
              <w:rPr>
                <w:rFonts w:cs="Arial"/>
                <w:sz w:val="20"/>
              </w:rPr>
              <w:t xml:space="preserve"> A template is being used and is stored electronically and hard copy.</w:t>
            </w:r>
          </w:p>
          <w:p w:rsidR="00B65484" w:rsidRDefault="00B65484" w:rsidP="00B65484">
            <w:pPr>
              <w:rPr>
                <w:rFonts w:cs="Arial"/>
                <w:sz w:val="20"/>
              </w:rPr>
            </w:pPr>
          </w:p>
          <w:p w:rsidR="00B65484" w:rsidRPr="00D50E41" w:rsidRDefault="00B65484" w:rsidP="00B65484">
            <w:pPr>
              <w:rPr>
                <w:rFonts w:cs="Arial"/>
                <w:sz w:val="20"/>
              </w:rPr>
            </w:pPr>
            <w:r>
              <w:rPr>
                <w:rFonts w:cs="Arial"/>
                <w:sz w:val="20"/>
              </w:rPr>
              <w:t>The diploma program which shares the first three semesters of MPH has been better aligned to the MPH program for successful laddering.</w:t>
            </w:r>
          </w:p>
          <w:p w:rsidR="00B65484" w:rsidRDefault="00B65484" w:rsidP="00B65484">
            <w:pPr>
              <w:rPr>
                <w:rFonts w:cs="Arial"/>
                <w:sz w:val="20"/>
              </w:rPr>
            </w:pPr>
          </w:p>
          <w:p w:rsidR="00B65484" w:rsidRPr="00D50E41" w:rsidRDefault="00B65484" w:rsidP="00B65484">
            <w:pPr>
              <w:rPr>
                <w:rFonts w:cs="Arial"/>
                <w:sz w:val="20"/>
              </w:rPr>
            </w:pPr>
            <w:r>
              <w:rPr>
                <w:rFonts w:cs="Arial"/>
                <w:sz w:val="20"/>
              </w:rPr>
              <w:t xml:space="preserve">It should be noted that the </w:t>
            </w:r>
            <w:r w:rsidRPr="00D50E41">
              <w:rPr>
                <w:rFonts w:cs="Arial"/>
                <w:sz w:val="20"/>
              </w:rPr>
              <w:t>EPG program had highest KPI standards for all of Fleming College</w:t>
            </w:r>
          </w:p>
          <w:p w:rsidR="00B65484" w:rsidRDefault="00B65484" w:rsidP="00AB5A30">
            <w:pPr>
              <w:rPr>
                <w:rFonts w:cs="Arial"/>
                <w:sz w:val="20"/>
              </w:rPr>
            </w:pPr>
          </w:p>
          <w:p w:rsidR="00B63FD8" w:rsidRPr="003C103B" w:rsidRDefault="00B63FD8" w:rsidP="00AB5A30">
            <w:pPr>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trHeight w:val="1602"/>
        </w:trPr>
        <w:tc>
          <w:tcPr>
            <w:tcW w:w="6663" w:type="dxa"/>
            <w:gridSpan w:val="2"/>
            <w:tcMar>
              <w:top w:w="113" w:type="dxa"/>
              <w:bottom w:w="113" w:type="dxa"/>
            </w:tcMar>
          </w:tcPr>
          <w:p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2.3 Curriculum Sequencing and Alignment with Standards</w:t>
            </w:r>
          </w:p>
          <w:p w:rsidR="00EA4DDF" w:rsidRPr="00356C80" w:rsidRDefault="00EA4DDF" w:rsidP="00AB5A30">
            <w:pPr>
              <w:pStyle w:val="Title"/>
              <w:jc w:val="left"/>
              <w:rPr>
                <w:rFonts w:ascii="Arial" w:hAnsi="Arial" w:cs="Arial"/>
                <w:b/>
                <w:sz w:val="20"/>
              </w:rPr>
            </w:pPr>
          </w:p>
          <w:p w:rsidR="00EA4DDF" w:rsidRPr="00356C80" w:rsidRDefault="00EA4DDF" w:rsidP="00AB5A30">
            <w:pPr>
              <w:rPr>
                <w:rFonts w:cs="Arial"/>
                <w:b/>
                <w:sz w:val="20"/>
              </w:rPr>
            </w:pPr>
            <w:r w:rsidRPr="00356C80">
              <w:rPr>
                <w:rFonts w:cs="Arial"/>
                <w:b/>
                <w:sz w:val="20"/>
              </w:rPr>
              <w:t>Review / discuss:</w:t>
            </w: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rsidR="00D07044" w:rsidRPr="00356C80" w:rsidRDefault="00D07044" w:rsidP="00D07044">
            <w:pPr>
              <w:ind w:left="360"/>
              <w:rPr>
                <w:rFonts w:cs="Arial"/>
                <w:b/>
                <w:bCs/>
                <w:sz w:val="20"/>
              </w:rPr>
            </w:pPr>
          </w:p>
          <w:p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The program’s current admission requirements and their suitability in relation to program rigour and student preparedness</w:t>
            </w:r>
          </w:p>
          <w:p w:rsidR="00D07044" w:rsidRDefault="00D07044" w:rsidP="00D07044">
            <w:pPr>
              <w:pStyle w:val="ListParagraph"/>
              <w:rPr>
                <w:rFonts w:cs="Arial"/>
                <w:b/>
                <w:bCs/>
                <w:sz w:val="20"/>
              </w:rPr>
            </w:pPr>
          </w:p>
          <w:p w:rsidR="006F46E4" w:rsidRDefault="006F46E4" w:rsidP="00D07044">
            <w:pPr>
              <w:pStyle w:val="ListParagraph"/>
              <w:rPr>
                <w:rFonts w:cs="Arial"/>
                <w:b/>
                <w:bCs/>
                <w:sz w:val="20"/>
              </w:rPr>
            </w:pPr>
          </w:p>
          <w:p w:rsidR="00EB4375" w:rsidRPr="00356C80" w:rsidRDefault="00EA4DDF" w:rsidP="006F46E4">
            <w:pPr>
              <w:pStyle w:val="Title"/>
              <w:numPr>
                <w:ilvl w:val="0"/>
                <w:numId w:val="8"/>
              </w:numPr>
              <w:tabs>
                <w:tab w:val="clear" w:pos="720"/>
                <w:tab w:val="num" w:pos="360"/>
              </w:tabs>
              <w:ind w:left="360"/>
              <w:jc w:val="left"/>
              <w:rPr>
                <w:rFonts w:ascii="Arial" w:hAnsi="Arial" w:cs="Arial"/>
                <w:b/>
                <w:sz w:val="20"/>
              </w:rPr>
            </w:pPr>
            <w:r w:rsidRPr="006F46E4">
              <w:rPr>
                <w:rFonts w:ascii="Arial" w:hAnsi="Arial" w:cs="Arial"/>
                <w:sz w:val="20"/>
              </w:rPr>
              <w:t>The extent to which course content, levels of learning, and assessment methodology are successfully sequenced and aligned between courses and across semesters</w:t>
            </w:r>
          </w:p>
        </w:tc>
        <w:tc>
          <w:tcPr>
            <w:tcW w:w="6439" w:type="dxa"/>
            <w:gridSpan w:val="3"/>
            <w:tcMar>
              <w:top w:w="113" w:type="dxa"/>
              <w:bottom w:w="113" w:type="dxa"/>
            </w:tcMar>
          </w:tcPr>
          <w:p w:rsidR="00B65484" w:rsidRPr="00D50E41" w:rsidRDefault="00CF27C4" w:rsidP="00B65484">
            <w:pPr>
              <w:rPr>
                <w:rFonts w:cs="Arial"/>
                <w:sz w:val="20"/>
              </w:rPr>
            </w:pPr>
            <w:r>
              <w:rPr>
                <w:rFonts w:cs="Arial"/>
                <w:sz w:val="20"/>
              </w:rPr>
              <w:t xml:space="preserve">This program aligns with the Ministry Standards as well as apprenticeship standards </w:t>
            </w:r>
            <w:r w:rsidR="00B65484" w:rsidRPr="00D50E41">
              <w:rPr>
                <w:rFonts w:cs="Arial"/>
                <w:sz w:val="20"/>
              </w:rPr>
              <w:t>421A MTCU training standard</w:t>
            </w:r>
            <w:r w:rsidR="00922161">
              <w:rPr>
                <w:rFonts w:cs="Arial"/>
                <w:sz w:val="20"/>
              </w:rPr>
              <w:t xml:space="preserve">.  </w:t>
            </w:r>
            <w:r w:rsidR="00E3496F">
              <w:rPr>
                <w:rFonts w:cs="Arial"/>
                <w:sz w:val="20"/>
              </w:rPr>
              <w:t>As a result of a recent change in the standard, welding hours have been adjusted to meet the standard.</w:t>
            </w:r>
          </w:p>
          <w:p w:rsidR="00B65484" w:rsidRPr="00D50E41" w:rsidRDefault="00B65484" w:rsidP="00B65484">
            <w:pPr>
              <w:rPr>
                <w:rFonts w:cs="Arial"/>
                <w:sz w:val="20"/>
              </w:rPr>
            </w:pPr>
          </w:p>
          <w:p w:rsidR="00B65484" w:rsidRDefault="00B65484" w:rsidP="00B65484">
            <w:pPr>
              <w:rPr>
                <w:rFonts w:cs="Arial"/>
                <w:sz w:val="20"/>
              </w:rPr>
            </w:pPr>
            <w:r>
              <w:rPr>
                <w:rFonts w:cs="Arial"/>
                <w:sz w:val="20"/>
              </w:rPr>
              <w:t>P</w:t>
            </w:r>
            <w:r w:rsidRPr="00D50E41">
              <w:rPr>
                <w:rFonts w:cs="Arial"/>
                <w:sz w:val="20"/>
              </w:rPr>
              <w:t>rogression is aligned between semesters (with prerequisites)</w:t>
            </w:r>
          </w:p>
          <w:p w:rsidR="00B63FD8" w:rsidRDefault="00B63FD8" w:rsidP="00AB5A30">
            <w:pPr>
              <w:rPr>
                <w:rFonts w:cs="Arial"/>
                <w:sz w:val="20"/>
              </w:rPr>
            </w:pPr>
          </w:p>
          <w:p w:rsidR="00B63FD8" w:rsidRDefault="00B63FD8" w:rsidP="00AB5A30">
            <w:pPr>
              <w:rPr>
                <w:rFonts w:cs="Arial"/>
                <w:sz w:val="20"/>
              </w:rPr>
            </w:pPr>
            <w:r>
              <w:rPr>
                <w:rFonts w:cs="Arial"/>
                <w:sz w:val="20"/>
              </w:rPr>
              <w:t>The program does require some realignment with the MTCU standards</w:t>
            </w:r>
            <w:r w:rsidR="00EF15B4">
              <w:rPr>
                <w:rFonts w:cs="Arial"/>
                <w:sz w:val="20"/>
              </w:rPr>
              <w:t xml:space="preserve"> and the standards modified to include new areas</w:t>
            </w:r>
            <w:r>
              <w:rPr>
                <w:rFonts w:cs="Arial"/>
                <w:sz w:val="20"/>
              </w:rPr>
              <w:t>.</w:t>
            </w:r>
          </w:p>
          <w:p w:rsidR="00B63FD8" w:rsidRDefault="00B63FD8" w:rsidP="00AB5A30">
            <w:pPr>
              <w:rPr>
                <w:rFonts w:cs="Arial"/>
                <w:sz w:val="20"/>
              </w:rPr>
            </w:pPr>
          </w:p>
          <w:p w:rsidR="00B63FD8" w:rsidRDefault="00B63FD8" w:rsidP="00AB5A30">
            <w:pPr>
              <w:rPr>
                <w:rFonts w:cs="Arial"/>
                <w:sz w:val="20"/>
              </w:rPr>
            </w:pPr>
            <w:r>
              <w:rPr>
                <w:rFonts w:cs="Arial"/>
                <w:sz w:val="20"/>
              </w:rPr>
              <w:t>The current admission requirements for the program are:</w:t>
            </w:r>
          </w:p>
          <w:p w:rsidR="00B65484" w:rsidRPr="00D50E41" w:rsidRDefault="00B65484" w:rsidP="00B65484">
            <w:pPr>
              <w:rPr>
                <w:rFonts w:cs="Arial"/>
                <w:sz w:val="20"/>
              </w:rPr>
            </w:pPr>
            <w:r w:rsidRPr="00D50E41">
              <w:rPr>
                <w:rFonts w:cs="Arial"/>
                <w:sz w:val="20"/>
              </w:rPr>
              <w:t>-OSSD with 2 college English courses (grade 11 or 12) and 1 college math course (grade 11)</w:t>
            </w:r>
          </w:p>
          <w:p w:rsidR="00B63FD8" w:rsidRDefault="00B63FD8" w:rsidP="00AB5A30">
            <w:pPr>
              <w:rPr>
                <w:rFonts w:cs="Arial"/>
                <w:sz w:val="20"/>
              </w:rPr>
            </w:pPr>
          </w:p>
          <w:p w:rsidR="00B63FD8" w:rsidRPr="00356C80" w:rsidRDefault="00B63FD8" w:rsidP="00EF15B4">
            <w:pPr>
              <w:rPr>
                <w:rFonts w:cs="Arial"/>
                <w:sz w:val="20"/>
              </w:rPr>
            </w:pPr>
            <w:r>
              <w:rPr>
                <w:rFonts w:cs="Arial"/>
                <w:sz w:val="20"/>
              </w:rPr>
              <w:t>These admission requirements are suitable for the program.</w:t>
            </w:r>
          </w:p>
        </w:tc>
      </w:tr>
      <w:tr w:rsidR="00EA4DDF" w:rsidRPr="002D4BAE"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2D4BAE" w:rsidRDefault="00EA4DDF" w:rsidP="00AB5A30">
            <w:pPr>
              <w:pStyle w:val="Title"/>
              <w:jc w:val="left"/>
              <w:rPr>
                <w:rFonts w:ascii="Arial" w:hAnsi="Arial" w:cs="Arial"/>
                <w:b/>
                <w:sz w:val="20"/>
              </w:rPr>
            </w:pPr>
            <w:r>
              <w:rPr>
                <w:rFonts w:ascii="Arial" w:hAnsi="Arial" w:cs="Arial"/>
                <w:b/>
                <w:sz w:val="20"/>
              </w:rPr>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rsidR="00EA4DDF" w:rsidRPr="002D4BAE" w:rsidRDefault="00EA4DDF" w:rsidP="00AB5A30">
            <w:pPr>
              <w:pStyle w:val="Title"/>
              <w:jc w:val="left"/>
              <w:rPr>
                <w:rFonts w:ascii="Arial" w:hAnsi="Arial" w:cs="Arial"/>
                <w:b/>
                <w:sz w:val="20"/>
              </w:rPr>
            </w:pPr>
          </w:p>
          <w:p w:rsidR="00EA4DDF" w:rsidRDefault="00EA4DDF" w:rsidP="00EA4DDF">
            <w:pPr>
              <w:pStyle w:val="Title"/>
              <w:numPr>
                <w:ilvl w:val="0"/>
                <w:numId w:val="11"/>
              </w:numPr>
              <w:tabs>
                <w:tab w:val="clear" w:pos="720"/>
                <w:tab w:val="num" w:pos="360"/>
              </w:tabs>
              <w:ind w:left="360"/>
              <w:jc w:val="left"/>
              <w:rPr>
                <w:rFonts w:ascii="Arial" w:hAnsi="Arial" w:cs="Arial"/>
                <w:sz w:val="20"/>
              </w:rPr>
            </w:pPr>
            <w:r w:rsidRPr="002D4BAE">
              <w:rPr>
                <w:rFonts w:ascii="Arial" w:hAnsi="Arial" w:cs="Arial"/>
                <w:sz w:val="20"/>
              </w:rPr>
              <w:lastRenderedPageBreak/>
              <w:t>Review the Program Curriculum Map and discuss the extent to which there is alignment of vocational and course outcomes</w:t>
            </w:r>
          </w:p>
          <w:p w:rsidR="00D07044" w:rsidRPr="002D4BAE" w:rsidRDefault="00D07044" w:rsidP="00D07044">
            <w:pPr>
              <w:pStyle w:val="Title"/>
              <w:ind w:left="360"/>
              <w:jc w:val="left"/>
              <w:rPr>
                <w:rFonts w:ascii="Arial" w:hAnsi="Arial" w:cs="Arial"/>
                <w:sz w:val="20"/>
              </w:rPr>
            </w:pPr>
          </w:p>
          <w:p w:rsidR="005D66C4" w:rsidRDefault="00EA4DDF" w:rsidP="00AB5A30">
            <w:pPr>
              <w:pStyle w:val="Title"/>
              <w:numPr>
                <w:ilvl w:val="0"/>
                <w:numId w:val="11"/>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rsidR="00EA4DDF" w:rsidRPr="002D4BAE" w:rsidRDefault="00EA4DDF" w:rsidP="00360EEA">
            <w:pPr>
              <w:tabs>
                <w:tab w:val="left" w:pos="72"/>
              </w:tabs>
              <w:rPr>
                <w:rFonts w:cs="Arial"/>
                <w:b/>
                <w:sz w:val="20"/>
              </w:rPr>
            </w:pPr>
            <w:r w:rsidRPr="002D4BAE">
              <w:rPr>
                <w:rFonts w:cs="Arial"/>
                <w:b/>
                <w:sz w:val="20"/>
                <w:lang w:val="en-GB"/>
              </w:rPr>
              <w:t xml:space="preserve">     </w:t>
            </w:r>
          </w:p>
        </w:tc>
        <w:tc>
          <w:tcPr>
            <w:tcW w:w="6379" w:type="dxa"/>
            <w:gridSpan w:val="2"/>
            <w:tcMar>
              <w:top w:w="113" w:type="dxa"/>
              <w:bottom w:w="113" w:type="dxa"/>
            </w:tcMar>
          </w:tcPr>
          <w:p w:rsidR="00EA4DDF" w:rsidRPr="002D4BAE" w:rsidRDefault="00CF27C4" w:rsidP="00D62FB9">
            <w:pPr>
              <w:rPr>
                <w:rFonts w:cs="Arial"/>
                <w:sz w:val="20"/>
              </w:rPr>
            </w:pPr>
            <w:r>
              <w:rPr>
                <w:rFonts w:cs="Arial"/>
                <w:sz w:val="20"/>
              </w:rPr>
              <w:lastRenderedPageBreak/>
              <w:t>The program requires remapping to the provincial standards to ensure that the standards are being met across the curriculum.</w:t>
            </w:r>
            <w:r w:rsidR="00D62FB9">
              <w:rPr>
                <w:rFonts w:cs="Arial"/>
                <w:sz w:val="20"/>
              </w:rPr>
              <w:t xml:space="preserve">  The </w:t>
            </w:r>
            <w:r w:rsidR="00D62FB9">
              <w:rPr>
                <w:rFonts w:cs="Arial"/>
                <w:sz w:val="20"/>
              </w:rPr>
              <w:lastRenderedPageBreak/>
              <w:t>MTCU program standards are outdated (last revision 2003).  The current 6 outcomes are based on these standards.  An alignment map has been designed to ensure alignment to the MTCU standards while updating the language and trends.</w:t>
            </w:r>
          </w:p>
        </w:tc>
      </w:tr>
      <w:tr w:rsidR="00360EEA" w:rsidRPr="002D4BAE"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360EEA" w:rsidRDefault="00360EEA" w:rsidP="00360EEA">
            <w:pPr>
              <w:pStyle w:val="Title"/>
              <w:ind w:left="601" w:hanging="601"/>
              <w:jc w:val="left"/>
              <w:rPr>
                <w:rFonts w:ascii="Arial" w:hAnsi="Arial" w:cs="Arial"/>
                <w:b/>
                <w:sz w:val="20"/>
              </w:rPr>
            </w:pPr>
            <w:r>
              <w:rPr>
                <w:rFonts w:ascii="Arial" w:hAnsi="Arial" w:cs="Arial"/>
                <w:b/>
                <w:sz w:val="20"/>
              </w:rPr>
              <w:lastRenderedPageBreak/>
              <w:t>2.4 b)  Curriculum Map</w:t>
            </w:r>
          </w:p>
          <w:p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6379" w:type="dxa"/>
            <w:gridSpan w:val="2"/>
            <w:tcMar>
              <w:top w:w="113" w:type="dxa"/>
              <w:bottom w:w="113" w:type="dxa"/>
            </w:tcMar>
          </w:tcPr>
          <w:p w:rsidR="00360EEA" w:rsidRPr="002D4BAE" w:rsidRDefault="00360EEA" w:rsidP="00AB5A30">
            <w:pPr>
              <w:rPr>
                <w:rFonts w:cs="Arial"/>
                <w:sz w:val="20"/>
              </w:rPr>
            </w:pPr>
          </w:p>
        </w:tc>
      </w:tr>
      <w:tr w:rsidR="00EA4DDF"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EA4DDF" w:rsidRPr="00356C80" w:rsidRDefault="00EA4DDF" w:rsidP="00AB5A30">
            <w:pPr>
              <w:rPr>
                <w:rFonts w:cs="Arial"/>
                <w:b/>
                <w:sz w:val="20"/>
              </w:rPr>
            </w:pPr>
            <w:r w:rsidRPr="00356C80">
              <w:rPr>
                <w:rFonts w:cs="Arial"/>
                <w:b/>
                <w:sz w:val="20"/>
              </w:rPr>
              <w:t>2.5 Delivery Mode</w:t>
            </w:r>
          </w:p>
          <w:p w:rsidR="00EB4375" w:rsidRDefault="00EB4375" w:rsidP="00AB5A30">
            <w:pPr>
              <w:rPr>
                <w:rFonts w:cs="Arial"/>
                <w:b/>
                <w:bCs/>
                <w:sz w:val="20"/>
              </w:rPr>
            </w:pPr>
          </w:p>
          <w:p w:rsidR="00EA4DDF" w:rsidRPr="00356C80" w:rsidRDefault="00EA4DDF" w:rsidP="00AB5A30">
            <w:pPr>
              <w:rPr>
                <w:rFonts w:cs="Arial"/>
                <w:b/>
                <w:bCs/>
                <w:sz w:val="20"/>
              </w:rPr>
            </w:pPr>
            <w:r w:rsidRPr="00356C80">
              <w:rPr>
                <w:rFonts w:cs="Arial"/>
                <w:b/>
                <w:bCs/>
                <w:sz w:val="20"/>
              </w:rPr>
              <w:t>Review / discuss:</w:t>
            </w:r>
          </w:p>
          <w:p w:rsidR="00EA4DDF" w:rsidRDefault="00EA4DDF" w:rsidP="00EA4DDF">
            <w:pPr>
              <w:numPr>
                <w:ilvl w:val="0"/>
                <w:numId w:val="8"/>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rsidR="00680844" w:rsidRPr="00356C80" w:rsidRDefault="00680844" w:rsidP="00680844">
            <w:pPr>
              <w:ind w:left="360"/>
              <w:rPr>
                <w:rFonts w:cs="Arial"/>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rsidR="00680844" w:rsidRDefault="00680844" w:rsidP="00680844">
            <w:pPr>
              <w:pStyle w:val="ListParagraph"/>
              <w:rPr>
                <w:rFonts w:cs="Arial"/>
                <w:b/>
                <w:sz w:val="20"/>
              </w:rPr>
            </w:pPr>
          </w:p>
          <w:p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rsidR="00680844" w:rsidRPr="00356C80" w:rsidRDefault="00680844" w:rsidP="00680844">
            <w:pPr>
              <w:pStyle w:val="Title"/>
              <w:ind w:left="360"/>
              <w:jc w:val="left"/>
              <w:rPr>
                <w:rFonts w:ascii="Arial" w:hAnsi="Arial" w:cs="Arial"/>
                <w:b/>
                <w:sz w:val="20"/>
              </w:rPr>
            </w:pPr>
          </w:p>
          <w:p w:rsidR="00EA4DDF" w:rsidRPr="000715B2"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learning experiences are enhanced by the use of educational technology.</w:t>
            </w:r>
          </w:p>
          <w:p w:rsidR="000715B2" w:rsidRPr="00356C80" w:rsidRDefault="000715B2" w:rsidP="000715B2">
            <w:pPr>
              <w:pStyle w:val="Title"/>
              <w:jc w:val="left"/>
              <w:rPr>
                <w:rFonts w:ascii="Arial" w:hAnsi="Arial" w:cs="Arial"/>
                <w:b/>
                <w:sz w:val="20"/>
              </w:rPr>
            </w:pPr>
          </w:p>
        </w:tc>
        <w:tc>
          <w:tcPr>
            <w:tcW w:w="6379" w:type="dxa"/>
            <w:gridSpan w:val="2"/>
            <w:tcMar>
              <w:top w:w="113" w:type="dxa"/>
              <w:bottom w:w="113" w:type="dxa"/>
            </w:tcMar>
          </w:tcPr>
          <w:p w:rsidR="00817193" w:rsidRDefault="00817193" w:rsidP="007153FE">
            <w:pPr>
              <w:rPr>
                <w:rFonts w:cs="Arial"/>
                <w:sz w:val="20"/>
              </w:rPr>
            </w:pPr>
            <w:r>
              <w:rPr>
                <w:rFonts w:cs="Arial"/>
                <w:sz w:val="20"/>
              </w:rPr>
              <w:t>Like other programs at SENRS where students are dealing with equipment, safety is taught and continuously reinforced and monitored.  Safety is reviewed at the beginning of labs and required personal protective wear must be worn at all times around all equipment and in all lab settings.</w:t>
            </w:r>
          </w:p>
          <w:p w:rsidR="00817193" w:rsidRDefault="00817193" w:rsidP="007153FE">
            <w:pPr>
              <w:rPr>
                <w:rFonts w:cs="Arial"/>
                <w:sz w:val="20"/>
              </w:rPr>
            </w:pPr>
          </w:p>
          <w:p w:rsidR="00CB6C90" w:rsidRDefault="00CB6C90" w:rsidP="007153FE">
            <w:pPr>
              <w:rPr>
                <w:rFonts w:cs="Arial"/>
                <w:sz w:val="20"/>
              </w:rPr>
            </w:pPr>
            <w:r>
              <w:rPr>
                <w:rFonts w:cs="Arial"/>
                <w:sz w:val="20"/>
              </w:rPr>
              <w:t xml:space="preserve">This program’s major strength is the second semester paid internship.  Students learn skills in the first semester that they can then apply on their internship.  While interning, students learn further skills on the job.  Students apply their safety training throughout the program which is critical in the field.  </w:t>
            </w:r>
          </w:p>
          <w:p w:rsidR="00CB6C90" w:rsidRDefault="00CB6C90" w:rsidP="007153FE">
            <w:pPr>
              <w:rPr>
                <w:rFonts w:cs="Arial"/>
                <w:sz w:val="20"/>
              </w:rPr>
            </w:pPr>
          </w:p>
          <w:p w:rsidR="00CB6C90" w:rsidRPr="00CB6C90" w:rsidRDefault="00CB6C90" w:rsidP="007153FE">
            <w:pPr>
              <w:rPr>
                <w:rFonts w:cs="Arial"/>
                <w:sz w:val="20"/>
              </w:rPr>
            </w:pPr>
            <w:r>
              <w:rPr>
                <w:rFonts w:cs="Arial"/>
                <w:sz w:val="20"/>
              </w:rPr>
              <w:t>Students have lectures to obtain required knowledge and are tested on this knowledge.  Labs integrate the knowledge with applications.</w:t>
            </w:r>
          </w:p>
          <w:p w:rsidR="00CB6C90" w:rsidRDefault="00CB6C90" w:rsidP="007153FE">
            <w:pPr>
              <w:rPr>
                <w:rFonts w:cs="Arial"/>
                <w:b/>
                <w:sz w:val="20"/>
              </w:rPr>
            </w:pPr>
          </w:p>
          <w:p w:rsidR="00F00E14" w:rsidRDefault="00F00E14" w:rsidP="00F00E14">
            <w:pPr>
              <w:rPr>
                <w:rFonts w:cs="Arial"/>
                <w:sz w:val="20"/>
              </w:rPr>
            </w:pPr>
            <w:r>
              <w:rPr>
                <w:rFonts w:cs="Arial"/>
                <w:sz w:val="20"/>
              </w:rPr>
              <w:t>The program uses a mastery learning approach; 4 assessments are used followed by feedback each time until the student has achieved the outcome 100% in both the electrical and engines components in the program.</w:t>
            </w:r>
            <w:r w:rsidR="00C70871">
              <w:rPr>
                <w:rFonts w:cs="Arial"/>
                <w:sz w:val="20"/>
              </w:rPr>
              <w:t xml:space="preserve">  This began in September of 2012 and replaced the 2 assessments used in the past.</w:t>
            </w:r>
          </w:p>
          <w:p w:rsidR="00F00E14" w:rsidRDefault="00F00E14" w:rsidP="00F00E14">
            <w:pPr>
              <w:rPr>
                <w:rFonts w:cs="Arial"/>
                <w:sz w:val="20"/>
              </w:rPr>
            </w:pPr>
          </w:p>
          <w:p w:rsidR="00EA4DDF" w:rsidRPr="00356C80" w:rsidRDefault="00EA4DDF" w:rsidP="00F00E14">
            <w:pPr>
              <w:rPr>
                <w:rFonts w:cs="Arial"/>
                <w:b/>
                <w:sz w:val="20"/>
              </w:rPr>
            </w:pP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B60B22" w:rsidRPr="00356C80" w:rsidRDefault="00B60B22" w:rsidP="00AB5A30">
            <w:pPr>
              <w:pStyle w:val="Title"/>
              <w:jc w:val="left"/>
              <w:rPr>
                <w:rFonts w:ascii="Arial" w:hAnsi="Arial" w:cs="Arial"/>
                <w:b/>
                <w:sz w:val="20"/>
              </w:rPr>
            </w:pPr>
            <w:r w:rsidRPr="00356C80">
              <w:rPr>
                <w:rFonts w:ascii="Arial" w:hAnsi="Arial" w:cs="Arial"/>
                <w:b/>
                <w:sz w:val="20"/>
              </w:rPr>
              <w:lastRenderedPageBreak/>
              <w:t xml:space="preserve">2.6 </w:t>
            </w:r>
            <w:r>
              <w:rPr>
                <w:rFonts w:ascii="Arial" w:hAnsi="Arial" w:cs="Arial"/>
                <w:b/>
                <w:sz w:val="20"/>
              </w:rPr>
              <w:t xml:space="preserve">Assessment and </w:t>
            </w:r>
            <w:r w:rsidRPr="00356C80">
              <w:rPr>
                <w:rFonts w:ascii="Arial" w:hAnsi="Arial" w:cs="Arial"/>
                <w:b/>
                <w:sz w:val="20"/>
              </w:rPr>
              <w:t>Evaluation Methods</w:t>
            </w:r>
          </w:p>
          <w:p w:rsidR="00B60B22" w:rsidRPr="00356C80" w:rsidRDefault="00B60B22" w:rsidP="00AB5A30">
            <w:pPr>
              <w:pStyle w:val="Title"/>
              <w:jc w:val="left"/>
              <w:rPr>
                <w:rFonts w:ascii="Arial" w:hAnsi="Arial" w:cs="Arial"/>
                <w:b/>
                <w:sz w:val="20"/>
              </w:rPr>
            </w:pPr>
          </w:p>
          <w:p w:rsidR="00B60B22" w:rsidRDefault="00B60B22" w:rsidP="00AB5A30">
            <w:pPr>
              <w:rPr>
                <w:rFonts w:cs="Arial"/>
                <w:b/>
                <w:bCs/>
                <w:sz w:val="20"/>
              </w:rPr>
            </w:pPr>
            <w:r w:rsidRPr="00356C80">
              <w:rPr>
                <w:rFonts w:cs="Arial"/>
                <w:b/>
                <w:bCs/>
                <w:sz w:val="20"/>
              </w:rPr>
              <w:t>Review / discuss:</w:t>
            </w:r>
          </w:p>
          <w:p w:rsidR="00B60B22" w:rsidRPr="00356C80" w:rsidRDefault="00B60B22" w:rsidP="00AB5A30">
            <w:pPr>
              <w:rPr>
                <w:rFonts w:cs="Arial"/>
                <w:b/>
                <w:bCs/>
                <w:sz w:val="20"/>
              </w:rPr>
            </w:pPr>
          </w:p>
          <w:p w:rsidR="00B60B22" w:rsidRDefault="00B60B22" w:rsidP="00D07044">
            <w:pPr>
              <w:numPr>
                <w:ilvl w:val="0"/>
                <w:numId w:val="26"/>
              </w:numPr>
              <w:tabs>
                <w:tab w:val="clear" w:pos="720"/>
                <w:tab w:val="num" w:pos="360"/>
              </w:tabs>
              <w:ind w:left="360"/>
              <w:rPr>
                <w:rFonts w:cs="Arial"/>
                <w:sz w:val="20"/>
              </w:rPr>
            </w:pPr>
            <w:r w:rsidRPr="00D07044">
              <w:rPr>
                <w:rFonts w:cs="Arial"/>
                <w:sz w:val="20"/>
              </w:rPr>
              <w:t>The program approach to learning assessment</w:t>
            </w:r>
          </w:p>
          <w:p w:rsidR="00B60B22" w:rsidRDefault="00B60B22" w:rsidP="00D07044">
            <w:pPr>
              <w:ind w:left="360"/>
              <w:rPr>
                <w:rFonts w:cs="Arial"/>
                <w:sz w:val="20"/>
              </w:rPr>
            </w:pPr>
          </w:p>
          <w:p w:rsidR="00B60B22" w:rsidRDefault="00B60B22" w:rsidP="00D07044">
            <w:pPr>
              <w:numPr>
                <w:ilvl w:val="0"/>
                <w:numId w:val="26"/>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rsidR="00B60B22" w:rsidRDefault="00B60B22" w:rsidP="00D07044">
            <w:pPr>
              <w:pStyle w:val="ListParagraph"/>
              <w:rPr>
                <w:rFonts w:cs="Arial"/>
                <w:b/>
                <w:bCs/>
                <w:sz w:val="20"/>
              </w:rPr>
            </w:pPr>
          </w:p>
          <w:p w:rsidR="00B60B22" w:rsidRPr="00D07044" w:rsidRDefault="00B60B22" w:rsidP="00D07044">
            <w:pPr>
              <w:numPr>
                <w:ilvl w:val="0"/>
                <w:numId w:val="26"/>
              </w:numPr>
              <w:tabs>
                <w:tab w:val="clear" w:pos="720"/>
                <w:tab w:val="num" w:pos="360"/>
              </w:tabs>
              <w:ind w:left="360"/>
              <w:rPr>
                <w:rFonts w:cs="Arial"/>
                <w:sz w:val="20"/>
              </w:rPr>
            </w:pPr>
            <w:r w:rsidRPr="00D07044">
              <w:rPr>
                <w:rFonts w:cs="Arial"/>
                <w:bCs/>
                <w:sz w:val="20"/>
              </w:rPr>
              <w:t>Reflect and comment upon the variety of methods used to demonstrate outcomes.</w:t>
            </w:r>
            <w:r>
              <w:rPr>
                <w:rFonts w:cs="Arial"/>
                <w:bCs/>
                <w:sz w:val="20"/>
              </w:rPr>
              <w:t xml:space="preserve">  </w:t>
            </w:r>
            <w:r w:rsidR="006A141E">
              <w:rPr>
                <w:rFonts w:cs="Arial"/>
                <w:bCs/>
                <w:sz w:val="20"/>
              </w:rPr>
              <w:t>Are learner-centred principles parts</w:t>
            </w:r>
            <w:r>
              <w:rPr>
                <w:rFonts w:cs="Arial"/>
                <w:bCs/>
                <w:sz w:val="20"/>
              </w:rPr>
              <w:t xml:space="preserve"> of the assessment approaches?</w:t>
            </w:r>
          </w:p>
          <w:p w:rsidR="00B60B22" w:rsidRPr="00356C80" w:rsidRDefault="00B60B22" w:rsidP="00D07044">
            <w:pPr>
              <w:ind w:left="360"/>
              <w:rPr>
                <w:rFonts w:cs="Arial"/>
                <w:b/>
                <w:sz w:val="20"/>
              </w:rPr>
            </w:pPr>
          </w:p>
        </w:tc>
        <w:tc>
          <w:tcPr>
            <w:tcW w:w="6379" w:type="dxa"/>
            <w:gridSpan w:val="2"/>
            <w:tcMar>
              <w:top w:w="113" w:type="dxa"/>
              <w:bottom w:w="113" w:type="dxa"/>
            </w:tcMar>
          </w:tcPr>
          <w:p w:rsidR="00B60B22" w:rsidRPr="00F00E14" w:rsidRDefault="00B60B22" w:rsidP="00E3496F">
            <w:pPr>
              <w:rPr>
                <w:rFonts w:cs="Arial"/>
                <w:sz w:val="20"/>
              </w:rPr>
            </w:pPr>
            <w:r w:rsidRPr="00810A4F">
              <w:rPr>
                <w:rFonts w:cs="Arial"/>
                <w:sz w:val="20"/>
              </w:rPr>
              <w:t>-</w:t>
            </w:r>
            <w:r w:rsidRPr="00F00E14">
              <w:rPr>
                <w:rFonts w:cs="Arial"/>
                <w:sz w:val="20"/>
              </w:rPr>
              <w:t>currently offer midterm and final testing in lab and lecture</w:t>
            </w:r>
          </w:p>
          <w:p w:rsidR="00B60B22" w:rsidRDefault="00B60B22" w:rsidP="00E3496F">
            <w:pPr>
              <w:rPr>
                <w:rFonts w:cs="Arial"/>
                <w:sz w:val="20"/>
              </w:rPr>
            </w:pPr>
            <w:r w:rsidRPr="00F00E14">
              <w:rPr>
                <w:rFonts w:cs="Arial"/>
                <w:sz w:val="20"/>
              </w:rPr>
              <w:t>-going to explore four lecture assessments versus two implemented now</w:t>
            </w:r>
          </w:p>
          <w:p w:rsidR="006127AA" w:rsidRDefault="006A141E" w:rsidP="00E3496F">
            <w:pPr>
              <w:rPr>
                <w:rFonts w:cs="Arial"/>
                <w:sz w:val="20"/>
              </w:rPr>
            </w:pPr>
            <w:r>
              <w:rPr>
                <w:rFonts w:cs="Arial"/>
                <w:sz w:val="20"/>
              </w:rPr>
              <w:t>T</w:t>
            </w:r>
            <w:r w:rsidR="006127AA">
              <w:rPr>
                <w:rFonts w:cs="Arial"/>
                <w:sz w:val="20"/>
              </w:rPr>
              <w:t>he program, due to its fundamental nature, is hands on.  Students are shown a technique or skill in steps, observed while doing it and given feedback, and then performed again until the correct technique is mastered.</w:t>
            </w:r>
          </w:p>
          <w:p w:rsidR="006A141E" w:rsidRDefault="006A141E" w:rsidP="00E3496F">
            <w:pPr>
              <w:rPr>
                <w:rFonts w:cs="Arial"/>
                <w:sz w:val="20"/>
              </w:rPr>
            </w:pPr>
          </w:p>
          <w:p w:rsidR="006A141E" w:rsidRPr="00810A4F" w:rsidRDefault="006A141E" w:rsidP="00E3496F">
            <w:pPr>
              <w:rPr>
                <w:rFonts w:cs="Arial"/>
                <w:sz w:val="20"/>
              </w:rPr>
            </w:pPr>
            <w:r>
              <w:rPr>
                <w:rFonts w:cs="Arial"/>
                <w:sz w:val="20"/>
              </w:rPr>
              <w:t>The program is learner-centred.  Small groups are used for the labs which allow students feedback from faculty as to their progress towards course learning outcomes.</w:t>
            </w:r>
          </w:p>
          <w:p w:rsidR="00B60B22" w:rsidRPr="00810A4F" w:rsidRDefault="00B60B22" w:rsidP="00E3496F">
            <w:pPr>
              <w:rPr>
                <w:rFonts w:cs="Arial"/>
                <w:sz w:val="20"/>
              </w:rPr>
            </w:pPr>
            <w:r w:rsidRPr="00810A4F">
              <w:rPr>
                <w:rFonts w:cs="Arial"/>
                <w:sz w:val="20"/>
              </w:rPr>
              <w:t xml:space="preserve"> </w:t>
            </w: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B60B22" w:rsidRPr="00356C80" w:rsidRDefault="00B60B22" w:rsidP="00AB5A30">
            <w:pPr>
              <w:pStyle w:val="Title"/>
              <w:jc w:val="left"/>
              <w:rPr>
                <w:rFonts w:ascii="Arial" w:hAnsi="Arial" w:cs="Arial"/>
                <w:b/>
                <w:sz w:val="20"/>
              </w:rPr>
            </w:pPr>
            <w:r w:rsidRPr="00356C80">
              <w:rPr>
                <w:rFonts w:ascii="Arial" w:hAnsi="Arial" w:cs="Arial"/>
                <w:b/>
                <w:sz w:val="20"/>
              </w:rPr>
              <w:t>2.7 Curriculum and Diversity</w:t>
            </w:r>
          </w:p>
          <w:p w:rsidR="00B60B22" w:rsidRPr="00356C80" w:rsidRDefault="00B60B22" w:rsidP="00AB5A30">
            <w:pPr>
              <w:pStyle w:val="Title"/>
              <w:jc w:val="left"/>
              <w:rPr>
                <w:rFonts w:ascii="Arial" w:hAnsi="Arial" w:cs="Arial"/>
                <w:b/>
                <w:sz w:val="20"/>
              </w:rPr>
            </w:pPr>
          </w:p>
          <w:p w:rsidR="00B60B22" w:rsidRPr="00356C80" w:rsidRDefault="00B60B22" w:rsidP="00AB5A30">
            <w:pPr>
              <w:rPr>
                <w:rFonts w:cs="Arial"/>
                <w:b/>
                <w:bCs/>
                <w:sz w:val="20"/>
              </w:rPr>
            </w:pPr>
            <w:r w:rsidRPr="00356C80">
              <w:rPr>
                <w:rFonts w:cs="Arial"/>
                <w:b/>
                <w:bCs/>
                <w:sz w:val="20"/>
              </w:rPr>
              <w:t>Review / discuss:</w:t>
            </w:r>
          </w:p>
          <w:p w:rsidR="00B60B22" w:rsidRPr="00356C80" w:rsidRDefault="00B60B22" w:rsidP="00EA4DDF">
            <w:pPr>
              <w:numPr>
                <w:ilvl w:val="0"/>
                <w:numId w:val="20"/>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rsidR="00B60B22" w:rsidRPr="00356C80" w:rsidRDefault="00B60B22" w:rsidP="00AB5A30">
            <w:pPr>
              <w:autoSpaceDE w:val="0"/>
              <w:autoSpaceDN w:val="0"/>
              <w:adjustRightInd w:val="0"/>
              <w:rPr>
                <w:rFonts w:cs="Arial"/>
                <w:sz w:val="20"/>
              </w:rPr>
            </w:pPr>
          </w:p>
        </w:tc>
        <w:tc>
          <w:tcPr>
            <w:tcW w:w="6379" w:type="dxa"/>
            <w:gridSpan w:val="2"/>
            <w:tcMar>
              <w:top w:w="113" w:type="dxa"/>
              <w:bottom w:w="113" w:type="dxa"/>
            </w:tcMar>
          </w:tcPr>
          <w:p w:rsidR="00B60B22" w:rsidRDefault="00B60B22" w:rsidP="00AB5A30">
            <w:pPr>
              <w:rPr>
                <w:rFonts w:cs="Arial"/>
                <w:sz w:val="20"/>
              </w:rPr>
            </w:pPr>
            <w:r>
              <w:rPr>
                <w:rFonts w:cs="Arial"/>
                <w:sz w:val="20"/>
              </w:rPr>
              <w:t xml:space="preserve">Recruitment efforts with industry partners from the North.  </w:t>
            </w:r>
          </w:p>
          <w:p w:rsidR="00B60B22" w:rsidRDefault="00B60B22" w:rsidP="00AB5A30">
            <w:pPr>
              <w:rPr>
                <w:rFonts w:cs="Arial"/>
                <w:sz w:val="20"/>
              </w:rPr>
            </w:pPr>
          </w:p>
          <w:p w:rsidR="00B60B22" w:rsidRPr="00356C80" w:rsidRDefault="00B60B22" w:rsidP="00AB5A30">
            <w:pPr>
              <w:rPr>
                <w:rFonts w:cs="Arial"/>
                <w:sz w:val="20"/>
              </w:rPr>
            </w:pPr>
            <w:r>
              <w:rPr>
                <w:rFonts w:cs="Arial"/>
                <w:sz w:val="20"/>
              </w:rPr>
              <w:t>Working in diverse settings with a variety of cultures is taught as many students may get employment overseas or in the United States.</w:t>
            </w: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1412"/>
        </w:trPr>
        <w:tc>
          <w:tcPr>
            <w:tcW w:w="6663" w:type="dxa"/>
            <w:gridSpan w:val="2"/>
            <w:tcMar>
              <w:top w:w="113" w:type="dxa"/>
              <w:bottom w:w="113" w:type="dxa"/>
            </w:tcMar>
          </w:tcPr>
          <w:p w:rsidR="00B60B22" w:rsidRPr="00356C80" w:rsidRDefault="00B60B22" w:rsidP="00AB5A30">
            <w:pPr>
              <w:rPr>
                <w:rFonts w:cs="Arial"/>
                <w:b/>
                <w:sz w:val="20"/>
              </w:rPr>
            </w:pPr>
            <w:r w:rsidRPr="00356C80">
              <w:rPr>
                <w:rFonts w:cs="Arial"/>
                <w:b/>
                <w:sz w:val="20"/>
              </w:rPr>
              <w:t>2.8 Learning Pathways</w:t>
            </w:r>
          </w:p>
          <w:p w:rsidR="00B60B22" w:rsidRPr="00356C80" w:rsidRDefault="00B60B22" w:rsidP="00AB5A30">
            <w:pPr>
              <w:rPr>
                <w:rFonts w:cs="Arial"/>
                <w:b/>
                <w:sz w:val="20"/>
              </w:rPr>
            </w:pPr>
          </w:p>
          <w:p w:rsidR="00B60B22" w:rsidRPr="00356C80" w:rsidRDefault="00B60B22" w:rsidP="00AB5A30">
            <w:pPr>
              <w:rPr>
                <w:rFonts w:cs="Arial"/>
                <w:b/>
                <w:bCs/>
                <w:sz w:val="20"/>
              </w:rPr>
            </w:pPr>
            <w:r w:rsidRPr="00356C80">
              <w:rPr>
                <w:rFonts w:cs="Arial"/>
                <w:b/>
                <w:bCs/>
                <w:sz w:val="20"/>
              </w:rPr>
              <w:t>Review / discuss:</w:t>
            </w:r>
          </w:p>
          <w:p w:rsidR="00B60B22" w:rsidRPr="00356C80" w:rsidRDefault="00B60B22" w:rsidP="00AB5A30">
            <w:pPr>
              <w:rPr>
                <w:rFonts w:cs="Arial"/>
                <w:b/>
                <w:bCs/>
                <w:sz w:val="20"/>
              </w:rPr>
            </w:pPr>
          </w:p>
          <w:p w:rsidR="00B60B22" w:rsidRPr="00D07044" w:rsidRDefault="00B60B22" w:rsidP="005D66C4">
            <w:pPr>
              <w:pStyle w:val="Title"/>
              <w:numPr>
                <w:ilvl w:val="0"/>
                <w:numId w:val="27"/>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rsidR="00B60B22" w:rsidRDefault="00B60B22" w:rsidP="006F46E4">
            <w:pPr>
              <w:pStyle w:val="Title"/>
              <w:ind w:left="360"/>
              <w:jc w:val="left"/>
              <w:rPr>
                <w:rFonts w:ascii="Arial" w:hAnsi="Arial" w:cs="Arial"/>
                <w:b/>
                <w:sz w:val="20"/>
              </w:rPr>
            </w:pPr>
          </w:p>
          <w:p w:rsidR="00B60B22" w:rsidRDefault="00B60B22" w:rsidP="006F46E4">
            <w:pPr>
              <w:pStyle w:val="Title"/>
              <w:ind w:left="360"/>
              <w:jc w:val="left"/>
              <w:rPr>
                <w:rFonts w:ascii="Arial" w:hAnsi="Arial" w:cs="Arial"/>
                <w:b/>
                <w:sz w:val="20"/>
              </w:rPr>
            </w:pPr>
          </w:p>
          <w:p w:rsidR="00B60B22" w:rsidRDefault="00B60B22" w:rsidP="006F46E4">
            <w:pPr>
              <w:pStyle w:val="Title"/>
              <w:ind w:left="360"/>
              <w:jc w:val="left"/>
              <w:rPr>
                <w:rFonts w:ascii="Arial" w:hAnsi="Arial" w:cs="Arial"/>
                <w:b/>
                <w:sz w:val="20"/>
              </w:rPr>
            </w:pPr>
          </w:p>
          <w:p w:rsidR="00B60B22" w:rsidRDefault="00B60B22" w:rsidP="006F46E4">
            <w:pPr>
              <w:pStyle w:val="Title"/>
              <w:ind w:left="360"/>
              <w:jc w:val="left"/>
              <w:rPr>
                <w:rFonts w:ascii="Arial" w:hAnsi="Arial" w:cs="Arial"/>
                <w:b/>
                <w:sz w:val="20"/>
              </w:rPr>
            </w:pPr>
          </w:p>
          <w:p w:rsidR="00B60B22" w:rsidRPr="00356C80" w:rsidRDefault="00B60B22" w:rsidP="006F46E4">
            <w:pPr>
              <w:pStyle w:val="Title"/>
              <w:ind w:left="360"/>
              <w:jc w:val="left"/>
              <w:rPr>
                <w:rFonts w:ascii="Arial" w:hAnsi="Arial" w:cs="Arial"/>
                <w:b/>
                <w:sz w:val="20"/>
              </w:rPr>
            </w:pPr>
          </w:p>
        </w:tc>
        <w:tc>
          <w:tcPr>
            <w:tcW w:w="6379" w:type="dxa"/>
            <w:gridSpan w:val="2"/>
            <w:tcMar>
              <w:top w:w="113" w:type="dxa"/>
              <w:bottom w:w="113" w:type="dxa"/>
            </w:tcMar>
          </w:tcPr>
          <w:p w:rsidR="00B60B22" w:rsidRDefault="00B60B22" w:rsidP="00AB5A30">
            <w:pPr>
              <w:rPr>
                <w:rFonts w:cs="Arial"/>
                <w:sz w:val="20"/>
              </w:rPr>
            </w:pPr>
            <w:r>
              <w:rPr>
                <w:rFonts w:cs="Arial"/>
                <w:sz w:val="20"/>
              </w:rPr>
              <w:lastRenderedPageBreak/>
              <w:t>A major pathway in this program is to graduate from MPH with an Ontario College Certificate and spend an additional semester to earn an Ontario College Diploma in Electrical Power Generation.  This program is unique in the province as is this pathway.  The additional skill set in power generation (maintenance, troubleshooting, installation of generators) is sought after by many employers.</w:t>
            </w:r>
          </w:p>
          <w:p w:rsidR="00B60B22" w:rsidRDefault="00B60B22" w:rsidP="00AB5A30">
            <w:pPr>
              <w:rPr>
                <w:rFonts w:cs="Arial"/>
                <w:sz w:val="20"/>
              </w:rPr>
            </w:pPr>
          </w:p>
          <w:p w:rsidR="00B60B22" w:rsidRPr="003657CB" w:rsidRDefault="00F00E14" w:rsidP="00AB5A30">
            <w:pPr>
              <w:rPr>
                <w:rFonts w:cs="Arial"/>
                <w:sz w:val="20"/>
              </w:rPr>
            </w:pPr>
            <w:r w:rsidRPr="003657CB">
              <w:rPr>
                <w:rFonts w:cs="Arial"/>
                <w:sz w:val="20"/>
              </w:rPr>
              <w:t>The program has dual credit</w:t>
            </w:r>
            <w:r w:rsidR="00B60B22" w:rsidRPr="003657CB">
              <w:rPr>
                <w:rFonts w:cs="Arial"/>
                <w:sz w:val="20"/>
              </w:rPr>
              <w:t xml:space="preserve"> in </w:t>
            </w:r>
            <w:r w:rsidR="003657CB" w:rsidRPr="003657CB">
              <w:rPr>
                <w:rFonts w:cs="Arial"/>
                <w:sz w:val="20"/>
              </w:rPr>
              <w:t>Basic Shop Practice.</w:t>
            </w:r>
          </w:p>
          <w:p w:rsidR="00B60B22" w:rsidRPr="00B60B22" w:rsidRDefault="00B60B22" w:rsidP="00AB5A30">
            <w:pPr>
              <w:rPr>
                <w:rFonts w:cs="Arial"/>
                <w:sz w:val="20"/>
                <w:highlight w:val="yellow"/>
              </w:rPr>
            </w:pPr>
          </w:p>
          <w:p w:rsidR="00B60B22" w:rsidRDefault="00B60B22" w:rsidP="00AB5A30">
            <w:pPr>
              <w:rPr>
                <w:rFonts w:cs="Arial"/>
                <w:sz w:val="20"/>
              </w:rPr>
            </w:pPr>
            <w:r w:rsidRPr="003657CB">
              <w:rPr>
                <w:rFonts w:cs="Arial"/>
                <w:sz w:val="20"/>
              </w:rPr>
              <w:t>The program also has a high school co-op with</w:t>
            </w:r>
            <w:r w:rsidR="003657CB" w:rsidRPr="003657CB">
              <w:rPr>
                <w:rFonts w:cs="Arial"/>
                <w:sz w:val="20"/>
              </w:rPr>
              <w:t xml:space="preserve"> Kawartha Pine Ridge, and Lakeland Trillium school boards.</w:t>
            </w:r>
          </w:p>
          <w:p w:rsidR="003657CB" w:rsidRDefault="003657CB" w:rsidP="00AB5A30">
            <w:pPr>
              <w:rPr>
                <w:rFonts w:cs="Arial"/>
                <w:sz w:val="20"/>
              </w:rPr>
            </w:pPr>
          </w:p>
          <w:p w:rsidR="003657CB" w:rsidRDefault="003657CB" w:rsidP="00AB5A30">
            <w:pPr>
              <w:rPr>
                <w:rFonts w:cs="Arial"/>
                <w:sz w:val="20"/>
              </w:rPr>
            </w:pPr>
            <w:r>
              <w:rPr>
                <w:rFonts w:cs="Arial"/>
                <w:sz w:val="20"/>
              </w:rPr>
              <w:lastRenderedPageBreak/>
              <w:t>Approximately 20 graduates of this program ladder into the fourth semester of Electrical Power Generation.  A few students also return for the Heavy Equipment Operator program.</w:t>
            </w:r>
          </w:p>
          <w:p w:rsidR="004944B9" w:rsidRDefault="004944B9" w:rsidP="00AB5A30">
            <w:pPr>
              <w:rPr>
                <w:rFonts w:cs="Arial"/>
                <w:sz w:val="20"/>
              </w:rPr>
            </w:pPr>
          </w:p>
          <w:p w:rsidR="004944B9" w:rsidRPr="00356C80" w:rsidRDefault="004944B9" w:rsidP="004944B9">
            <w:pPr>
              <w:rPr>
                <w:rFonts w:cs="Arial"/>
                <w:sz w:val="20"/>
              </w:rPr>
            </w:pPr>
            <w:r>
              <w:rPr>
                <w:rFonts w:cs="Arial"/>
                <w:sz w:val="20"/>
              </w:rPr>
              <w:t xml:space="preserve">The program is exploring a possible partnership with Confederation College to examine programs that students may ladder into after graduating from Fleming or vice versa.  These </w:t>
            </w:r>
            <w:r w:rsidR="00BD02D2">
              <w:rPr>
                <w:rFonts w:cs="Arial"/>
                <w:sz w:val="20"/>
              </w:rPr>
              <w:t xml:space="preserve">talks </w:t>
            </w:r>
            <w:r>
              <w:rPr>
                <w:rFonts w:cs="Arial"/>
                <w:sz w:val="20"/>
              </w:rPr>
              <w:t>are currently at the exploratory phase but this may open up some excellent opportunities for Fleming graduates of this program.</w:t>
            </w: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B60B22" w:rsidRPr="00356C80" w:rsidRDefault="00B60B22" w:rsidP="00AB5A30">
            <w:pPr>
              <w:tabs>
                <w:tab w:val="left" w:pos="72"/>
              </w:tabs>
              <w:rPr>
                <w:rFonts w:cs="Arial"/>
                <w:b/>
              </w:rPr>
            </w:pPr>
            <w:r w:rsidRPr="00356C80">
              <w:rPr>
                <w:rFonts w:cs="Arial"/>
                <w:b/>
                <w:lang w:val="en-CA"/>
              </w:rPr>
              <w:lastRenderedPageBreak/>
              <w:t>3.0 Student and Graduate Satisfaction</w:t>
            </w:r>
          </w:p>
        </w:tc>
        <w:tc>
          <w:tcPr>
            <w:tcW w:w="6379" w:type="dxa"/>
            <w:gridSpan w:val="2"/>
            <w:shd w:val="clear" w:color="auto" w:fill="C0C0C0"/>
            <w:tcMar>
              <w:top w:w="113" w:type="dxa"/>
              <w:bottom w:w="113" w:type="dxa"/>
            </w:tcMar>
          </w:tcPr>
          <w:p w:rsidR="00B60B22" w:rsidRPr="00356C80" w:rsidRDefault="00B60B22" w:rsidP="00AB5A30">
            <w:pPr>
              <w:rPr>
                <w:rFonts w:cs="Arial"/>
                <w:b/>
              </w:rPr>
            </w:pPr>
            <w:r w:rsidRPr="00356C80">
              <w:rPr>
                <w:rFonts w:cs="Arial"/>
                <w:b/>
              </w:rPr>
              <w:t>Summary of Key Findings</w:t>
            </w: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3188"/>
        </w:trPr>
        <w:tc>
          <w:tcPr>
            <w:tcW w:w="6663" w:type="dxa"/>
            <w:gridSpan w:val="2"/>
            <w:tcMar>
              <w:top w:w="113" w:type="dxa"/>
              <w:bottom w:w="113" w:type="dxa"/>
            </w:tcMar>
          </w:tcPr>
          <w:p w:rsidR="00B60B22" w:rsidRPr="00356C80" w:rsidRDefault="00B60B22" w:rsidP="00AB5A30">
            <w:pPr>
              <w:rPr>
                <w:rFonts w:cs="Arial"/>
                <w:b/>
                <w:bCs/>
                <w:sz w:val="20"/>
              </w:rPr>
            </w:pPr>
            <w:r w:rsidRPr="00356C80">
              <w:rPr>
                <w:rFonts w:cs="Arial"/>
                <w:b/>
                <w:bCs/>
                <w:sz w:val="20"/>
              </w:rPr>
              <w:t>3.1 Formal Measures of Student and / or Graduate Satisfaction</w:t>
            </w:r>
          </w:p>
          <w:p w:rsidR="00B60B22" w:rsidRPr="00356C80" w:rsidRDefault="00B60B22" w:rsidP="00AB5A30">
            <w:pPr>
              <w:rPr>
                <w:rFonts w:cs="Arial"/>
                <w:sz w:val="20"/>
              </w:rPr>
            </w:pPr>
          </w:p>
          <w:p w:rsidR="00B60B22" w:rsidRPr="00356C80" w:rsidRDefault="00B60B22" w:rsidP="00AB5A30">
            <w:pPr>
              <w:rPr>
                <w:rFonts w:cs="Arial"/>
                <w:b/>
                <w:bCs/>
                <w:sz w:val="20"/>
              </w:rPr>
            </w:pPr>
            <w:r w:rsidRPr="00356C80">
              <w:rPr>
                <w:rFonts w:cs="Arial"/>
                <w:b/>
                <w:bCs/>
                <w:sz w:val="20"/>
              </w:rPr>
              <w:t>Review / discuss:</w:t>
            </w:r>
          </w:p>
          <w:p w:rsidR="00B60B22" w:rsidRPr="00356C80" w:rsidRDefault="00B60B22" w:rsidP="00AB5A30">
            <w:pPr>
              <w:rPr>
                <w:rFonts w:cs="Arial"/>
                <w:b/>
                <w:bCs/>
                <w:sz w:val="20"/>
              </w:rPr>
            </w:pPr>
          </w:p>
          <w:p w:rsidR="00B60B22" w:rsidRDefault="00B60B22" w:rsidP="00EA4DDF">
            <w:pPr>
              <w:numPr>
                <w:ilvl w:val="0"/>
                <w:numId w:val="27"/>
              </w:numPr>
              <w:tabs>
                <w:tab w:val="clear" w:pos="720"/>
                <w:tab w:val="num" w:pos="360"/>
              </w:tabs>
              <w:ind w:left="360"/>
              <w:rPr>
                <w:rFonts w:cs="Arial"/>
                <w:sz w:val="20"/>
              </w:rPr>
            </w:pPr>
            <w:r w:rsidRPr="00356C80">
              <w:rPr>
                <w:rFonts w:cs="Arial"/>
                <w:sz w:val="20"/>
              </w:rPr>
              <w:t>Key Performance Indicator results for the program with a focus on #s  4, 8, 9, and 11</w:t>
            </w:r>
          </w:p>
          <w:p w:rsidR="00B60B22" w:rsidRPr="00356C80" w:rsidRDefault="00B60B22" w:rsidP="00D07044">
            <w:pPr>
              <w:ind w:left="360"/>
              <w:rPr>
                <w:rFonts w:cs="Arial"/>
                <w:sz w:val="20"/>
              </w:rPr>
            </w:pPr>
          </w:p>
          <w:p w:rsidR="00B60B22" w:rsidRDefault="00B60B22" w:rsidP="00EA4DDF">
            <w:pPr>
              <w:numPr>
                <w:ilvl w:val="0"/>
                <w:numId w:val="27"/>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rsidR="00B60B22" w:rsidRDefault="00B60B22" w:rsidP="00D07044">
            <w:pPr>
              <w:pStyle w:val="ListParagraph"/>
              <w:rPr>
                <w:rFonts w:cs="Arial"/>
                <w:sz w:val="20"/>
              </w:rPr>
            </w:pPr>
          </w:p>
          <w:p w:rsidR="00B60B22" w:rsidRPr="00356C80" w:rsidRDefault="00B60B22" w:rsidP="00D07044">
            <w:pPr>
              <w:ind w:left="360"/>
              <w:rPr>
                <w:rFonts w:cs="Arial"/>
                <w:sz w:val="20"/>
              </w:rPr>
            </w:pPr>
          </w:p>
          <w:p w:rsidR="00B60B22" w:rsidRDefault="00B60B22" w:rsidP="00EA4DDF">
            <w:pPr>
              <w:numPr>
                <w:ilvl w:val="0"/>
                <w:numId w:val="27"/>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rsidR="00B60B22" w:rsidRPr="00356C80" w:rsidRDefault="00B60B22" w:rsidP="00D07044">
            <w:pPr>
              <w:ind w:left="360"/>
              <w:rPr>
                <w:rFonts w:cs="Arial"/>
                <w:sz w:val="20"/>
              </w:rPr>
            </w:pPr>
          </w:p>
          <w:p w:rsidR="00B60B22" w:rsidRPr="00356C80" w:rsidRDefault="00B60B22" w:rsidP="006A141E">
            <w:pPr>
              <w:numPr>
                <w:ilvl w:val="0"/>
                <w:numId w:val="27"/>
              </w:numPr>
              <w:tabs>
                <w:tab w:val="clear" w:pos="720"/>
                <w:tab w:val="num" w:pos="360"/>
              </w:tabs>
              <w:ind w:left="360"/>
              <w:rPr>
                <w:sz w:val="20"/>
                <w:lang w:val="en-CA"/>
              </w:rPr>
            </w:pPr>
            <w:r w:rsidRPr="00356C80">
              <w:rPr>
                <w:rFonts w:cs="Arial"/>
                <w:sz w:val="20"/>
              </w:rPr>
              <w:t xml:space="preserve">Themes or issues emerging from a review of course evaluation summaries </w:t>
            </w:r>
            <w:r>
              <w:rPr>
                <w:rFonts w:cs="Arial"/>
                <w:sz w:val="20"/>
              </w:rPr>
              <w:t>(Chair/Dean response here)</w:t>
            </w:r>
          </w:p>
        </w:tc>
        <w:tc>
          <w:tcPr>
            <w:tcW w:w="6379" w:type="dxa"/>
            <w:gridSpan w:val="2"/>
            <w:tcMar>
              <w:top w:w="113" w:type="dxa"/>
              <w:bottom w:w="113" w:type="dxa"/>
            </w:tcMar>
          </w:tcPr>
          <w:p w:rsidR="00B60B22" w:rsidRDefault="00B60B22" w:rsidP="00B60B22">
            <w:pPr>
              <w:rPr>
                <w:rFonts w:cs="Arial"/>
                <w:bCs/>
                <w:sz w:val="20"/>
              </w:rPr>
            </w:pPr>
            <w:r>
              <w:rPr>
                <w:rFonts w:cs="Arial"/>
                <w:bCs/>
                <w:sz w:val="20"/>
              </w:rPr>
              <w:t>This program boasts some of the highest KPIs at Fleming as well as across the college system.  Students and graduates are highly satisfied with this program.</w:t>
            </w:r>
          </w:p>
          <w:p w:rsidR="00B60B22" w:rsidRDefault="00B60B22" w:rsidP="00B60B22">
            <w:pPr>
              <w:rPr>
                <w:rFonts w:cs="Arial"/>
                <w:bCs/>
                <w:sz w:val="20"/>
              </w:rPr>
            </w:pPr>
          </w:p>
          <w:p w:rsidR="00B60B22" w:rsidRDefault="00B60B22" w:rsidP="00B60B22">
            <w:pPr>
              <w:rPr>
                <w:rFonts w:cs="Arial"/>
                <w:bCs/>
                <w:sz w:val="20"/>
              </w:rPr>
            </w:pPr>
            <w:r w:rsidRPr="00D33C00">
              <w:rPr>
                <w:rFonts w:cs="Arial"/>
                <w:bCs/>
                <w:sz w:val="20"/>
              </w:rPr>
              <w:t>According to KPI4 (Graduate Satisfaction- Generic and Vocational Learning Outcomes), 95% of graduates reported high satisfaction compared to 87% at Fleming and 81% from comparable programs.  In this program, 94% reported satisfaction with their learning experience (KPI8), higher than both the college average of 81% and the system average of 80%.  Students were also satisfied with their teachers at a very high rate of 88% (KPI9), higher than the college average of 75% and the system average of 83%.  Graduates also reported high satisfaction with the program with a 91% score, much higher than the college average of 83% and the system average of 81%.  These are from the 2011 report.</w:t>
            </w:r>
          </w:p>
          <w:p w:rsidR="000024C7" w:rsidRDefault="000024C7" w:rsidP="00B60B22">
            <w:pPr>
              <w:rPr>
                <w:rFonts w:cs="Arial"/>
                <w:bCs/>
                <w:sz w:val="20"/>
              </w:rPr>
            </w:pPr>
          </w:p>
          <w:p w:rsidR="000024C7" w:rsidRDefault="000024C7" w:rsidP="00B60B22">
            <w:pPr>
              <w:rPr>
                <w:rFonts w:cs="Arial"/>
                <w:bCs/>
                <w:sz w:val="20"/>
              </w:rPr>
            </w:pPr>
            <w:r>
              <w:rPr>
                <w:rFonts w:cs="Arial"/>
                <w:bCs/>
                <w:sz w:val="20"/>
              </w:rPr>
              <w:t>According to graduate satisfaction data in the Automotive Cluster 27% and 52% were highly satisfied and satisfied respectively with their college experiences.</w:t>
            </w:r>
          </w:p>
          <w:tbl>
            <w:tblPr>
              <w:tblW w:w="0" w:type="auto"/>
              <w:tblBorders>
                <w:top w:val="nil"/>
                <w:left w:val="nil"/>
                <w:bottom w:val="nil"/>
                <w:right w:val="nil"/>
              </w:tblBorders>
              <w:tblLayout w:type="fixed"/>
              <w:tblLook w:val="0000" w:firstRow="0" w:lastRow="0" w:firstColumn="0" w:lastColumn="0" w:noHBand="0" w:noVBand="0"/>
            </w:tblPr>
            <w:tblGrid>
              <w:gridCol w:w="3244"/>
              <w:gridCol w:w="3244"/>
            </w:tblGrid>
            <w:tr w:rsidR="001A2E02">
              <w:trPr>
                <w:trHeight w:val="1036"/>
              </w:trPr>
              <w:tc>
                <w:tcPr>
                  <w:tcW w:w="3244" w:type="dxa"/>
                </w:tcPr>
                <w:p w:rsidR="001A2E02" w:rsidRDefault="001A2E02">
                  <w:pPr>
                    <w:pStyle w:val="Default"/>
                    <w:rPr>
                      <w:sz w:val="22"/>
                      <w:szCs w:val="22"/>
                    </w:rPr>
                  </w:pPr>
                  <w:r>
                    <w:rPr>
                      <w:sz w:val="22"/>
                      <w:szCs w:val="22"/>
                    </w:rPr>
                    <w:t>Source: Key Performance Indicator Summary 5 Year Historical Overview KPI Data from Reporting Years 2008-2012:</w:t>
                  </w:r>
                </w:p>
                <w:p w:rsidR="001A2E02" w:rsidRDefault="001A2E02">
                  <w:pPr>
                    <w:pStyle w:val="Default"/>
                    <w:rPr>
                      <w:sz w:val="22"/>
                      <w:szCs w:val="22"/>
                    </w:rPr>
                  </w:pPr>
                  <w:r>
                    <w:rPr>
                      <w:sz w:val="22"/>
                      <w:szCs w:val="22"/>
                    </w:rPr>
                    <w:lastRenderedPageBreak/>
                    <w:t xml:space="preserve">KPI1-Graduation Rate </w:t>
                  </w:r>
                </w:p>
                <w:p w:rsidR="001A2E02" w:rsidRDefault="001A2E02">
                  <w:pPr>
                    <w:pStyle w:val="Default"/>
                    <w:rPr>
                      <w:sz w:val="22"/>
                      <w:szCs w:val="22"/>
                    </w:rPr>
                  </w:pPr>
                  <w:r>
                    <w:rPr>
                      <w:sz w:val="22"/>
                      <w:szCs w:val="22"/>
                    </w:rPr>
                    <w:t xml:space="preserve">KPI2-Working </w:t>
                  </w:r>
                </w:p>
                <w:p w:rsidR="001A2E02" w:rsidRDefault="001A2E02">
                  <w:pPr>
                    <w:pStyle w:val="Default"/>
                    <w:rPr>
                      <w:sz w:val="22"/>
                      <w:szCs w:val="22"/>
                    </w:rPr>
                  </w:pPr>
                  <w:r>
                    <w:rPr>
                      <w:sz w:val="22"/>
                      <w:szCs w:val="22"/>
                    </w:rPr>
                    <w:t xml:space="preserve">KPI3-Working Related </w:t>
                  </w:r>
                </w:p>
                <w:p w:rsidR="001A2E02" w:rsidRDefault="001A2E02">
                  <w:pPr>
                    <w:pStyle w:val="Default"/>
                    <w:rPr>
                      <w:sz w:val="22"/>
                      <w:szCs w:val="22"/>
                    </w:rPr>
                  </w:pPr>
                  <w:r>
                    <w:rPr>
                      <w:sz w:val="22"/>
                      <w:szCs w:val="22"/>
                    </w:rPr>
                    <w:t xml:space="preserve"> </w:t>
                  </w:r>
                </w:p>
              </w:tc>
              <w:tc>
                <w:tcPr>
                  <w:tcW w:w="3244" w:type="dxa"/>
                </w:tcPr>
                <w:p w:rsidR="001A2E02" w:rsidRDefault="001A2E02">
                  <w:pPr>
                    <w:pStyle w:val="Default"/>
                    <w:rPr>
                      <w:sz w:val="22"/>
                      <w:szCs w:val="22"/>
                    </w:rPr>
                  </w:pPr>
                </w:p>
                <w:p w:rsidR="001A2E02" w:rsidRDefault="001A2E02">
                  <w:pPr>
                    <w:pStyle w:val="Default"/>
                    <w:rPr>
                      <w:sz w:val="22"/>
                      <w:szCs w:val="22"/>
                    </w:rPr>
                  </w:pPr>
                </w:p>
                <w:p w:rsidR="001A2E02" w:rsidRDefault="001A2E02">
                  <w:pPr>
                    <w:pStyle w:val="Default"/>
                    <w:rPr>
                      <w:sz w:val="22"/>
                      <w:szCs w:val="22"/>
                    </w:rPr>
                  </w:pPr>
                </w:p>
                <w:p w:rsidR="001A2E02" w:rsidRDefault="001A2E02">
                  <w:pPr>
                    <w:pStyle w:val="Default"/>
                    <w:rPr>
                      <w:sz w:val="22"/>
                      <w:szCs w:val="22"/>
                    </w:rPr>
                  </w:pPr>
                </w:p>
                <w:p w:rsidR="001A2E02" w:rsidRDefault="001A2E02">
                  <w:pPr>
                    <w:pStyle w:val="Default"/>
                    <w:rPr>
                      <w:sz w:val="22"/>
                      <w:szCs w:val="22"/>
                    </w:rPr>
                  </w:pPr>
                  <w:r>
                    <w:rPr>
                      <w:sz w:val="22"/>
                      <w:szCs w:val="22"/>
                    </w:rPr>
                    <w:lastRenderedPageBreak/>
                    <w:t xml:space="preserve">+7% above system </w:t>
                  </w:r>
                </w:p>
                <w:p w:rsidR="001A2E02" w:rsidRDefault="001A2E02">
                  <w:pPr>
                    <w:pStyle w:val="Default"/>
                    <w:rPr>
                      <w:sz w:val="22"/>
                      <w:szCs w:val="22"/>
                    </w:rPr>
                  </w:pPr>
                  <w:r>
                    <w:rPr>
                      <w:sz w:val="22"/>
                      <w:szCs w:val="22"/>
                    </w:rPr>
                    <w:t xml:space="preserve">+4% above system </w:t>
                  </w:r>
                </w:p>
                <w:p w:rsidR="001A2E02" w:rsidRDefault="001A2E02" w:rsidP="006A141E">
                  <w:pPr>
                    <w:pStyle w:val="Default"/>
                    <w:rPr>
                      <w:sz w:val="22"/>
                      <w:szCs w:val="22"/>
                    </w:rPr>
                  </w:pPr>
                  <w:r>
                    <w:rPr>
                      <w:sz w:val="22"/>
                      <w:szCs w:val="22"/>
                    </w:rPr>
                    <w:t xml:space="preserve">+9% above system </w:t>
                  </w:r>
                </w:p>
              </w:tc>
            </w:tr>
          </w:tbl>
          <w:p w:rsidR="00B60B22" w:rsidRPr="00356C80" w:rsidRDefault="00B60B22" w:rsidP="00AB5A30">
            <w:pPr>
              <w:rPr>
                <w:sz w:val="20"/>
                <w:lang w:val="en-CA"/>
              </w:rPr>
            </w:pP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Pr>
          <w:p w:rsidR="00B60B22" w:rsidRPr="00356C80" w:rsidRDefault="00B60B22" w:rsidP="00AB5A30">
            <w:pPr>
              <w:ind w:left="360" w:hanging="360"/>
              <w:rPr>
                <w:rFonts w:cs="Arial"/>
                <w:b/>
                <w:sz w:val="20"/>
              </w:rPr>
            </w:pPr>
          </w:p>
          <w:p w:rsidR="00B60B22" w:rsidRPr="00356C80" w:rsidRDefault="00B60B22" w:rsidP="00AB5A30">
            <w:pPr>
              <w:ind w:left="360" w:hanging="360"/>
              <w:rPr>
                <w:rFonts w:cs="Arial"/>
                <w:b/>
                <w:sz w:val="20"/>
              </w:rPr>
            </w:pPr>
            <w:r w:rsidRPr="00356C80">
              <w:rPr>
                <w:rFonts w:cs="Arial"/>
                <w:b/>
                <w:sz w:val="20"/>
              </w:rPr>
              <w:t>3.2 Other Measures of Student and Graduate Satisfaction</w:t>
            </w:r>
          </w:p>
          <w:p w:rsidR="00B60B22" w:rsidRPr="00356C80" w:rsidRDefault="00B60B22" w:rsidP="00AB5A30">
            <w:pPr>
              <w:ind w:left="360" w:hanging="360"/>
              <w:rPr>
                <w:rFonts w:cs="Arial"/>
                <w:b/>
                <w:sz w:val="20"/>
              </w:rPr>
            </w:pPr>
          </w:p>
          <w:p w:rsidR="00B60B22" w:rsidRPr="00356C80" w:rsidRDefault="00B60B22" w:rsidP="00AB5A30">
            <w:pPr>
              <w:ind w:left="360" w:hanging="360"/>
              <w:rPr>
                <w:rFonts w:cs="Arial"/>
                <w:b/>
                <w:bCs/>
                <w:sz w:val="20"/>
              </w:rPr>
            </w:pPr>
            <w:r w:rsidRPr="00356C80">
              <w:rPr>
                <w:rFonts w:cs="Arial"/>
                <w:b/>
                <w:bCs/>
                <w:sz w:val="20"/>
              </w:rPr>
              <w:t>Review / discuss outcomes from:</w:t>
            </w:r>
          </w:p>
          <w:p w:rsidR="00B60B22" w:rsidRPr="00356C80" w:rsidRDefault="00B60B22" w:rsidP="00AB5A30">
            <w:pPr>
              <w:ind w:left="360" w:hanging="360"/>
              <w:rPr>
                <w:rFonts w:cs="Arial"/>
                <w:b/>
                <w:bCs/>
                <w:sz w:val="20"/>
              </w:rPr>
            </w:pPr>
          </w:p>
          <w:p w:rsidR="00B60B22" w:rsidRDefault="00B60B22" w:rsidP="00EA4DDF">
            <w:pPr>
              <w:numPr>
                <w:ilvl w:val="0"/>
                <w:numId w:val="12"/>
              </w:numPr>
              <w:tabs>
                <w:tab w:val="clear" w:pos="720"/>
                <w:tab w:val="num" w:pos="360"/>
              </w:tabs>
              <w:ind w:left="360"/>
              <w:rPr>
                <w:rFonts w:cs="Arial"/>
                <w:sz w:val="20"/>
              </w:rPr>
            </w:pPr>
            <w:r w:rsidRPr="00356C80">
              <w:rPr>
                <w:rFonts w:cs="Arial"/>
                <w:sz w:val="20"/>
              </w:rPr>
              <w:t>Student focus groups</w:t>
            </w:r>
            <w:r>
              <w:rPr>
                <w:rFonts w:cs="Arial"/>
                <w:sz w:val="20"/>
              </w:rPr>
              <w:t xml:space="preserve"> (mandatory component)</w:t>
            </w:r>
          </w:p>
          <w:p w:rsidR="00B60B22" w:rsidRPr="00356C80" w:rsidRDefault="00B60B22" w:rsidP="00D07044">
            <w:pPr>
              <w:ind w:left="360"/>
              <w:rPr>
                <w:rFonts w:cs="Arial"/>
                <w:sz w:val="20"/>
              </w:rPr>
            </w:pPr>
            <w:r w:rsidRPr="00356C80">
              <w:rPr>
                <w:rFonts w:cs="Arial"/>
                <w:sz w:val="20"/>
              </w:rPr>
              <w:t xml:space="preserve"> </w:t>
            </w:r>
          </w:p>
          <w:p w:rsidR="00B60B22" w:rsidRDefault="00B60B22" w:rsidP="00EA4DDF">
            <w:pPr>
              <w:numPr>
                <w:ilvl w:val="0"/>
                <w:numId w:val="12"/>
              </w:numPr>
              <w:tabs>
                <w:tab w:val="clear" w:pos="720"/>
                <w:tab w:val="num" w:pos="360"/>
              </w:tabs>
              <w:ind w:left="360"/>
              <w:rPr>
                <w:rFonts w:cs="Arial"/>
                <w:sz w:val="20"/>
              </w:rPr>
            </w:pPr>
            <w:r w:rsidRPr="00356C80">
              <w:rPr>
                <w:rFonts w:cs="Arial"/>
                <w:sz w:val="20"/>
              </w:rPr>
              <w:t>Student Advisor observations / reports</w:t>
            </w:r>
          </w:p>
          <w:p w:rsidR="00B60B22" w:rsidRPr="00356C80" w:rsidRDefault="00B60B22" w:rsidP="00D07044">
            <w:pPr>
              <w:ind w:left="360"/>
              <w:rPr>
                <w:rFonts w:cs="Arial"/>
                <w:sz w:val="20"/>
              </w:rPr>
            </w:pPr>
          </w:p>
          <w:p w:rsidR="00B60B22" w:rsidRDefault="00B60B22" w:rsidP="00EA4DDF">
            <w:pPr>
              <w:numPr>
                <w:ilvl w:val="0"/>
                <w:numId w:val="12"/>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rsidR="00B60B22" w:rsidRPr="00356C80" w:rsidRDefault="00B60B22" w:rsidP="00D07044">
            <w:pPr>
              <w:ind w:left="360"/>
              <w:rPr>
                <w:rFonts w:cs="Arial"/>
                <w:sz w:val="20"/>
              </w:rPr>
            </w:pPr>
          </w:p>
          <w:p w:rsidR="00B60B22" w:rsidRDefault="00B60B22" w:rsidP="00EA4DDF">
            <w:pPr>
              <w:numPr>
                <w:ilvl w:val="0"/>
                <w:numId w:val="12"/>
              </w:numPr>
              <w:tabs>
                <w:tab w:val="clear" w:pos="720"/>
                <w:tab w:val="num" w:pos="360"/>
              </w:tabs>
              <w:ind w:left="360"/>
              <w:rPr>
                <w:rFonts w:cs="Arial"/>
                <w:sz w:val="20"/>
              </w:rPr>
            </w:pPr>
            <w:r w:rsidRPr="00356C80">
              <w:rPr>
                <w:rFonts w:cs="Arial"/>
                <w:sz w:val="20"/>
              </w:rPr>
              <w:t>Debriefing sessions following a field placement, clinical placement, or practicum</w:t>
            </w:r>
          </w:p>
          <w:p w:rsidR="00B60B22" w:rsidRDefault="00B60B22" w:rsidP="00D07044">
            <w:pPr>
              <w:pStyle w:val="ListParagraph"/>
              <w:rPr>
                <w:rFonts w:cs="Arial"/>
                <w:sz w:val="20"/>
              </w:rPr>
            </w:pPr>
          </w:p>
          <w:p w:rsidR="00B60B22" w:rsidRPr="00356C80" w:rsidRDefault="00B60B22" w:rsidP="00D07044">
            <w:pPr>
              <w:ind w:left="360"/>
              <w:rPr>
                <w:rFonts w:cs="Arial"/>
                <w:sz w:val="20"/>
              </w:rPr>
            </w:pPr>
          </w:p>
          <w:p w:rsidR="00B60B22" w:rsidRPr="00356C80" w:rsidRDefault="00B60B22" w:rsidP="00AB5A30">
            <w:pPr>
              <w:rPr>
                <w:sz w:val="20"/>
                <w:lang w:val="en-CA"/>
              </w:rPr>
            </w:pPr>
          </w:p>
        </w:tc>
        <w:tc>
          <w:tcPr>
            <w:tcW w:w="6379" w:type="dxa"/>
            <w:gridSpan w:val="2"/>
          </w:tcPr>
          <w:p w:rsidR="00B60B22" w:rsidRDefault="00E3496F" w:rsidP="00E3496F">
            <w:pPr>
              <w:rPr>
                <w:sz w:val="20"/>
                <w:lang w:val="en-CA"/>
              </w:rPr>
            </w:pPr>
            <w:r>
              <w:rPr>
                <w:sz w:val="20"/>
                <w:lang w:val="en-CA"/>
              </w:rPr>
              <w:t>Feedback from students in a program advisory committee meeting in October 2012, supported that current students are highly satisfied with the program.  They reported that faculty “know their stuff” and take time out to help the learners when needed.  The students also like working on the new equipment as they know this is a reflection of the industry.</w:t>
            </w:r>
          </w:p>
          <w:p w:rsidR="00E3496F" w:rsidRDefault="00E3496F" w:rsidP="00E3496F">
            <w:pPr>
              <w:rPr>
                <w:sz w:val="20"/>
                <w:lang w:val="en-CA"/>
              </w:rPr>
            </w:pPr>
          </w:p>
          <w:p w:rsidR="00E3496F" w:rsidRDefault="00E3496F" w:rsidP="00E3496F">
            <w:pPr>
              <w:rPr>
                <w:sz w:val="20"/>
                <w:lang w:val="en-CA"/>
              </w:rPr>
            </w:pPr>
            <w:r>
              <w:rPr>
                <w:sz w:val="20"/>
                <w:lang w:val="en-CA"/>
              </w:rPr>
              <w:t xml:space="preserve">Industry members supported that this is reflected when they hire Fleming graduates as they are easy to train and have the basic skills required </w:t>
            </w:r>
            <w:r w:rsidR="00202D54">
              <w:rPr>
                <w:sz w:val="20"/>
                <w:lang w:val="en-CA"/>
              </w:rPr>
              <w:t>performing</w:t>
            </w:r>
            <w:r>
              <w:rPr>
                <w:sz w:val="20"/>
                <w:lang w:val="en-CA"/>
              </w:rPr>
              <w:t xml:space="preserve"> the technical work.</w:t>
            </w:r>
          </w:p>
          <w:p w:rsidR="00202D54" w:rsidRDefault="00202D54" w:rsidP="00E3496F">
            <w:pPr>
              <w:rPr>
                <w:sz w:val="20"/>
                <w:lang w:val="en-CA"/>
              </w:rPr>
            </w:pPr>
          </w:p>
          <w:p w:rsidR="00202D54" w:rsidRPr="00356C80" w:rsidRDefault="00202D54" w:rsidP="00923E98">
            <w:pPr>
              <w:rPr>
                <w:sz w:val="20"/>
                <w:lang w:val="en-CA"/>
              </w:rPr>
            </w:pPr>
            <w:r>
              <w:rPr>
                <w:sz w:val="20"/>
                <w:lang w:val="en-CA"/>
              </w:rPr>
              <w:t xml:space="preserve">A student focus group held in December 2012 indicated that, overall, students are highly satisfied with the program.  There was some concern voiced about faculty </w:t>
            </w:r>
            <w:r w:rsidR="00923E98">
              <w:rPr>
                <w:sz w:val="20"/>
                <w:lang w:val="en-CA"/>
              </w:rPr>
              <w:t>feedback that is timely.</w:t>
            </w: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B60B22" w:rsidRPr="00356C80" w:rsidRDefault="00B60B22" w:rsidP="00AB5A30">
            <w:pPr>
              <w:tabs>
                <w:tab w:val="left" w:pos="72"/>
              </w:tabs>
              <w:rPr>
                <w:rFonts w:cs="Arial"/>
                <w:b/>
              </w:rPr>
            </w:pPr>
            <w:r w:rsidRPr="00356C80">
              <w:rPr>
                <w:rFonts w:cs="Arial"/>
                <w:b/>
              </w:rPr>
              <w:t>4.0 Employment Trends</w:t>
            </w:r>
          </w:p>
        </w:tc>
        <w:tc>
          <w:tcPr>
            <w:tcW w:w="6379" w:type="dxa"/>
            <w:gridSpan w:val="2"/>
            <w:shd w:val="clear" w:color="auto" w:fill="C0C0C0"/>
            <w:tcMar>
              <w:top w:w="113" w:type="dxa"/>
              <w:bottom w:w="113" w:type="dxa"/>
            </w:tcMar>
          </w:tcPr>
          <w:p w:rsidR="00B60B22" w:rsidRPr="00356C80" w:rsidRDefault="00B60B22" w:rsidP="00AB5A30">
            <w:pPr>
              <w:rPr>
                <w:rFonts w:cs="Arial"/>
                <w:b/>
              </w:rPr>
            </w:pPr>
            <w:r w:rsidRPr="00356C80">
              <w:rPr>
                <w:rFonts w:cs="Arial"/>
                <w:b/>
              </w:rPr>
              <w:t>Summary of Key Findings</w:t>
            </w: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B60B22" w:rsidRPr="00356C80" w:rsidRDefault="00B60B22" w:rsidP="00AB5A30">
            <w:pPr>
              <w:pStyle w:val="Title"/>
              <w:jc w:val="left"/>
              <w:rPr>
                <w:rFonts w:ascii="Arial" w:hAnsi="Arial" w:cs="Arial"/>
                <w:b/>
                <w:sz w:val="20"/>
              </w:rPr>
            </w:pPr>
            <w:r w:rsidRPr="00356C80">
              <w:rPr>
                <w:rFonts w:ascii="Arial" w:hAnsi="Arial" w:cs="Arial"/>
                <w:b/>
                <w:sz w:val="20"/>
              </w:rPr>
              <w:t>4.1 Employment</w:t>
            </w:r>
          </w:p>
          <w:p w:rsidR="00B60B22" w:rsidRPr="00356C80" w:rsidRDefault="00B60B22" w:rsidP="00AB5A30">
            <w:pPr>
              <w:pStyle w:val="Title"/>
              <w:jc w:val="left"/>
              <w:rPr>
                <w:rFonts w:ascii="Arial" w:hAnsi="Arial" w:cs="Arial"/>
                <w:b/>
                <w:sz w:val="20"/>
              </w:rPr>
            </w:pPr>
          </w:p>
          <w:p w:rsidR="00B60B22" w:rsidRPr="00356C80" w:rsidRDefault="00B60B22" w:rsidP="00AB5A30">
            <w:pPr>
              <w:rPr>
                <w:rFonts w:cs="Arial"/>
                <w:b/>
                <w:bCs/>
                <w:sz w:val="20"/>
              </w:rPr>
            </w:pPr>
            <w:r w:rsidRPr="00356C80">
              <w:rPr>
                <w:rFonts w:cs="Arial"/>
                <w:b/>
                <w:bCs/>
                <w:sz w:val="20"/>
              </w:rPr>
              <w:t>Review / discuss:</w:t>
            </w:r>
          </w:p>
          <w:p w:rsidR="00B60B22" w:rsidRPr="00356C80" w:rsidRDefault="00B60B22" w:rsidP="00AB5A30">
            <w:pPr>
              <w:rPr>
                <w:rFonts w:cs="Arial"/>
                <w:b/>
                <w:bCs/>
                <w:sz w:val="20"/>
              </w:rPr>
            </w:pPr>
          </w:p>
          <w:p w:rsidR="00B60B22" w:rsidRDefault="00B60B22"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rsidR="00B60B22" w:rsidRPr="00356C80" w:rsidRDefault="00B60B22" w:rsidP="00D07044">
            <w:pPr>
              <w:pStyle w:val="Title"/>
              <w:ind w:left="360"/>
              <w:jc w:val="left"/>
              <w:rPr>
                <w:rFonts w:ascii="Arial" w:hAnsi="Arial" w:cs="Arial"/>
                <w:sz w:val="20"/>
              </w:rPr>
            </w:pPr>
          </w:p>
          <w:p w:rsidR="00B60B22" w:rsidRDefault="00B60B22"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rsidR="00B60B22" w:rsidRDefault="00B60B22" w:rsidP="00D07044">
            <w:pPr>
              <w:pStyle w:val="ListParagraph"/>
              <w:rPr>
                <w:rFonts w:cs="Arial"/>
                <w:sz w:val="20"/>
              </w:rPr>
            </w:pPr>
          </w:p>
          <w:p w:rsidR="00B60B22" w:rsidRPr="005D66C4" w:rsidRDefault="00B60B22" w:rsidP="00EA4DDF">
            <w:pPr>
              <w:numPr>
                <w:ilvl w:val="0"/>
                <w:numId w:val="10"/>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rsidR="00B60B22" w:rsidRPr="00356C80" w:rsidRDefault="00B60B22" w:rsidP="00AB5A30">
            <w:pPr>
              <w:rPr>
                <w:sz w:val="20"/>
                <w:lang w:val="en-CA"/>
              </w:rPr>
            </w:pPr>
          </w:p>
        </w:tc>
        <w:tc>
          <w:tcPr>
            <w:tcW w:w="6379" w:type="dxa"/>
            <w:gridSpan w:val="2"/>
            <w:tcMar>
              <w:top w:w="113" w:type="dxa"/>
              <w:bottom w:w="113" w:type="dxa"/>
            </w:tcMar>
          </w:tcPr>
          <w:p w:rsidR="00241FF7" w:rsidRPr="00810A4F" w:rsidRDefault="00241FF7" w:rsidP="00241FF7">
            <w:pPr>
              <w:rPr>
                <w:sz w:val="20"/>
                <w:lang w:val="en-CA"/>
              </w:rPr>
            </w:pPr>
            <w:r>
              <w:rPr>
                <w:sz w:val="20"/>
                <w:lang w:val="en-CA"/>
              </w:rPr>
              <w:lastRenderedPageBreak/>
              <w:t xml:space="preserve">There are several areas of shortages currently in this program area </w:t>
            </w:r>
            <w:r>
              <w:rPr>
                <w:sz w:val="20"/>
                <w:lang w:val="en-CA"/>
              </w:rPr>
              <w:lastRenderedPageBreak/>
              <w:t>for employment including:</w:t>
            </w:r>
          </w:p>
          <w:p w:rsidR="00241FF7" w:rsidRPr="00810A4F" w:rsidRDefault="00241FF7" w:rsidP="00241FF7">
            <w:pPr>
              <w:rPr>
                <w:sz w:val="20"/>
                <w:lang w:val="en-CA"/>
              </w:rPr>
            </w:pPr>
            <w:r w:rsidRPr="00810A4F">
              <w:rPr>
                <w:sz w:val="20"/>
                <w:lang w:val="en-CA"/>
              </w:rPr>
              <w:t>- shortage of parts counterperson</w:t>
            </w:r>
            <w:r>
              <w:rPr>
                <w:sz w:val="20"/>
                <w:lang w:val="en-CA"/>
              </w:rPr>
              <w:t>s</w:t>
            </w:r>
          </w:p>
          <w:p w:rsidR="00241FF7" w:rsidRPr="00810A4F" w:rsidRDefault="00241FF7" w:rsidP="00241FF7">
            <w:pPr>
              <w:rPr>
                <w:sz w:val="20"/>
                <w:lang w:val="en-CA"/>
              </w:rPr>
            </w:pPr>
            <w:r w:rsidRPr="00810A4F">
              <w:rPr>
                <w:sz w:val="20"/>
                <w:lang w:val="en-CA"/>
              </w:rPr>
              <w:t>- shortage of technician trainer personnel</w:t>
            </w:r>
          </w:p>
          <w:p w:rsidR="00241FF7" w:rsidRDefault="00241FF7" w:rsidP="00241FF7">
            <w:pPr>
              <w:rPr>
                <w:sz w:val="20"/>
                <w:lang w:val="en-CA"/>
              </w:rPr>
            </w:pPr>
            <w:r w:rsidRPr="00810A4F">
              <w:rPr>
                <w:sz w:val="20"/>
                <w:lang w:val="en-CA"/>
              </w:rPr>
              <w:t>-</w:t>
            </w:r>
            <w:r>
              <w:rPr>
                <w:sz w:val="20"/>
                <w:lang w:val="en-CA"/>
              </w:rPr>
              <w:t xml:space="preserve"> </w:t>
            </w:r>
            <w:r w:rsidRPr="00810A4F">
              <w:rPr>
                <w:sz w:val="20"/>
                <w:lang w:val="en-CA"/>
              </w:rPr>
              <w:t>shortage of lead hand and shift supervisor personnel</w:t>
            </w:r>
          </w:p>
          <w:p w:rsidR="00241FF7" w:rsidRDefault="00241FF7" w:rsidP="00241FF7">
            <w:pPr>
              <w:rPr>
                <w:sz w:val="20"/>
                <w:lang w:val="en-CA"/>
              </w:rPr>
            </w:pPr>
          </w:p>
          <w:p w:rsidR="00241FF7" w:rsidRDefault="00241FF7" w:rsidP="00241FF7">
            <w:pPr>
              <w:rPr>
                <w:sz w:val="20"/>
                <w:lang w:val="en-CA"/>
              </w:rPr>
            </w:pPr>
            <w:r>
              <w:rPr>
                <w:sz w:val="20"/>
                <w:lang w:val="en-CA"/>
              </w:rPr>
              <w:t>Current technicians are older and the retirement rate is increasing which will lead to more shortages.</w:t>
            </w:r>
          </w:p>
          <w:p w:rsidR="00671E74" w:rsidRDefault="00671E74" w:rsidP="00241FF7">
            <w:pPr>
              <w:rPr>
                <w:sz w:val="20"/>
                <w:lang w:val="en-CA"/>
              </w:rPr>
            </w:pPr>
          </w:p>
          <w:p w:rsidR="00AD7081" w:rsidRDefault="00671E74" w:rsidP="00241FF7">
            <w:pPr>
              <w:rPr>
                <w:sz w:val="20"/>
                <w:lang w:val="en-CA"/>
              </w:rPr>
            </w:pPr>
            <w:r>
              <w:rPr>
                <w:sz w:val="20"/>
                <w:lang w:val="en-CA"/>
              </w:rPr>
              <w:t xml:space="preserve">According to Labour Market research (Employment Ontario), the employment opportunities are strong.  </w:t>
            </w:r>
          </w:p>
          <w:p w:rsidR="00AD7081" w:rsidRDefault="00AD7081" w:rsidP="00241FF7">
            <w:pPr>
              <w:rPr>
                <w:sz w:val="20"/>
                <w:lang w:val="en-CA"/>
              </w:rPr>
            </w:pPr>
          </w:p>
          <w:p w:rsidR="00AD7081" w:rsidRPr="00AD7081" w:rsidRDefault="00671E74" w:rsidP="00AD7081">
            <w:pPr>
              <w:pStyle w:val="Default"/>
              <w:rPr>
                <w:rFonts w:ascii="Arial" w:hAnsi="Arial" w:cs="Arial"/>
                <w:sz w:val="20"/>
              </w:rPr>
            </w:pPr>
            <w:r w:rsidRPr="00AD7081">
              <w:rPr>
                <w:rFonts w:ascii="Arial" w:hAnsi="Arial" w:cs="Arial"/>
                <w:sz w:val="20"/>
              </w:rPr>
              <w:t xml:space="preserve">With </w:t>
            </w:r>
            <w:r w:rsidR="000024C7" w:rsidRPr="00AD7081">
              <w:rPr>
                <w:rFonts w:ascii="Arial" w:hAnsi="Arial" w:cs="Arial"/>
                <w:sz w:val="20"/>
              </w:rPr>
              <w:t xml:space="preserve">the </w:t>
            </w:r>
            <w:r w:rsidRPr="00AD7081">
              <w:rPr>
                <w:rFonts w:ascii="Arial" w:hAnsi="Arial" w:cs="Arial"/>
                <w:sz w:val="20"/>
              </w:rPr>
              <w:t xml:space="preserve">Federal Government’s investment in infrastructure improvements, Canadian employment opportunities are </w:t>
            </w:r>
            <w:r w:rsidR="000024C7" w:rsidRPr="00AD7081">
              <w:rPr>
                <w:rFonts w:ascii="Arial" w:hAnsi="Arial" w:cs="Arial"/>
                <w:sz w:val="20"/>
              </w:rPr>
              <w:t xml:space="preserve">also </w:t>
            </w:r>
            <w:r w:rsidRPr="00AD7081">
              <w:rPr>
                <w:rFonts w:ascii="Arial" w:hAnsi="Arial" w:cs="Arial"/>
                <w:sz w:val="20"/>
              </w:rPr>
              <w:t xml:space="preserve">robust. </w:t>
            </w:r>
            <w:r w:rsidR="00AD7081" w:rsidRPr="00AD7081">
              <w:rPr>
                <w:rFonts w:ascii="Arial" w:hAnsi="Arial" w:cs="Arial"/>
                <w:sz w:val="20"/>
              </w:rPr>
              <w:t xml:space="preserve">Working in Canada reports </w:t>
            </w:r>
          </w:p>
          <w:p w:rsidR="00AD7081" w:rsidRDefault="00AD7081" w:rsidP="00AD7081">
            <w:pPr>
              <w:pStyle w:val="Default"/>
            </w:pPr>
          </w:p>
          <w:p w:rsidR="00671E74" w:rsidRPr="00AD7081" w:rsidRDefault="00AD7081" w:rsidP="00AD7081">
            <w:pPr>
              <w:pStyle w:val="Default"/>
              <w:rPr>
                <w:rFonts w:ascii="Arial" w:hAnsi="Arial" w:cs="Arial"/>
                <w:sz w:val="20"/>
                <w:szCs w:val="20"/>
              </w:rPr>
            </w:pPr>
            <w:r w:rsidRPr="00AD7081">
              <w:rPr>
                <w:rFonts w:ascii="Arial" w:hAnsi="Arial" w:cs="Arial"/>
                <w:sz w:val="20"/>
                <w:szCs w:val="20"/>
              </w:rPr>
              <w:t xml:space="preserve">Estimated that there will be </w:t>
            </w:r>
            <w:r w:rsidR="003657CB">
              <w:rPr>
                <w:rFonts w:ascii="Arial" w:hAnsi="Arial" w:cs="Arial"/>
                <w:sz w:val="20"/>
                <w:szCs w:val="20"/>
              </w:rPr>
              <w:t>fewer j</w:t>
            </w:r>
            <w:r w:rsidRPr="00AD7081">
              <w:rPr>
                <w:rFonts w:ascii="Arial" w:hAnsi="Arial" w:cs="Arial"/>
                <w:sz w:val="20"/>
                <w:szCs w:val="20"/>
              </w:rPr>
              <w:t>ob seekers in this field than job openings for the 2011-2020 periods (job openings are expected to total 77,600. It is expected that 75,688 job seekers will be available to fill these job openings). Job seekers will come from the school system (63%), net mobility (19%) and 8% from immigration</w:t>
            </w:r>
          </w:p>
          <w:p w:rsidR="00242ACA" w:rsidRDefault="00242ACA" w:rsidP="00241FF7">
            <w:pPr>
              <w:rPr>
                <w:sz w:val="20"/>
                <w:lang w:val="en-CA"/>
              </w:rPr>
            </w:pPr>
          </w:p>
          <w:p w:rsidR="00242ACA" w:rsidRDefault="00242ACA" w:rsidP="00241FF7">
            <w:pPr>
              <w:rPr>
                <w:sz w:val="20"/>
                <w:lang w:val="en-CA"/>
              </w:rPr>
            </w:pPr>
            <w:r>
              <w:rPr>
                <w:sz w:val="20"/>
                <w:lang w:val="en-CA"/>
              </w:rPr>
              <w:t>The U.S. Department of Labour also rep</w:t>
            </w:r>
            <w:r w:rsidR="00095586">
              <w:rPr>
                <w:sz w:val="20"/>
                <w:lang w:val="en-CA"/>
              </w:rPr>
              <w:t>or</w:t>
            </w:r>
            <w:r>
              <w:rPr>
                <w:sz w:val="20"/>
                <w:lang w:val="en-CA"/>
              </w:rPr>
              <w:t>ts a good job market in this field up to 2020.</w:t>
            </w:r>
          </w:p>
          <w:p w:rsidR="000024C7" w:rsidRDefault="000024C7" w:rsidP="00241FF7">
            <w:pPr>
              <w:rPr>
                <w:sz w:val="20"/>
                <w:lang w:val="en-CA"/>
              </w:rPr>
            </w:pPr>
          </w:p>
          <w:p w:rsidR="000024C7" w:rsidRDefault="000024C7" w:rsidP="00241FF7">
            <w:pPr>
              <w:rPr>
                <w:sz w:val="20"/>
                <w:lang w:val="en-CA"/>
              </w:rPr>
            </w:pPr>
            <w:r>
              <w:rPr>
                <w:sz w:val="20"/>
                <w:lang w:val="en-CA"/>
              </w:rPr>
              <w:t>According to data from the Automotive Cluster</w:t>
            </w:r>
            <w:r w:rsidR="00095586">
              <w:rPr>
                <w:sz w:val="20"/>
                <w:lang w:val="en-CA"/>
              </w:rPr>
              <w:t xml:space="preserve"> (Employment Profile 2010)</w:t>
            </w:r>
            <w:r>
              <w:rPr>
                <w:sz w:val="20"/>
                <w:lang w:val="en-CA"/>
              </w:rPr>
              <w:t>, employer satisfaction with the preparation of graduates was 33% were highly satisfied and 57% were satisfied.</w:t>
            </w:r>
          </w:p>
          <w:p w:rsidR="000024C7" w:rsidRDefault="000024C7" w:rsidP="00241FF7">
            <w:pPr>
              <w:rPr>
                <w:sz w:val="20"/>
                <w:lang w:val="en-CA"/>
              </w:rPr>
            </w:pPr>
          </w:p>
          <w:p w:rsidR="000024C7" w:rsidRDefault="000024C7" w:rsidP="000024C7">
            <w:pPr>
              <w:spacing w:line="360" w:lineRule="auto"/>
              <w:rPr>
                <w:sz w:val="20"/>
                <w:lang w:val="en-CA"/>
              </w:rPr>
            </w:pPr>
            <w:r>
              <w:rPr>
                <w:sz w:val="20"/>
                <w:lang w:val="en-CA"/>
              </w:rPr>
              <w:t>79% of graduates were employed in 09/10 in this cluster.</w:t>
            </w:r>
          </w:p>
          <w:p w:rsidR="001A2E02" w:rsidRDefault="001A2E02" w:rsidP="000024C7">
            <w:pPr>
              <w:spacing w:line="360" w:lineRule="auto"/>
              <w:rPr>
                <w:sz w:val="20"/>
                <w:lang w:val="en-CA"/>
              </w:rPr>
            </w:pPr>
            <w:r>
              <w:rPr>
                <w:sz w:val="20"/>
                <w:lang w:val="en-CA"/>
              </w:rPr>
              <w:t>5 year KPI analysis:</w:t>
            </w:r>
          </w:p>
          <w:p w:rsidR="001A2E02" w:rsidRDefault="001A2E02" w:rsidP="001A2E02">
            <w:pPr>
              <w:pStyle w:val="Default"/>
              <w:rPr>
                <w:sz w:val="22"/>
                <w:szCs w:val="22"/>
              </w:rPr>
            </w:pPr>
            <w:r>
              <w:rPr>
                <w:sz w:val="22"/>
                <w:szCs w:val="22"/>
              </w:rPr>
              <w:t>KPI4-Grad. Satisfaction - +3% above system</w:t>
            </w:r>
          </w:p>
          <w:p w:rsidR="001A2E02" w:rsidRDefault="001A2E02" w:rsidP="001A2E02">
            <w:pPr>
              <w:pStyle w:val="Default"/>
              <w:rPr>
                <w:sz w:val="22"/>
                <w:szCs w:val="22"/>
              </w:rPr>
            </w:pPr>
            <w:r>
              <w:rPr>
                <w:sz w:val="22"/>
                <w:szCs w:val="22"/>
              </w:rPr>
              <w:t>KPI8-Student Satisfaction-Learning – even with system</w:t>
            </w:r>
          </w:p>
          <w:p w:rsidR="001A2E02" w:rsidRDefault="001A2E02" w:rsidP="001A2E02">
            <w:pPr>
              <w:pStyle w:val="Default"/>
              <w:rPr>
                <w:sz w:val="22"/>
                <w:szCs w:val="22"/>
              </w:rPr>
            </w:pPr>
            <w:r>
              <w:rPr>
                <w:sz w:val="22"/>
                <w:szCs w:val="22"/>
              </w:rPr>
              <w:t>KPI9-Student Satisfaction- Teachers- Even with system</w:t>
            </w:r>
          </w:p>
          <w:p w:rsidR="001A2E02" w:rsidRDefault="001A2E02" w:rsidP="001A2E02">
            <w:pPr>
              <w:pStyle w:val="Default"/>
              <w:rPr>
                <w:sz w:val="22"/>
                <w:szCs w:val="22"/>
              </w:rPr>
            </w:pPr>
            <w:r>
              <w:rPr>
                <w:sz w:val="22"/>
                <w:szCs w:val="22"/>
              </w:rPr>
              <w:t>KPI11-Grad. Satisfaction-Program- +2% above system</w:t>
            </w:r>
          </w:p>
          <w:p w:rsidR="001A2E02" w:rsidRDefault="001A2E02" w:rsidP="001A2E02">
            <w:pPr>
              <w:pStyle w:val="Default"/>
              <w:rPr>
                <w:sz w:val="22"/>
                <w:szCs w:val="22"/>
              </w:rPr>
            </w:pPr>
          </w:p>
          <w:p w:rsidR="00241FF7" w:rsidRPr="00810A4F" w:rsidRDefault="00241FF7" w:rsidP="00241FF7">
            <w:pPr>
              <w:rPr>
                <w:sz w:val="20"/>
                <w:lang w:val="en-CA"/>
              </w:rPr>
            </w:pPr>
          </w:p>
          <w:p w:rsidR="00B60B22" w:rsidRPr="00356C80" w:rsidRDefault="00B60B22" w:rsidP="00AB5A30">
            <w:pPr>
              <w:rPr>
                <w:lang w:val="en-CA"/>
              </w:rPr>
            </w:pP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B60B22" w:rsidRPr="00356C80" w:rsidRDefault="00B60B22" w:rsidP="00AB5A30">
            <w:pPr>
              <w:pStyle w:val="Title"/>
              <w:jc w:val="left"/>
              <w:rPr>
                <w:rFonts w:ascii="Arial" w:hAnsi="Arial" w:cs="Arial"/>
                <w:b/>
                <w:sz w:val="20"/>
              </w:rPr>
            </w:pPr>
            <w:r w:rsidRPr="00356C80">
              <w:rPr>
                <w:rFonts w:ascii="Arial" w:hAnsi="Arial" w:cs="Arial"/>
                <w:b/>
                <w:sz w:val="20"/>
              </w:rPr>
              <w:lastRenderedPageBreak/>
              <w:t>4.2 Other Graduate Destinations</w:t>
            </w:r>
          </w:p>
          <w:p w:rsidR="00B60B22" w:rsidRPr="00356C80" w:rsidRDefault="00B60B22" w:rsidP="00AB5A30">
            <w:pPr>
              <w:pStyle w:val="Title"/>
              <w:jc w:val="left"/>
              <w:rPr>
                <w:rFonts w:ascii="Arial" w:hAnsi="Arial" w:cs="Arial"/>
                <w:b/>
                <w:sz w:val="20"/>
              </w:rPr>
            </w:pPr>
          </w:p>
          <w:p w:rsidR="00B60B22" w:rsidRPr="00356C80" w:rsidRDefault="00B60B22" w:rsidP="00AB5A30">
            <w:pPr>
              <w:rPr>
                <w:rFonts w:cs="Arial"/>
                <w:b/>
                <w:bCs/>
                <w:sz w:val="20"/>
              </w:rPr>
            </w:pPr>
            <w:r w:rsidRPr="00356C80">
              <w:rPr>
                <w:rFonts w:cs="Arial"/>
                <w:b/>
                <w:bCs/>
                <w:sz w:val="20"/>
              </w:rPr>
              <w:t>Review / discuss:</w:t>
            </w:r>
          </w:p>
          <w:p w:rsidR="00B60B22" w:rsidRPr="00356C80" w:rsidRDefault="00B60B22" w:rsidP="00AB5A30">
            <w:pPr>
              <w:rPr>
                <w:rFonts w:cs="Arial"/>
                <w:b/>
                <w:bCs/>
                <w:sz w:val="20"/>
              </w:rPr>
            </w:pPr>
          </w:p>
          <w:p w:rsidR="00B60B22" w:rsidRDefault="00B60B22" w:rsidP="00EA4DDF">
            <w:pPr>
              <w:pStyle w:val="Title"/>
              <w:numPr>
                <w:ilvl w:val="0"/>
                <w:numId w:val="23"/>
              </w:numPr>
              <w:tabs>
                <w:tab w:val="clear" w:pos="720"/>
                <w:tab w:val="num" w:pos="360"/>
              </w:tabs>
              <w:ind w:left="360"/>
              <w:jc w:val="left"/>
              <w:rPr>
                <w:rFonts w:ascii="Arial" w:hAnsi="Arial" w:cs="Arial"/>
                <w:sz w:val="20"/>
              </w:rPr>
            </w:pPr>
            <w:r w:rsidRPr="00356C80">
              <w:rPr>
                <w:rFonts w:ascii="Arial" w:hAnsi="Arial" w:cs="Arial"/>
                <w:sz w:val="20"/>
              </w:rPr>
              <w:t>Alternative graduate destinations such as further education, international opportunities, volunteer service, or other experiences</w:t>
            </w:r>
          </w:p>
          <w:p w:rsidR="00B60B22" w:rsidRPr="00356C80" w:rsidRDefault="00B60B22" w:rsidP="005D66C4">
            <w:pPr>
              <w:pStyle w:val="Title"/>
              <w:jc w:val="left"/>
              <w:rPr>
                <w:rFonts w:ascii="Arial" w:hAnsi="Arial" w:cs="Arial"/>
                <w:sz w:val="20"/>
              </w:rPr>
            </w:pPr>
          </w:p>
        </w:tc>
        <w:tc>
          <w:tcPr>
            <w:tcW w:w="6379" w:type="dxa"/>
            <w:gridSpan w:val="2"/>
            <w:tcMar>
              <w:top w:w="113" w:type="dxa"/>
              <w:bottom w:w="113" w:type="dxa"/>
            </w:tcMar>
          </w:tcPr>
          <w:p w:rsidR="003657CB" w:rsidRDefault="003657CB" w:rsidP="00AB5A30">
            <w:pPr>
              <w:rPr>
                <w:sz w:val="20"/>
                <w:lang w:val="en-CA"/>
              </w:rPr>
            </w:pPr>
            <w:r>
              <w:rPr>
                <w:sz w:val="20"/>
                <w:lang w:val="en-CA"/>
              </w:rPr>
              <w:t>Some students choose careers in product support and sales representative positions.  Students also move to the United States for work.</w:t>
            </w:r>
          </w:p>
          <w:p w:rsidR="00EF15B4" w:rsidRPr="00356C80" w:rsidRDefault="00EF15B4" w:rsidP="00AB5A30">
            <w:pPr>
              <w:rPr>
                <w:lang w:val="en-CA"/>
              </w:rPr>
            </w:pPr>
          </w:p>
        </w:tc>
      </w:tr>
      <w:tr w:rsidR="00B60B22"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B60B22" w:rsidRPr="00356C80" w:rsidRDefault="00B60B22" w:rsidP="00AB5A30">
            <w:pPr>
              <w:tabs>
                <w:tab w:val="left" w:pos="72"/>
              </w:tabs>
              <w:rPr>
                <w:rFonts w:cs="Arial"/>
                <w:b/>
              </w:rPr>
            </w:pPr>
            <w:r w:rsidRPr="00356C80">
              <w:rPr>
                <w:rFonts w:cs="Arial"/>
                <w:b/>
              </w:rPr>
              <w:t>5.0 Strategic Positioning</w:t>
            </w:r>
          </w:p>
        </w:tc>
        <w:tc>
          <w:tcPr>
            <w:tcW w:w="6379" w:type="dxa"/>
            <w:gridSpan w:val="2"/>
            <w:shd w:val="clear" w:color="auto" w:fill="C0C0C0"/>
            <w:tcMar>
              <w:top w:w="113" w:type="dxa"/>
              <w:bottom w:w="113" w:type="dxa"/>
            </w:tcMar>
          </w:tcPr>
          <w:p w:rsidR="00B60B22" w:rsidRPr="00356C80" w:rsidRDefault="00B60B22" w:rsidP="00AB5A30">
            <w:pPr>
              <w:rPr>
                <w:rFonts w:cs="Arial"/>
                <w:b/>
              </w:rPr>
            </w:pPr>
            <w:r w:rsidRPr="00356C80">
              <w:rPr>
                <w:rFonts w:cs="Arial"/>
                <w:b/>
              </w:rPr>
              <w:t>Summary of Key Findings</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t>5.1</w:t>
            </w:r>
            <w:r w:rsidRPr="00356C80">
              <w:rPr>
                <w:rFonts w:ascii="Arial" w:hAnsi="Arial" w:cs="Arial"/>
                <w:sz w:val="20"/>
              </w:rPr>
              <w:t xml:space="preserve"> </w:t>
            </w:r>
            <w:r w:rsidRPr="00356C80">
              <w:rPr>
                <w:rFonts w:ascii="Arial" w:hAnsi="Arial" w:cs="Arial"/>
                <w:b/>
                <w:sz w:val="20"/>
              </w:rPr>
              <w:t>College Alignment</w:t>
            </w:r>
          </w:p>
          <w:p w:rsidR="00AE2027" w:rsidRPr="00356C80" w:rsidRDefault="00AE2027" w:rsidP="00AB5A30">
            <w:pPr>
              <w:pStyle w:val="Title"/>
              <w:jc w:val="left"/>
              <w:rPr>
                <w:rFonts w:ascii="Arial" w:hAnsi="Arial" w:cs="Arial"/>
                <w:b/>
                <w:sz w:val="20"/>
              </w:rPr>
            </w:pP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Pr="00D07044" w:rsidRDefault="00AE2027" w:rsidP="00EA4DDF">
            <w:pPr>
              <w:pStyle w:val="Title"/>
              <w:numPr>
                <w:ilvl w:val="0"/>
                <w:numId w:val="13"/>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rsidR="00AE2027" w:rsidRDefault="00AE2027" w:rsidP="00D07044">
            <w:pPr>
              <w:pStyle w:val="Title"/>
              <w:ind w:left="360"/>
              <w:jc w:val="left"/>
              <w:rPr>
                <w:rFonts w:ascii="Arial" w:hAnsi="Arial" w:cs="Arial"/>
                <w:bCs/>
                <w:sz w:val="20"/>
              </w:rPr>
            </w:pPr>
          </w:p>
          <w:p w:rsidR="00AE2027" w:rsidRPr="00EB4375" w:rsidRDefault="00AE2027" w:rsidP="00EA4DDF">
            <w:pPr>
              <w:pStyle w:val="Title"/>
              <w:numPr>
                <w:ilvl w:val="0"/>
                <w:numId w:val="13"/>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rsidR="00AE2027" w:rsidRPr="00356C80" w:rsidRDefault="00AE2027" w:rsidP="00EB4375">
            <w:pPr>
              <w:pStyle w:val="Title"/>
              <w:jc w:val="left"/>
              <w:rPr>
                <w:rFonts w:cs="Arial"/>
                <w:sz w:val="20"/>
                <w:lang w:val="en-CA"/>
              </w:rPr>
            </w:pPr>
          </w:p>
        </w:tc>
        <w:tc>
          <w:tcPr>
            <w:tcW w:w="6379" w:type="dxa"/>
            <w:gridSpan w:val="2"/>
            <w:tcMar>
              <w:top w:w="113" w:type="dxa"/>
              <w:bottom w:w="113" w:type="dxa"/>
            </w:tcMar>
          </w:tcPr>
          <w:p w:rsidR="00AE2027" w:rsidRDefault="00AE2027" w:rsidP="00E3496F">
            <w:pPr>
              <w:rPr>
                <w:sz w:val="20"/>
                <w:lang w:val="en-CA"/>
              </w:rPr>
            </w:pPr>
            <w:r>
              <w:rPr>
                <w:sz w:val="20"/>
                <w:lang w:val="en-CA"/>
              </w:rPr>
              <w:t xml:space="preserve">The </w:t>
            </w:r>
            <w:r w:rsidRPr="006669E4">
              <w:rPr>
                <w:sz w:val="20"/>
                <w:lang w:val="en-CA"/>
              </w:rPr>
              <w:t>progra</w:t>
            </w:r>
            <w:r>
              <w:rPr>
                <w:sz w:val="20"/>
                <w:lang w:val="en-CA"/>
              </w:rPr>
              <w:t>m is aligned with the college’s vision and strategic plan of advancing skilled trades.  Although not to be housed in the new KTTC, this program adds to the skilled trades programs at the college as one of the oldest and most productive programs.</w:t>
            </w:r>
            <w:r w:rsidR="00EF15B4">
              <w:rPr>
                <w:sz w:val="20"/>
                <w:lang w:val="en-CA"/>
              </w:rPr>
              <w:t xml:space="preserve">  With a strategic direction in the trades, this program continues to illustrate the benefits for students</w:t>
            </w:r>
            <w:r w:rsidR="003657CB">
              <w:rPr>
                <w:sz w:val="20"/>
                <w:lang w:val="en-CA"/>
              </w:rPr>
              <w:t xml:space="preserve"> of skilled trades programs</w:t>
            </w:r>
            <w:r w:rsidR="00EF15B4">
              <w:rPr>
                <w:sz w:val="20"/>
                <w:lang w:val="en-CA"/>
              </w:rPr>
              <w:t>.</w:t>
            </w:r>
          </w:p>
          <w:p w:rsidR="00AE2027" w:rsidRDefault="00AE2027" w:rsidP="00E3496F">
            <w:pPr>
              <w:rPr>
                <w:sz w:val="20"/>
                <w:lang w:val="en-CA"/>
              </w:rPr>
            </w:pPr>
          </w:p>
          <w:p w:rsidR="00AE2027" w:rsidRPr="006669E4" w:rsidRDefault="00AE2027" w:rsidP="00E3496F">
            <w:pPr>
              <w:rPr>
                <w:sz w:val="20"/>
                <w:lang w:val="en-CA"/>
              </w:rPr>
            </w:pPr>
          </w:p>
          <w:p w:rsidR="00AE2027" w:rsidRPr="006669E4" w:rsidRDefault="00AE2027" w:rsidP="00E3496F">
            <w:pPr>
              <w:rPr>
                <w:rFonts w:cs="Arial"/>
                <w:sz w:val="20"/>
                <w:lang w:val="en-CA"/>
              </w:rPr>
            </w:pPr>
            <w:r>
              <w:rPr>
                <w:sz w:val="20"/>
                <w:lang w:val="en-CA"/>
              </w:rPr>
              <w:t xml:space="preserve">There will be an initiative to </w:t>
            </w:r>
            <w:r w:rsidRPr="006669E4">
              <w:rPr>
                <w:sz w:val="20"/>
                <w:lang w:val="en-CA"/>
              </w:rPr>
              <w:t xml:space="preserve">explore </w:t>
            </w:r>
            <w:r>
              <w:rPr>
                <w:sz w:val="20"/>
                <w:lang w:val="en-CA"/>
              </w:rPr>
              <w:t xml:space="preserve">a possible </w:t>
            </w:r>
            <w:r w:rsidRPr="006669E4">
              <w:rPr>
                <w:sz w:val="20"/>
                <w:lang w:val="en-CA"/>
              </w:rPr>
              <w:t>fo</w:t>
            </w:r>
            <w:r>
              <w:rPr>
                <w:sz w:val="20"/>
                <w:lang w:val="en-CA"/>
              </w:rPr>
              <w:t>u</w:t>
            </w:r>
            <w:r w:rsidRPr="006669E4">
              <w:rPr>
                <w:sz w:val="20"/>
                <w:lang w:val="en-CA"/>
              </w:rPr>
              <w:t xml:space="preserve">rth semester </w:t>
            </w:r>
            <w:r>
              <w:rPr>
                <w:sz w:val="20"/>
                <w:lang w:val="en-CA"/>
              </w:rPr>
              <w:t xml:space="preserve">in </w:t>
            </w:r>
            <w:r w:rsidRPr="006669E4">
              <w:rPr>
                <w:sz w:val="20"/>
                <w:lang w:val="en-CA"/>
              </w:rPr>
              <w:t>advanced systems training (eg. electrical, hydraulic systems)</w:t>
            </w:r>
            <w:r w:rsidR="003657CB">
              <w:rPr>
                <w:sz w:val="20"/>
                <w:lang w:val="en-CA"/>
              </w:rPr>
              <w:t xml:space="preserve"> at the technician level</w:t>
            </w:r>
            <w:r>
              <w:rPr>
                <w:sz w:val="20"/>
                <w:lang w:val="en-CA"/>
              </w:rPr>
              <w:t>.</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Height w:val="1762"/>
        </w:trPr>
        <w:tc>
          <w:tcPr>
            <w:tcW w:w="6663" w:type="dxa"/>
            <w:gridSpan w:val="2"/>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t>5.2 Competitor Programs</w:t>
            </w:r>
          </w:p>
          <w:p w:rsidR="00AE2027" w:rsidRPr="00356C80" w:rsidRDefault="00AE2027" w:rsidP="00AB5A30">
            <w:pPr>
              <w:pStyle w:val="Title"/>
              <w:jc w:val="left"/>
              <w:rPr>
                <w:rFonts w:ascii="Arial" w:hAnsi="Arial" w:cs="Arial"/>
                <w:b/>
                <w:sz w:val="20"/>
              </w:rPr>
            </w:pP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Default="00AE2027" w:rsidP="00EA4DDF">
            <w:pPr>
              <w:pStyle w:val="Title"/>
              <w:numPr>
                <w:ilvl w:val="0"/>
                <w:numId w:val="22"/>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rsidR="00AE2027" w:rsidRPr="00356C80" w:rsidRDefault="00AE2027" w:rsidP="00D07044">
            <w:pPr>
              <w:pStyle w:val="Title"/>
              <w:ind w:left="360"/>
              <w:jc w:val="left"/>
              <w:rPr>
                <w:rFonts w:ascii="Arial" w:hAnsi="Arial" w:cs="Arial"/>
                <w:sz w:val="20"/>
              </w:rPr>
            </w:pPr>
          </w:p>
          <w:p w:rsidR="00AE2027" w:rsidRPr="00EB4375" w:rsidRDefault="00AE2027" w:rsidP="00EA4DDF">
            <w:pPr>
              <w:pStyle w:val="Title"/>
              <w:numPr>
                <w:ilvl w:val="0"/>
                <w:numId w:val="21"/>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rsidR="00AE2027" w:rsidRPr="00356C80" w:rsidRDefault="00AE2027" w:rsidP="00EB4375">
            <w:pPr>
              <w:pStyle w:val="Title"/>
              <w:jc w:val="left"/>
              <w:rPr>
                <w:rFonts w:ascii="Arial" w:hAnsi="Arial" w:cs="Arial"/>
                <w:b/>
                <w:sz w:val="20"/>
              </w:rPr>
            </w:pPr>
          </w:p>
        </w:tc>
        <w:tc>
          <w:tcPr>
            <w:tcW w:w="6379" w:type="dxa"/>
            <w:gridSpan w:val="2"/>
            <w:tcMar>
              <w:top w:w="113" w:type="dxa"/>
              <w:bottom w:w="113" w:type="dxa"/>
            </w:tcMar>
          </w:tcPr>
          <w:p w:rsidR="00AE2027" w:rsidRDefault="00AE2027" w:rsidP="00AE2027">
            <w:pPr>
              <w:rPr>
                <w:rFonts w:cs="Arial"/>
                <w:sz w:val="20"/>
                <w:lang w:val="en-CA"/>
              </w:rPr>
            </w:pPr>
            <w:r w:rsidRPr="00AE2027">
              <w:rPr>
                <w:rFonts w:cs="Arial"/>
                <w:sz w:val="20"/>
                <w:lang w:val="en-CA"/>
              </w:rPr>
              <w:lastRenderedPageBreak/>
              <w:t>The real value</w:t>
            </w:r>
            <w:r>
              <w:rPr>
                <w:rFonts w:cs="Arial"/>
                <w:sz w:val="20"/>
                <w:lang w:val="en-CA"/>
              </w:rPr>
              <w:t>-</w:t>
            </w:r>
            <w:r w:rsidRPr="00AE2027">
              <w:rPr>
                <w:rFonts w:cs="Arial"/>
                <w:sz w:val="20"/>
                <w:lang w:val="en-CA"/>
              </w:rPr>
              <w:t>add in this p</w:t>
            </w:r>
            <w:r>
              <w:rPr>
                <w:rFonts w:cs="Arial"/>
                <w:sz w:val="20"/>
                <w:lang w:val="en-CA"/>
              </w:rPr>
              <w:t xml:space="preserve">rogram is its compressed design </w:t>
            </w:r>
            <w:r w:rsidRPr="00AE2027">
              <w:rPr>
                <w:rFonts w:cs="Arial"/>
                <w:sz w:val="20"/>
                <w:lang w:val="en-CA"/>
              </w:rPr>
              <w:t>combined with a full semester paid internship.</w:t>
            </w:r>
          </w:p>
          <w:p w:rsidR="009D6A8C" w:rsidRDefault="009D6A8C" w:rsidP="00AE2027">
            <w:pPr>
              <w:rPr>
                <w:rFonts w:cs="Arial"/>
                <w:sz w:val="20"/>
                <w:lang w:val="en-CA"/>
              </w:rPr>
            </w:pPr>
          </w:p>
          <w:p w:rsidR="009D6A8C" w:rsidRDefault="009D6A8C" w:rsidP="00AE2027">
            <w:pPr>
              <w:rPr>
                <w:rFonts w:cs="Arial"/>
                <w:sz w:val="20"/>
                <w:lang w:val="en-CA"/>
              </w:rPr>
            </w:pPr>
            <w:r>
              <w:rPr>
                <w:rFonts w:cs="Arial"/>
                <w:sz w:val="20"/>
                <w:lang w:val="en-CA"/>
              </w:rPr>
              <w:t>Cambrian has a Heavy Equipment Techniques level program which ladders into one of two options of either Heavy Equipment Technician Or Motive Power Technician – Truck and Coach Technician.</w:t>
            </w:r>
          </w:p>
          <w:p w:rsidR="00EF15B4" w:rsidRDefault="00EF15B4" w:rsidP="00AE2027">
            <w:pPr>
              <w:rPr>
                <w:rFonts w:cs="Arial"/>
                <w:sz w:val="20"/>
                <w:lang w:val="en-CA"/>
              </w:rPr>
            </w:pPr>
          </w:p>
          <w:p w:rsidR="00EF15B4" w:rsidRPr="00AE2027" w:rsidRDefault="00EF15B4" w:rsidP="00AE2027">
            <w:pPr>
              <w:rPr>
                <w:rFonts w:cs="Arial"/>
                <w:sz w:val="20"/>
                <w:lang w:val="en-CA"/>
              </w:rPr>
            </w:pPr>
            <w:r>
              <w:rPr>
                <w:rFonts w:cs="Arial"/>
                <w:sz w:val="20"/>
                <w:lang w:val="en-CA"/>
              </w:rPr>
              <w:t xml:space="preserve">Conestoga, the only other college with the Certificate level program cancelled their program in 2007/8 leaving Fleming’s program with the </w:t>
            </w:r>
            <w:r>
              <w:rPr>
                <w:rFonts w:cs="Arial"/>
                <w:sz w:val="20"/>
                <w:lang w:val="en-CA"/>
              </w:rPr>
              <w:lastRenderedPageBreak/>
              <w:t>only techniques level offering.</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AE2027" w:rsidRPr="00356C80" w:rsidRDefault="00AE2027" w:rsidP="00AB5A30">
            <w:pPr>
              <w:tabs>
                <w:tab w:val="left" w:pos="72"/>
              </w:tabs>
              <w:rPr>
                <w:rFonts w:cs="Arial"/>
                <w:b/>
              </w:rPr>
            </w:pPr>
            <w:r w:rsidRPr="00356C80">
              <w:rPr>
                <w:rFonts w:cs="Arial"/>
                <w:b/>
              </w:rPr>
              <w:lastRenderedPageBreak/>
              <w:t>6.0 Enrolment Trends</w:t>
            </w:r>
          </w:p>
        </w:tc>
        <w:tc>
          <w:tcPr>
            <w:tcW w:w="6379" w:type="dxa"/>
            <w:gridSpan w:val="2"/>
            <w:shd w:val="clear" w:color="auto" w:fill="C0C0C0"/>
            <w:tcMar>
              <w:top w:w="113" w:type="dxa"/>
              <w:bottom w:w="113" w:type="dxa"/>
            </w:tcMar>
          </w:tcPr>
          <w:p w:rsidR="00AE2027" w:rsidRPr="00356C80" w:rsidRDefault="00AE2027" w:rsidP="00AB5A30">
            <w:pPr>
              <w:rPr>
                <w:rFonts w:cs="Arial"/>
                <w:b/>
              </w:rPr>
            </w:pPr>
            <w:r w:rsidRPr="00356C80">
              <w:rPr>
                <w:rFonts w:cs="Arial"/>
                <w:b/>
              </w:rPr>
              <w:t>Summary of Key Findings</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t xml:space="preserve">6.1 Demand for the Program </w:t>
            </w:r>
          </w:p>
          <w:p w:rsidR="00AE2027" w:rsidRPr="00356C80" w:rsidRDefault="00AE2027" w:rsidP="00AB5A30">
            <w:pPr>
              <w:pStyle w:val="Title"/>
              <w:jc w:val="left"/>
              <w:rPr>
                <w:rFonts w:ascii="Arial" w:hAnsi="Arial" w:cs="Arial"/>
                <w:b/>
                <w:sz w:val="20"/>
              </w:rPr>
            </w:pP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Default="00AE2027" w:rsidP="00EA4DDF">
            <w:pPr>
              <w:numPr>
                <w:ilvl w:val="0"/>
                <w:numId w:val="14"/>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rsidR="00AE2027" w:rsidRPr="00356C80" w:rsidRDefault="00AE2027" w:rsidP="00D07044">
            <w:pPr>
              <w:ind w:left="360"/>
              <w:rPr>
                <w:rFonts w:cs="Arial"/>
                <w:sz w:val="20"/>
              </w:rPr>
            </w:pPr>
          </w:p>
          <w:p w:rsidR="00AE2027" w:rsidRDefault="00AE2027" w:rsidP="00EA4DDF">
            <w:pPr>
              <w:numPr>
                <w:ilvl w:val="0"/>
                <w:numId w:val="14"/>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rsidR="00AE2027" w:rsidRDefault="00AE2027" w:rsidP="00D07044">
            <w:pPr>
              <w:pStyle w:val="ListParagraph"/>
              <w:rPr>
                <w:rFonts w:cs="Arial"/>
                <w:sz w:val="20"/>
              </w:rPr>
            </w:pPr>
          </w:p>
          <w:p w:rsidR="00AE2027" w:rsidRPr="00356C80" w:rsidRDefault="00AE2027" w:rsidP="00EA4DDF">
            <w:pPr>
              <w:numPr>
                <w:ilvl w:val="0"/>
                <w:numId w:val="14"/>
              </w:numPr>
              <w:tabs>
                <w:tab w:val="clear" w:pos="720"/>
                <w:tab w:val="num" w:pos="360"/>
              </w:tabs>
              <w:ind w:left="360"/>
              <w:rPr>
                <w:rFonts w:cs="Arial"/>
                <w:b/>
                <w:sz w:val="20"/>
              </w:rPr>
            </w:pPr>
            <w:r w:rsidRPr="00356C80">
              <w:rPr>
                <w:rFonts w:cs="Arial"/>
                <w:sz w:val="20"/>
              </w:rPr>
              <w:t xml:space="preserve">Impact, if any, of this changing student profile on program curriculum </w:t>
            </w:r>
          </w:p>
        </w:tc>
        <w:tc>
          <w:tcPr>
            <w:tcW w:w="6379" w:type="dxa"/>
            <w:gridSpan w:val="2"/>
            <w:shd w:val="clear" w:color="auto" w:fill="auto"/>
            <w:tcMar>
              <w:top w:w="113" w:type="dxa"/>
              <w:bottom w:w="113" w:type="dxa"/>
            </w:tcMar>
          </w:tcPr>
          <w:p w:rsidR="00357411" w:rsidRPr="00357411" w:rsidRDefault="00357411" w:rsidP="00357411">
            <w:pPr>
              <w:autoSpaceDE w:val="0"/>
              <w:autoSpaceDN w:val="0"/>
              <w:adjustRightInd w:val="0"/>
              <w:rPr>
                <w:rFonts w:ascii="Symbol" w:eastAsiaTheme="minorHAnsi" w:hAnsi="Symbol" w:cs="Symbol"/>
                <w:color w:val="000000"/>
                <w:sz w:val="24"/>
                <w:szCs w:val="24"/>
                <w:lang w:val="en-CA"/>
              </w:rPr>
            </w:pPr>
          </w:p>
          <w:p w:rsidR="00357411" w:rsidRPr="003657CB" w:rsidRDefault="00357411" w:rsidP="00357411">
            <w:pPr>
              <w:autoSpaceDE w:val="0"/>
              <w:autoSpaceDN w:val="0"/>
              <w:adjustRightInd w:val="0"/>
              <w:spacing w:after="70"/>
              <w:rPr>
                <w:rFonts w:eastAsiaTheme="minorHAnsi" w:cs="Arial"/>
                <w:color w:val="000000"/>
                <w:sz w:val="20"/>
                <w:lang w:val="en-CA"/>
              </w:rPr>
            </w:pPr>
            <w:r w:rsidRPr="003657CB">
              <w:rPr>
                <w:rFonts w:eastAsiaTheme="minorHAnsi" w:cs="Arial"/>
                <w:color w:val="000000"/>
                <w:sz w:val="20"/>
                <w:lang w:val="en-CA"/>
              </w:rPr>
              <w:t xml:space="preserve">For certificate offerings Fleming has far better conversion ratios than Conestoga who have nothing from 2010-on.  Fleming has had over </w:t>
            </w:r>
            <w:r w:rsidRPr="003657CB">
              <w:rPr>
                <w:rFonts w:eastAsiaTheme="minorHAnsi" w:cs="Arial"/>
                <w:b/>
                <w:bCs/>
                <w:color w:val="000000"/>
                <w:sz w:val="20"/>
                <w:lang w:val="en-CA"/>
              </w:rPr>
              <w:t xml:space="preserve">120 </w:t>
            </w:r>
            <w:r w:rsidRPr="003657CB">
              <w:rPr>
                <w:rFonts w:eastAsiaTheme="minorHAnsi" w:cs="Arial"/>
                <w:color w:val="000000"/>
                <w:sz w:val="20"/>
                <w:lang w:val="en-CA"/>
              </w:rPr>
              <w:t xml:space="preserve">students apply each year and a minimum of </w:t>
            </w:r>
            <w:r w:rsidRPr="003657CB">
              <w:rPr>
                <w:rFonts w:eastAsiaTheme="minorHAnsi" w:cs="Arial"/>
                <w:b/>
                <w:bCs/>
                <w:color w:val="000000"/>
                <w:sz w:val="20"/>
                <w:lang w:val="en-CA"/>
              </w:rPr>
              <w:t xml:space="preserve">33 </w:t>
            </w:r>
            <w:r w:rsidRPr="003657CB">
              <w:rPr>
                <w:rFonts w:eastAsiaTheme="minorHAnsi" w:cs="Arial"/>
                <w:color w:val="000000"/>
                <w:sz w:val="20"/>
                <w:lang w:val="en-CA"/>
              </w:rPr>
              <w:t>register out of that number.</w:t>
            </w:r>
            <w:r w:rsidR="001A2E02" w:rsidRPr="003657CB">
              <w:rPr>
                <w:rFonts w:eastAsiaTheme="minorHAnsi" w:cs="Arial"/>
                <w:color w:val="000000"/>
                <w:sz w:val="20"/>
                <w:lang w:val="en-CA"/>
              </w:rPr>
              <w:t xml:space="preserve">  The five year conversion ratio is 3:1 higher than the system average of 4:1</w:t>
            </w:r>
          </w:p>
          <w:p w:rsidR="00202D54" w:rsidRDefault="00202D54" w:rsidP="00357411">
            <w:pPr>
              <w:autoSpaceDE w:val="0"/>
              <w:autoSpaceDN w:val="0"/>
              <w:adjustRightInd w:val="0"/>
              <w:rPr>
                <w:rFonts w:eastAsiaTheme="minorHAnsi" w:cs="Arial"/>
                <w:color w:val="000000"/>
                <w:sz w:val="20"/>
                <w:lang w:val="en-CA"/>
              </w:rPr>
            </w:pPr>
          </w:p>
          <w:p w:rsidR="00202D54" w:rsidRDefault="00202D54" w:rsidP="00357411">
            <w:pPr>
              <w:autoSpaceDE w:val="0"/>
              <w:autoSpaceDN w:val="0"/>
              <w:adjustRightInd w:val="0"/>
              <w:rPr>
                <w:rFonts w:eastAsiaTheme="minorHAnsi" w:cs="Arial"/>
                <w:color w:val="000000"/>
                <w:sz w:val="20"/>
                <w:lang w:val="en-CA"/>
              </w:rPr>
            </w:pPr>
          </w:p>
          <w:p w:rsidR="00357411" w:rsidRDefault="003657CB" w:rsidP="00357411">
            <w:pPr>
              <w:autoSpaceDE w:val="0"/>
              <w:autoSpaceDN w:val="0"/>
              <w:adjustRightInd w:val="0"/>
              <w:rPr>
                <w:rFonts w:eastAsiaTheme="minorHAnsi" w:cs="Arial"/>
                <w:color w:val="000000"/>
                <w:sz w:val="20"/>
                <w:lang w:val="en-CA"/>
              </w:rPr>
            </w:pPr>
            <w:r w:rsidRPr="003657CB">
              <w:rPr>
                <w:rFonts w:eastAsiaTheme="minorHAnsi" w:cs="Arial"/>
                <w:color w:val="000000"/>
                <w:sz w:val="20"/>
                <w:lang w:val="en-CA"/>
              </w:rPr>
              <w:t>In the past year:</w:t>
            </w:r>
          </w:p>
          <w:p w:rsidR="00202D54" w:rsidRPr="003657CB" w:rsidRDefault="00202D54" w:rsidP="00357411">
            <w:pPr>
              <w:autoSpaceDE w:val="0"/>
              <w:autoSpaceDN w:val="0"/>
              <w:adjustRightInd w:val="0"/>
              <w:rPr>
                <w:rFonts w:eastAsiaTheme="minorHAnsi" w:cs="Arial"/>
                <w:color w:val="000000"/>
                <w:sz w:val="20"/>
                <w:lang w:val="en-CA"/>
              </w:rPr>
            </w:pPr>
          </w:p>
          <w:p w:rsidR="003657CB" w:rsidRPr="003657CB" w:rsidRDefault="00C70871" w:rsidP="00357411">
            <w:pPr>
              <w:autoSpaceDE w:val="0"/>
              <w:autoSpaceDN w:val="0"/>
              <w:adjustRightInd w:val="0"/>
              <w:rPr>
                <w:rFonts w:eastAsiaTheme="minorHAnsi" w:cs="Arial"/>
                <w:color w:val="000000"/>
                <w:sz w:val="20"/>
                <w:lang w:val="en-CA"/>
              </w:rPr>
            </w:pPr>
            <w:r>
              <w:rPr>
                <w:rFonts w:eastAsiaTheme="minorHAnsi" w:cs="Arial"/>
                <w:color w:val="000000"/>
                <w:sz w:val="20"/>
                <w:lang w:val="en-CA"/>
              </w:rPr>
              <w:t xml:space="preserve">70% were between </w:t>
            </w:r>
            <w:r w:rsidR="003657CB" w:rsidRPr="003657CB">
              <w:rPr>
                <w:rFonts w:eastAsiaTheme="minorHAnsi" w:cs="Arial"/>
                <w:color w:val="000000"/>
                <w:sz w:val="20"/>
                <w:lang w:val="en-CA"/>
              </w:rPr>
              <w:t>18-22</w:t>
            </w:r>
            <w:r>
              <w:rPr>
                <w:rFonts w:eastAsiaTheme="minorHAnsi" w:cs="Arial"/>
                <w:color w:val="000000"/>
                <w:sz w:val="20"/>
                <w:lang w:val="en-CA"/>
              </w:rPr>
              <w:t xml:space="preserve"> years old</w:t>
            </w:r>
            <w:r w:rsidR="003657CB" w:rsidRPr="003657CB">
              <w:rPr>
                <w:rFonts w:eastAsiaTheme="minorHAnsi" w:cs="Arial"/>
                <w:color w:val="000000"/>
                <w:sz w:val="20"/>
                <w:lang w:val="en-CA"/>
              </w:rPr>
              <w:t>; 20% were aged 22-40; 10% were students from the Targeted Initiative for Older Workers.</w:t>
            </w:r>
          </w:p>
          <w:p w:rsidR="00357411" w:rsidRPr="00357411" w:rsidRDefault="00357411" w:rsidP="00357411">
            <w:pPr>
              <w:autoSpaceDE w:val="0"/>
              <w:autoSpaceDN w:val="0"/>
              <w:adjustRightInd w:val="0"/>
              <w:rPr>
                <w:rFonts w:ascii="Calibri" w:eastAsiaTheme="minorHAnsi" w:hAnsi="Calibri" w:cs="Calibri"/>
                <w:color w:val="000000"/>
                <w:szCs w:val="22"/>
                <w:lang w:val="en-CA"/>
              </w:rPr>
            </w:pPr>
          </w:p>
          <w:p w:rsidR="00357411" w:rsidRPr="00357411" w:rsidRDefault="00357411" w:rsidP="00357411">
            <w:pPr>
              <w:autoSpaceDE w:val="0"/>
              <w:autoSpaceDN w:val="0"/>
              <w:adjustRightInd w:val="0"/>
              <w:rPr>
                <w:rFonts w:ascii="Calibri" w:eastAsiaTheme="minorHAnsi" w:hAnsi="Calibri" w:cs="Calibri"/>
                <w:color w:val="000000"/>
                <w:szCs w:val="22"/>
                <w:lang w:val="en-CA"/>
              </w:rPr>
            </w:pPr>
          </w:p>
          <w:p w:rsidR="00357411" w:rsidRPr="00357411" w:rsidRDefault="00357411" w:rsidP="00357411">
            <w:pPr>
              <w:autoSpaceDE w:val="0"/>
              <w:autoSpaceDN w:val="0"/>
              <w:adjustRightInd w:val="0"/>
              <w:rPr>
                <w:rFonts w:ascii="Calibri" w:eastAsiaTheme="minorHAnsi" w:hAnsi="Calibri" w:cs="Calibri"/>
                <w:color w:val="000000"/>
                <w:szCs w:val="22"/>
                <w:lang w:val="en-CA"/>
              </w:rPr>
            </w:pPr>
          </w:p>
          <w:p w:rsidR="00357411" w:rsidRPr="00357411" w:rsidRDefault="00357411" w:rsidP="00357411">
            <w:pPr>
              <w:autoSpaceDE w:val="0"/>
              <w:autoSpaceDN w:val="0"/>
              <w:adjustRightInd w:val="0"/>
              <w:rPr>
                <w:rFonts w:ascii="Calibri" w:eastAsiaTheme="minorHAnsi" w:hAnsi="Calibri" w:cs="Calibri"/>
                <w:color w:val="000000"/>
                <w:szCs w:val="22"/>
                <w:lang w:val="en-CA"/>
              </w:rPr>
            </w:pPr>
          </w:p>
          <w:p w:rsidR="00357411" w:rsidRPr="00357411" w:rsidRDefault="00357411" w:rsidP="00357411">
            <w:pPr>
              <w:autoSpaceDE w:val="0"/>
              <w:autoSpaceDN w:val="0"/>
              <w:adjustRightInd w:val="0"/>
              <w:rPr>
                <w:rFonts w:ascii="Calibri" w:eastAsiaTheme="minorHAnsi" w:hAnsi="Calibri" w:cs="Calibri"/>
                <w:color w:val="000000"/>
                <w:szCs w:val="22"/>
                <w:lang w:val="en-CA"/>
              </w:rPr>
            </w:pPr>
          </w:p>
          <w:p w:rsidR="00AE2027" w:rsidRPr="00356C80" w:rsidRDefault="00AE2027" w:rsidP="00AB5A30">
            <w:pPr>
              <w:rPr>
                <w:rFonts w:cs="Arial"/>
                <w:b/>
                <w:szCs w:val="22"/>
              </w:rPr>
            </w:pP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t>6.2 Student Progression</w:t>
            </w:r>
          </w:p>
          <w:p w:rsidR="00AE2027" w:rsidRPr="00356C80" w:rsidRDefault="00AE2027" w:rsidP="00AB5A30">
            <w:pPr>
              <w:pStyle w:val="Title"/>
              <w:jc w:val="left"/>
              <w:rPr>
                <w:rFonts w:ascii="Arial" w:hAnsi="Arial" w:cs="Arial"/>
                <w:b/>
                <w:sz w:val="20"/>
              </w:rPr>
            </w:pP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Default="00AE2027" w:rsidP="00EA4DDF">
            <w:pPr>
              <w:pStyle w:val="Title"/>
              <w:numPr>
                <w:ilvl w:val="0"/>
                <w:numId w:val="15"/>
              </w:numPr>
              <w:tabs>
                <w:tab w:val="clear" w:pos="720"/>
                <w:tab w:val="num" w:pos="360"/>
              </w:tabs>
              <w:ind w:left="360"/>
              <w:jc w:val="left"/>
              <w:rPr>
                <w:rFonts w:ascii="Arial" w:hAnsi="Arial" w:cs="Arial"/>
                <w:sz w:val="20"/>
              </w:rPr>
            </w:pPr>
            <w:r w:rsidRPr="00356C80">
              <w:rPr>
                <w:rFonts w:ascii="Arial" w:hAnsi="Arial" w:cs="Arial"/>
                <w:sz w:val="20"/>
              </w:rPr>
              <w:lastRenderedPageBreak/>
              <w:t>Patterns of student success and retention on a semester by semester basis over the last six years</w:t>
            </w:r>
          </w:p>
          <w:p w:rsidR="00AE2027" w:rsidRPr="00356C80" w:rsidRDefault="00AE2027" w:rsidP="00D07044">
            <w:pPr>
              <w:pStyle w:val="Title"/>
              <w:ind w:left="360"/>
              <w:jc w:val="left"/>
              <w:rPr>
                <w:rFonts w:ascii="Arial" w:hAnsi="Arial" w:cs="Arial"/>
                <w:sz w:val="20"/>
              </w:rPr>
            </w:pPr>
          </w:p>
          <w:p w:rsidR="00AE2027" w:rsidRPr="00356C80" w:rsidRDefault="00AE2027" w:rsidP="006F46E4">
            <w:pPr>
              <w:pStyle w:val="Title"/>
              <w:numPr>
                <w:ilvl w:val="0"/>
                <w:numId w:val="15"/>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6379" w:type="dxa"/>
            <w:gridSpan w:val="2"/>
            <w:shd w:val="clear" w:color="auto" w:fill="auto"/>
            <w:tcMar>
              <w:top w:w="113" w:type="dxa"/>
              <w:bottom w:w="113" w:type="dxa"/>
            </w:tcMar>
          </w:tcPr>
          <w:p w:rsidR="006A141E" w:rsidRPr="006A141E" w:rsidRDefault="006A141E" w:rsidP="00AB5A30">
            <w:pPr>
              <w:rPr>
                <w:rFonts w:cs="Arial"/>
                <w:sz w:val="20"/>
              </w:rPr>
            </w:pPr>
            <w:r>
              <w:rPr>
                <w:rFonts w:cs="Arial"/>
                <w:sz w:val="20"/>
              </w:rPr>
              <w:lastRenderedPageBreak/>
              <w:t>There is no current retention data; the last data ends in 2009. A new report is currently being completed and this data will be included once the report is available.</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AE2027" w:rsidRPr="00356C80" w:rsidRDefault="00AE2027" w:rsidP="00AB5A30">
            <w:pPr>
              <w:tabs>
                <w:tab w:val="left" w:pos="72"/>
              </w:tabs>
              <w:rPr>
                <w:rFonts w:cs="Arial"/>
                <w:b/>
              </w:rPr>
            </w:pPr>
            <w:r>
              <w:rPr>
                <w:rFonts w:cs="Arial"/>
                <w:b/>
              </w:rPr>
              <w:lastRenderedPageBreak/>
              <w:t>7</w:t>
            </w:r>
            <w:r w:rsidRPr="00356C80">
              <w:rPr>
                <w:rFonts w:cs="Arial"/>
                <w:b/>
              </w:rPr>
              <w:t>.0 External Relations</w:t>
            </w:r>
          </w:p>
        </w:tc>
        <w:tc>
          <w:tcPr>
            <w:tcW w:w="6379" w:type="dxa"/>
            <w:gridSpan w:val="2"/>
            <w:shd w:val="clear" w:color="auto" w:fill="C0C0C0"/>
            <w:tcMar>
              <w:top w:w="113" w:type="dxa"/>
              <w:bottom w:w="113" w:type="dxa"/>
            </w:tcMar>
          </w:tcPr>
          <w:p w:rsidR="00AE2027" w:rsidRPr="00356C80" w:rsidRDefault="00AE2027" w:rsidP="00AB5A30">
            <w:pPr>
              <w:rPr>
                <w:rFonts w:cs="Arial"/>
                <w:b/>
              </w:rPr>
            </w:pPr>
            <w:r w:rsidRPr="00356C80">
              <w:rPr>
                <w:rFonts w:cs="Arial"/>
                <w:b/>
              </w:rPr>
              <w:t>Summary of Key Findings</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t xml:space="preserve">7.1 Alumnae </w:t>
            </w: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Pr="00356C80" w:rsidRDefault="00AE2027"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rsidR="00AE2027" w:rsidRPr="00356C80" w:rsidRDefault="00AE2027"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rsidR="00AE2027" w:rsidRDefault="00AE2027" w:rsidP="00AB5A30">
            <w:pPr>
              <w:pStyle w:val="Title"/>
              <w:jc w:val="left"/>
              <w:rPr>
                <w:rFonts w:cs="Arial"/>
                <w:b/>
                <w:sz w:val="20"/>
              </w:rPr>
            </w:pPr>
          </w:p>
          <w:p w:rsidR="00AE2027" w:rsidRPr="00356C80" w:rsidRDefault="00AE2027" w:rsidP="00AB5A30">
            <w:pPr>
              <w:pStyle w:val="Title"/>
              <w:jc w:val="left"/>
              <w:rPr>
                <w:rFonts w:cs="Arial"/>
                <w:b/>
                <w:sz w:val="20"/>
              </w:rPr>
            </w:pPr>
          </w:p>
        </w:tc>
        <w:tc>
          <w:tcPr>
            <w:tcW w:w="6379" w:type="dxa"/>
            <w:gridSpan w:val="2"/>
            <w:shd w:val="clear" w:color="auto" w:fill="auto"/>
            <w:tcMar>
              <w:top w:w="113" w:type="dxa"/>
              <w:bottom w:w="113" w:type="dxa"/>
            </w:tcMar>
          </w:tcPr>
          <w:p w:rsidR="00AE2027" w:rsidRPr="00CF6E79" w:rsidRDefault="00CF6E79" w:rsidP="00AB5A30">
            <w:pPr>
              <w:rPr>
                <w:rFonts w:cs="Arial"/>
                <w:sz w:val="20"/>
              </w:rPr>
            </w:pPr>
            <w:r>
              <w:rPr>
                <w:rFonts w:cs="Arial"/>
                <w:sz w:val="20"/>
              </w:rPr>
              <w:t>Several graduates teach in the program or are members of the Program Advisory Committee.  Scott Heard, Mike Rewegan, Dave Ingram are faculty and Jason Hiles is a technician.</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t>7.2 Community Relations</w:t>
            </w:r>
          </w:p>
          <w:p w:rsidR="00AE2027" w:rsidRPr="00356C80" w:rsidRDefault="00AE2027" w:rsidP="00AB5A30">
            <w:pPr>
              <w:pStyle w:val="Title"/>
              <w:jc w:val="left"/>
              <w:rPr>
                <w:rFonts w:ascii="Arial" w:hAnsi="Arial" w:cs="Arial"/>
                <w:b/>
                <w:sz w:val="20"/>
              </w:rPr>
            </w:pPr>
            <w:r w:rsidRPr="00356C80">
              <w:rPr>
                <w:rFonts w:ascii="Arial" w:hAnsi="Arial" w:cs="Arial"/>
                <w:b/>
                <w:sz w:val="20"/>
              </w:rPr>
              <w:t xml:space="preserve"> </w:t>
            </w: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Default="00AE2027" w:rsidP="00EA4DDF">
            <w:pPr>
              <w:numPr>
                <w:ilvl w:val="0"/>
                <w:numId w:val="17"/>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rsidR="00AE2027" w:rsidRPr="00356C80" w:rsidRDefault="00AE2027" w:rsidP="006F46E4">
            <w:pPr>
              <w:ind w:left="360"/>
              <w:rPr>
                <w:rFonts w:cs="Arial"/>
                <w:sz w:val="20"/>
              </w:rPr>
            </w:pPr>
          </w:p>
          <w:p w:rsidR="00AE2027" w:rsidRPr="006F46E4" w:rsidRDefault="00AE2027" w:rsidP="00EA4DDF">
            <w:pPr>
              <w:numPr>
                <w:ilvl w:val="0"/>
                <w:numId w:val="17"/>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rsidR="00AE2027" w:rsidRDefault="00AE2027" w:rsidP="006F46E4">
            <w:pPr>
              <w:pStyle w:val="ListParagraph"/>
              <w:rPr>
                <w:rFonts w:cs="Arial"/>
                <w:sz w:val="20"/>
              </w:rPr>
            </w:pPr>
          </w:p>
          <w:p w:rsidR="00AE2027" w:rsidRPr="00356C80" w:rsidRDefault="00AE2027" w:rsidP="006F46E4">
            <w:pPr>
              <w:ind w:left="360"/>
              <w:rPr>
                <w:rFonts w:cs="Arial"/>
                <w:sz w:val="20"/>
              </w:rPr>
            </w:pPr>
          </w:p>
          <w:p w:rsidR="00AE2027" w:rsidRPr="006F46E4" w:rsidRDefault="00AE2027" w:rsidP="00EA4DDF">
            <w:pPr>
              <w:numPr>
                <w:ilvl w:val="0"/>
                <w:numId w:val="17"/>
              </w:numPr>
              <w:tabs>
                <w:tab w:val="clear" w:pos="720"/>
                <w:tab w:val="num" w:pos="360"/>
              </w:tabs>
              <w:ind w:left="360"/>
              <w:rPr>
                <w:rFonts w:cs="Arial"/>
                <w:sz w:val="20"/>
              </w:rPr>
            </w:pPr>
            <w:r w:rsidRPr="00356C80">
              <w:rPr>
                <w:rFonts w:cs="Arial"/>
                <w:sz w:val="20"/>
                <w:lang w:val="en-CA" w:eastAsia="en-CA"/>
              </w:rPr>
              <w:t xml:space="preserve">Contributions to the not for profit sector such as committee or board service by program-associated faculty and staff </w:t>
            </w:r>
          </w:p>
          <w:p w:rsidR="00AE2027" w:rsidRPr="00356C80" w:rsidRDefault="00AE2027" w:rsidP="006F46E4">
            <w:pPr>
              <w:ind w:left="360"/>
              <w:rPr>
                <w:rFonts w:cs="Arial"/>
                <w:sz w:val="20"/>
              </w:rPr>
            </w:pPr>
          </w:p>
          <w:p w:rsidR="00AE2027" w:rsidRPr="00356C80" w:rsidRDefault="00AE2027" w:rsidP="005D66C4">
            <w:pPr>
              <w:numPr>
                <w:ilvl w:val="0"/>
                <w:numId w:val="17"/>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6379" w:type="dxa"/>
            <w:gridSpan w:val="2"/>
            <w:shd w:val="clear" w:color="auto" w:fill="auto"/>
            <w:tcMar>
              <w:top w:w="113" w:type="dxa"/>
              <w:bottom w:w="113" w:type="dxa"/>
            </w:tcMar>
          </w:tcPr>
          <w:p w:rsidR="00AE2027" w:rsidRPr="006669E4" w:rsidRDefault="00AE2027" w:rsidP="00AE2027">
            <w:pPr>
              <w:rPr>
                <w:sz w:val="20"/>
                <w:lang w:val="en-CA"/>
              </w:rPr>
            </w:pPr>
            <w:r w:rsidRPr="006669E4">
              <w:rPr>
                <w:sz w:val="20"/>
                <w:lang w:val="en-CA"/>
              </w:rPr>
              <w:t>Program awards, bursaries</w:t>
            </w:r>
          </w:p>
          <w:p w:rsidR="00AE2027" w:rsidRPr="006669E4" w:rsidRDefault="00AE2027" w:rsidP="00AE2027">
            <w:pPr>
              <w:rPr>
                <w:sz w:val="20"/>
                <w:lang w:val="en-CA"/>
              </w:rPr>
            </w:pPr>
            <w:r w:rsidRPr="006669E4">
              <w:rPr>
                <w:sz w:val="20"/>
                <w:lang w:val="en-CA"/>
              </w:rPr>
              <w:t>-Jake Wallace memorial competition (10 yrs running)</w:t>
            </w:r>
          </w:p>
          <w:p w:rsidR="00AE2027" w:rsidRPr="006669E4" w:rsidRDefault="00AE2027" w:rsidP="00AE2027">
            <w:pPr>
              <w:rPr>
                <w:sz w:val="20"/>
                <w:lang w:val="en-CA"/>
              </w:rPr>
            </w:pPr>
            <w:r w:rsidRPr="006669E4">
              <w:rPr>
                <w:sz w:val="20"/>
                <w:lang w:val="en-CA"/>
              </w:rPr>
              <w:t>-industry equipment/component donations</w:t>
            </w:r>
          </w:p>
          <w:p w:rsidR="00AE2027" w:rsidRPr="006669E4" w:rsidRDefault="00AE2027" w:rsidP="00AE2027">
            <w:pPr>
              <w:rPr>
                <w:sz w:val="20"/>
                <w:lang w:val="en-CA"/>
              </w:rPr>
            </w:pPr>
            <w:r w:rsidRPr="006669E4">
              <w:rPr>
                <w:sz w:val="20"/>
                <w:lang w:val="en-CA"/>
              </w:rPr>
              <w:t>-Caterpillar Excellence fund</w:t>
            </w:r>
          </w:p>
          <w:p w:rsidR="00AE2027" w:rsidRPr="006669E4" w:rsidRDefault="00AE2027" w:rsidP="00AE2027">
            <w:pPr>
              <w:rPr>
                <w:sz w:val="20"/>
                <w:lang w:val="en-CA"/>
              </w:rPr>
            </w:pPr>
            <w:r w:rsidRPr="006669E4">
              <w:rPr>
                <w:sz w:val="20"/>
                <w:lang w:val="en-CA"/>
              </w:rPr>
              <w:t>-</w:t>
            </w:r>
            <w:r w:rsidR="00CF6E79">
              <w:rPr>
                <w:sz w:val="20"/>
                <w:lang w:val="en-CA"/>
              </w:rPr>
              <w:t xml:space="preserve">Carmen Moore sits on the </w:t>
            </w:r>
            <w:r w:rsidRPr="006669E4">
              <w:rPr>
                <w:sz w:val="20"/>
                <w:lang w:val="en-CA"/>
              </w:rPr>
              <w:t>economic development board for City of Kawartha Lakes</w:t>
            </w:r>
          </w:p>
          <w:p w:rsidR="00AE2027" w:rsidRPr="00356C80" w:rsidRDefault="00AE2027" w:rsidP="00AB5A30">
            <w:pPr>
              <w:rPr>
                <w:rFonts w:cs="Arial"/>
                <w:b/>
                <w:sz w:val="28"/>
                <w:szCs w:val="28"/>
              </w:rPr>
            </w:pP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pStyle w:val="Title"/>
              <w:jc w:val="left"/>
              <w:rPr>
                <w:rFonts w:ascii="Arial" w:hAnsi="Arial" w:cs="Arial"/>
                <w:b/>
                <w:sz w:val="20"/>
              </w:rPr>
            </w:pPr>
            <w:r w:rsidRPr="00356C80">
              <w:rPr>
                <w:rFonts w:ascii="Arial" w:hAnsi="Arial" w:cs="Arial"/>
                <w:b/>
                <w:sz w:val="20"/>
              </w:rPr>
              <w:lastRenderedPageBreak/>
              <w:t>7.3 Program Advisory Committee</w:t>
            </w:r>
          </w:p>
          <w:p w:rsidR="00AE2027" w:rsidRPr="00356C80" w:rsidRDefault="00AE2027" w:rsidP="00AB5A30">
            <w:pPr>
              <w:pStyle w:val="Title"/>
              <w:jc w:val="left"/>
              <w:rPr>
                <w:rFonts w:ascii="Arial" w:hAnsi="Arial" w:cs="Arial"/>
                <w:b/>
                <w:sz w:val="20"/>
              </w:rPr>
            </w:pPr>
          </w:p>
          <w:p w:rsidR="00AE2027" w:rsidRPr="00356C80" w:rsidRDefault="00AE2027" w:rsidP="00AB5A30">
            <w:pPr>
              <w:rPr>
                <w:rFonts w:cs="Arial"/>
                <w:b/>
                <w:bCs/>
                <w:sz w:val="20"/>
              </w:rPr>
            </w:pPr>
            <w:r w:rsidRPr="00356C80">
              <w:rPr>
                <w:rFonts w:cs="Arial"/>
                <w:b/>
                <w:bCs/>
                <w:sz w:val="20"/>
              </w:rPr>
              <w:t>Review / discuss:</w:t>
            </w:r>
          </w:p>
          <w:p w:rsidR="00AE2027" w:rsidRPr="00356C80" w:rsidRDefault="00AE2027" w:rsidP="00AB5A30">
            <w:pPr>
              <w:rPr>
                <w:rFonts w:cs="Arial"/>
                <w:b/>
                <w:bCs/>
                <w:sz w:val="20"/>
              </w:rPr>
            </w:pPr>
          </w:p>
          <w:p w:rsidR="00AE2027" w:rsidRDefault="00AE2027"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rsidR="00AE2027" w:rsidRPr="00356C80" w:rsidRDefault="00AE2027" w:rsidP="006F46E4">
            <w:pPr>
              <w:autoSpaceDE w:val="0"/>
              <w:autoSpaceDN w:val="0"/>
              <w:adjustRightInd w:val="0"/>
              <w:ind w:left="360"/>
              <w:rPr>
                <w:rFonts w:cs="Arial"/>
                <w:sz w:val="20"/>
                <w:lang w:val="en-CA" w:eastAsia="en-CA"/>
              </w:rPr>
            </w:pPr>
          </w:p>
          <w:p w:rsidR="00AE2027" w:rsidRPr="00356C80" w:rsidRDefault="00AE2027"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rsidR="00AE2027" w:rsidRPr="00356C80" w:rsidRDefault="00AE2027" w:rsidP="00EA4DDF">
            <w:pPr>
              <w:numPr>
                <w:ilvl w:val="0"/>
                <w:numId w:val="24"/>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rsidR="00AE2027" w:rsidRDefault="00AE2027" w:rsidP="00AB5A30">
            <w:pPr>
              <w:pStyle w:val="Title"/>
              <w:jc w:val="left"/>
              <w:rPr>
                <w:rFonts w:ascii="Tahoma" w:hAnsi="Tahoma" w:cs="Tahoma"/>
                <w:lang w:val="en-CA" w:eastAsia="en-CA"/>
              </w:rPr>
            </w:pPr>
          </w:p>
          <w:p w:rsidR="00AE2027" w:rsidRPr="00356C80" w:rsidRDefault="00AE2027" w:rsidP="00AB5A30">
            <w:pPr>
              <w:pStyle w:val="Title"/>
              <w:jc w:val="left"/>
              <w:rPr>
                <w:rFonts w:ascii="Arial" w:hAnsi="Arial" w:cs="Arial"/>
                <w:b/>
                <w:sz w:val="20"/>
              </w:rPr>
            </w:pPr>
            <w:r w:rsidRPr="00356C80">
              <w:rPr>
                <w:rFonts w:ascii="Tahoma" w:hAnsi="Tahoma" w:cs="Tahoma"/>
                <w:lang w:val="en-CA" w:eastAsia="en-CA"/>
              </w:rPr>
              <w:t xml:space="preserve"> </w:t>
            </w:r>
          </w:p>
        </w:tc>
        <w:tc>
          <w:tcPr>
            <w:tcW w:w="6379" w:type="dxa"/>
            <w:gridSpan w:val="2"/>
            <w:shd w:val="clear" w:color="auto" w:fill="auto"/>
            <w:tcMar>
              <w:top w:w="113" w:type="dxa"/>
              <w:bottom w:w="113" w:type="dxa"/>
            </w:tcMar>
          </w:tcPr>
          <w:p w:rsidR="00EB4A33" w:rsidRDefault="00EB4A33" w:rsidP="00EB4A33">
            <w:pPr>
              <w:rPr>
                <w:rFonts w:cs="Arial"/>
                <w:b/>
                <w:sz w:val="28"/>
                <w:szCs w:val="28"/>
              </w:rPr>
            </w:pPr>
          </w:p>
          <w:p w:rsidR="00EB4A33" w:rsidRDefault="00EB4A33" w:rsidP="00EB4A33">
            <w:pPr>
              <w:rPr>
                <w:rFonts w:cs="Arial"/>
                <w:b/>
                <w:sz w:val="28"/>
                <w:szCs w:val="28"/>
              </w:rPr>
            </w:pPr>
          </w:p>
          <w:p w:rsidR="00AE2027" w:rsidRPr="00356C80" w:rsidRDefault="00EB4A33" w:rsidP="00EB4A33">
            <w:pPr>
              <w:rPr>
                <w:rFonts w:cs="Arial"/>
                <w:b/>
                <w:sz w:val="28"/>
                <w:szCs w:val="28"/>
              </w:rPr>
            </w:pPr>
            <w:r w:rsidRPr="006669E4">
              <w:rPr>
                <w:rFonts w:cs="Arial"/>
                <w:sz w:val="20"/>
              </w:rPr>
              <w:t>Re</w:t>
            </w:r>
            <w:r>
              <w:rPr>
                <w:rFonts w:cs="Arial"/>
                <w:sz w:val="20"/>
              </w:rPr>
              <w:t>-</w:t>
            </w:r>
            <w:r w:rsidRPr="006669E4">
              <w:rPr>
                <w:rFonts w:cs="Arial"/>
                <w:sz w:val="20"/>
              </w:rPr>
              <w:t>establish</w:t>
            </w:r>
            <w:r w:rsidR="00CF6E79">
              <w:rPr>
                <w:rFonts w:cs="Arial"/>
                <w:sz w:val="20"/>
              </w:rPr>
              <w:t>ed</w:t>
            </w:r>
            <w:r w:rsidRPr="006669E4">
              <w:rPr>
                <w:rFonts w:cs="Arial"/>
                <w:sz w:val="20"/>
              </w:rPr>
              <w:t xml:space="preserve"> advisory committee and identify different mechanisms to provide for meetings</w:t>
            </w:r>
            <w:r w:rsidR="00CF6E79">
              <w:rPr>
                <w:rFonts w:cs="Arial"/>
                <w:sz w:val="20"/>
              </w:rPr>
              <w:t>.  The committee met on October 24, 2012.</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C0C0C0"/>
            <w:tcMar>
              <w:top w:w="113" w:type="dxa"/>
              <w:bottom w:w="113" w:type="dxa"/>
            </w:tcMar>
          </w:tcPr>
          <w:p w:rsidR="00AE2027" w:rsidRPr="00356C80" w:rsidRDefault="00AE2027" w:rsidP="00AB5A30">
            <w:pPr>
              <w:tabs>
                <w:tab w:val="left" w:pos="72"/>
              </w:tabs>
              <w:rPr>
                <w:rFonts w:cs="Arial"/>
                <w:b/>
              </w:rPr>
            </w:pPr>
            <w:r w:rsidRPr="00356C80">
              <w:rPr>
                <w:rFonts w:cs="Arial"/>
                <w:b/>
              </w:rPr>
              <w:t xml:space="preserve">8.0 Program Resources </w:t>
            </w:r>
          </w:p>
        </w:tc>
        <w:tc>
          <w:tcPr>
            <w:tcW w:w="6379" w:type="dxa"/>
            <w:gridSpan w:val="2"/>
            <w:shd w:val="clear" w:color="auto" w:fill="C0C0C0"/>
            <w:tcMar>
              <w:top w:w="113" w:type="dxa"/>
              <w:bottom w:w="113" w:type="dxa"/>
            </w:tcMar>
          </w:tcPr>
          <w:p w:rsidR="00AE2027" w:rsidRPr="00356C80" w:rsidRDefault="00AE2027" w:rsidP="00AB5A30">
            <w:pPr>
              <w:rPr>
                <w:rFonts w:cs="Arial"/>
                <w:b/>
              </w:rPr>
            </w:pPr>
            <w:r w:rsidRPr="00356C80">
              <w:rPr>
                <w:rFonts w:cs="Arial"/>
                <w:b/>
              </w:rPr>
              <w:t>Summary of Key Findings</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rsidR="00AE2027" w:rsidRPr="00356C80" w:rsidRDefault="00AE2027" w:rsidP="00AB5A30">
            <w:pPr>
              <w:pStyle w:val="Title"/>
              <w:ind w:left="360" w:hanging="360"/>
              <w:jc w:val="left"/>
              <w:rPr>
                <w:rFonts w:ascii="Arial" w:hAnsi="Arial" w:cs="Arial"/>
                <w:b/>
                <w:sz w:val="20"/>
              </w:rPr>
            </w:pPr>
          </w:p>
          <w:p w:rsidR="00AE2027" w:rsidRPr="00356C80" w:rsidRDefault="00AE2027" w:rsidP="00AB5A30">
            <w:pPr>
              <w:pStyle w:val="Title"/>
              <w:ind w:left="360" w:hanging="360"/>
              <w:jc w:val="left"/>
              <w:rPr>
                <w:rFonts w:ascii="Arial" w:hAnsi="Arial" w:cs="Arial"/>
                <w:b/>
                <w:bCs/>
                <w:sz w:val="20"/>
              </w:rPr>
            </w:pPr>
            <w:r w:rsidRPr="00356C80">
              <w:rPr>
                <w:rFonts w:ascii="Arial" w:hAnsi="Arial" w:cs="Arial"/>
                <w:b/>
                <w:bCs/>
                <w:sz w:val="20"/>
              </w:rPr>
              <w:t>Review / discuss:</w:t>
            </w:r>
          </w:p>
          <w:p w:rsidR="00AE2027" w:rsidRPr="00356C80" w:rsidRDefault="00AE2027" w:rsidP="00AB5A30">
            <w:pPr>
              <w:pStyle w:val="Title"/>
              <w:ind w:left="360" w:hanging="360"/>
              <w:jc w:val="left"/>
              <w:rPr>
                <w:rFonts w:ascii="Arial" w:hAnsi="Arial" w:cs="Arial"/>
                <w:b/>
                <w:bCs/>
                <w:sz w:val="20"/>
              </w:rPr>
            </w:pPr>
          </w:p>
          <w:p w:rsidR="00AE2027" w:rsidRDefault="00AE2027" w:rsidP="00EA4DDF">
            <w:pPr>
              <w:pStyle w:val="Title"/>
              <w:numPr>
                <w:ilvl w:val="0"/>
                <w:numId w:val="18"/>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rsidR="00AE2027" w:rsidRPr="00356C80" w:rsidRDefault="00AE2027" w:rsidP="006F46E4">
            <w:pPr>
              <w:pStyle w:val="Title"/>
              <w:ind w:left="360"/>
              <w:jc w:val="left"/>
              <w:rPr>
                <w:rFonts w:ascii="Arial" w:hAnsi="Arial" w:cs="Arial"/>
                <w:sz w:val="20"/>
              </w:rPr>
            </w:pPr>
          </w:p>
          <w:p w:rsidR="00AE2027" w:rsidRDefault="00AE2027"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 xml:space="preserve">Profile of the Dean, faculty, and staff associated with the program including cumulative credentials, scholarship, work-related and teaching experience, and expertise in education </w:t>
            </w:r>
          </w:p>
          <w:p w:rsidR="00AE2027" w:rsidRDefault="00AE2027" w:rsidP="006F46E4">
            <w:pPr>
              <w:pStyle w:val="ListParagraph"/>
              <w:rPr>
                <w:rFonts w:cs="Arial"/>
                <w:sz w:val="20"/>
              </w:rPr>
            </w:pPr>
          </w:p>
          <w:p w:rsidR="00AE2027" w:rsidRDefault="00AE2027"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rsidR="00AE2027" w:rsidRPr="00356C80" w:rsidRDefault="00AE2027" w:rsidP="006F46E4">
            <w:pPr>
              <w:pStyle w:val="Title"/>
              <w:jc w:val="left"/>
              <w:rPr>
                <w:rFonts w:ascii="Arial" w:hAnsi="Arial" w:cs="Arial"/>
                <w:sz w:val="20"/>
              </w:rPr>
            </w:pPr>
          </w:p>
          <w:p w:rsidR="00AE2027" w:rsidRDefault="00AE2027"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 xml:space="preserve">Contributions to the professional community or industry by program-associated faculty and staff including board / committee service, </w:t>
            </w:r>
            <w:r w:rsidRPr="00356C80">
              <w:rPr>
                <w:rFonts w:ascii="Arial" w:hAnsi="Arial" w:cs="Arial"/>
                <w:sz w:val="20"/>
              </w:rPr>
              <w:lastRenderedPageBreak/>
              <w:t>research, and presentations / publications</w:t>
            </w:r>
          </w:p>
          <w:p w:rsidR="00AE2027" w:rsidRDefault="00AE2027" w:rsidP="006F46E4">
            <w:pPr>
              <w:pStyle w:val="ListParagraph"/>
              <w:rPr>
                <w:rFonts w:cs="Arial"/>
                <w:sz w:val="20"/>
              </w:rPr>
            </w:pPr>
          </w:p>
          <w:p w:rsidR="00AE2027" w:rsidRPr="006F46E4" w:rsidRDefault="00AE2027" w:rsidP="00AB5A30">
            <w:pPr>
              <w:pStyle w:val="Title"/>
              <w:numPr>
                <w:ilvl w:val="0"/>
                <w:numId w:val="18"/>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rsidR="00AE2027" w:rsidRDefault="00AE2027" w:rsidP="00AB5A30">
            <w:pPr>
              <w:pStyle w:val="Title"/>
              <w:ind w:left="357" w:hanging="73"/>
              <w:jc w:val="left"/>
              <w:rPr>
                <w:rFonts w:ascii="Arial" w:hAnsi="Arial" w:cs="Arial"/>
                <w:sz w:val="20"/>
              </w:rPr>
            </w:pPr>
            <w:r w:rsidRPr="00356C80">
              <w:rPr>
                <w:rFonts w:ascii="Arial" w:hAnsi="Arial" w:cs="Arial"/>
                <w:sz w:val="20"/>
              </w:rPr>
              <w:t xml:space="preserve"> numbers, curriculum, delivery modes and areas of specialization / generalization</w:t>
            </w:r>
          </w:p>
          <w:p w:rsidR="00AE2027" w:rsidRPr="00356C80" w:rsidRDefault="00AE2027" w:rsidP="006F46E4">
            <w:pPr>
              <w:pStyle w:val="Title"/>
              <w:jc w:val="left"/>
              <w:rPr>
                <w:rFonts w:ascii="Arial" w:hAnsi="Arial" w:cs="Arial"/>
                <w:sz w:val="20"/>
              </w:rPr>
            </w:pPr>
          </w:p>
          <w:p w:rsidR="00AE2027" w:rsidRDefault="00AE2027"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rsidR="00AE2027" w:rsidRPr="00356C80" w:rsidRDefault="00AE2027" w:rsidP="006F46E4">
            <w:pPr>
              <w:pStyle w:val="Title"/>
              <w:ind w:left="360"/>
              <w:jc w:val="left"/>
              <w:rPr>
                <w:rFonts w:ascii="Arial" w:hAnsi="Arial" w:cs="Arial"/>
                <w:sz w:val="20"/>
              </w:rPr>
            </w:pPr>
          </w:p>
          <w:p w:rsidR="00AE2027" w:rsidRPr="00356C80" w:rsidRDefault="00AE2027" w:rsidP="00EA4DDF">
            <w:pPr>
              <w:pStyle w:val="Title"/>
              <w:numPr>
                <w:ilvl w:val="0"/>
                <w:numId w:val="18"/>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rsidR="00AE2027" w:rsidRPr="00356C80" w:rsidRDefault="00AE2027" w:rsidP="00AB5A30">
            <w:pPr>
              <w:tabs>
                <w:tab w:val="left" w:pos="0"/>
              </w:tabs>
              <w:ind w:left="360" w:hanging="360"/>
              <w:rPr>
                <w:rFonts w:cs="Arial"/>
                <w:b/>
                <w:sz w:val="20"/>
              </w:rPr>
            </w:pPr>
          </w:p>
        </w:tc>
        <w:tc>
          <w:tcPr>
            <w:tcW w:w="6379" w:type="dxa"/>
            <w:gridSpan w:val="2"/>
            <w:shd w:val="clear" w:color="auto" w:fill="auto"/>
            <w:tcMar>
              <w:top w:w="113" w:type="dxa"/>
              <w:bottom w:w="113" w:type="dxa"/>
            </w:tcMar>
          </w:tcPr>
          <w:p w:rsidR="006A141E" w:rsidRDefault="006A141E" w:rsidP="00EB4A33">
            <w:pPr>
              <w:ind w:left="360" w:hanging="360"/>
              <w:rPr>
                <w:sz w:val="20"/>
                <w:lang w:val="en-CA"/>
              </w:rPr>
            </w:pPr>
            <w:r>
              <w:rPr>
                <w:sz w:val="20"/>
                <w:lang w:val="en-CA"/>
              </w:rPr>
              <w:lastRenderedPageBreak/>
              <w:t>Resumes of faculty in the program have been updated and are included in the program review file.</w:t>
            </w:r>
          </w:p>
          <w:p w:rsidR="006A141E" w:rsidRDefault="006A141E" w:rsidP="00EB4A33">
            <w:pPr>
              <w:ind w:left="360" w:hanging="360"/>
              <w:rPr>
                <w:sz w:val="20"/>
                <w:lang w:val="en-CA"/>
              </w:rPr>
            </w:pPr>
          </w:p>
          <w:p w:rsidR="006A141E" w:rsidRDefault="006A141E" w:rsidP="00EB4A33">
            <w:pPr>
              <w:ind w:left="360" w:hanging="360"/>
              <w:rPr>
                <w:sz w:val="20"/>
                <w:lang w:val="en-CA"/>
              </w:rPr>
            </w:pPr>
            <w:r>
              <w:rPr>
                <w:sz w:val="20"/>
                <w:lang w:val="en-CA"/>
              </w:rPr>
              <w:t>A review of the current state has:</w:t>
            </w:r>
          </w:p>
          <w:p w:rsidR="006A141E" w:rsidRDefault="006A141E" w:rsidP="00EB4A33">
            <w:pPr>
              <w:ind w:left="360" w:hanging="360"/>
              <w:rPr>
                <w:sz w:val="20"/>
                <w:lang w:val="en-CA"/>
              </w:rPr>
            </w:pPr>
          </w:p>
          <w:p w:rsidR="00EB4A33" w:rsidRPr="006669E4" w:rsidRDefault="00EB4A33" w:rsidP="00EB4A33">
            <w:pPr>
              <w:ind w:left="360" w:hanging="360"/>
              <w:rPr>
                <w:sz w:val="20"/>
                <w:lang w:val="en-CA"/>
              </w:rPr>
            </w:pPr>
            <w:r w:rsidRPr="006669E4">
              <w:rPr>
                <w:sz w:val="20"/>
                <w:lang w:val="en-CA"/>
              </w:rPr>
              <w:t>-identif</w:t>
            </w:r>
            <w:r>
              <w:rPr>
                <w:sz w:val="20"/>
                <w:lang w:val="en-CA"/>
              </w:rPr>
              <w:t>ied</w:t>
            </w:r>
            <w:r w:rsidRPr="006669E4">
              <w:rPr>
                <w:sz w:val="20"/>
                <w:lang w:val="en-CA"/>
              </w:rPr>
              <w:t xml:space="preserve"> need for dedicated program technician</w:t>
            </w:r>
          </w:p>
          <w:p w:rsidR="00EB4A33" w:rsidRPr="006669E4" w:rsidRDefault="00EB4A33" w:rsidP="00EB4A33">
            <w:pPr>
              <w:ind w:left="360" w:hanging="360"/>
              <w:rPr>
                <w:sz w:val="20"/>
                <w:lang w:val="en-CA"/>
              </w:rPr>
            </w:pPr>
            <w:r w:rsidRPr="006669E4">
              <w:rPr>
                <w:sz w:val="20"/>
                <w:lang w:val="en-CA"/>
              </w:rPr>
              <w:t>-identif</w:t>
            </w:r>
            <w:r>
              <w:rPr>
                <w:sz w:val="20"/>
                <w:lang w:val="en-CA"/>
              </w:rPr>
              <w:t>ied</w:t>
            </w:r>
            <w:r w:rsidRPr="006669E4">
              <w:rPr>
                <w:sz w:val="20"/>
                <w:lang w:val="en-CA"/>
              </w:rPr>
              <w:t xml:space="preserve"> need for succession planning (retirement)</w:t>
            </w:r>
          </w:p>
          <w:p w:rsidR="00AE2027" w:rsidRDefault="00EB4A33" w:rsidP="00EB4A33">
            <w:pPr>
              <w:ind w:left="360" w:hanging="360"/>
              <w:rPr>
                <w:sz w:val="20"/>
                <w:lang w:val="en-CA"/>
              </w:rPr>
            </w:pPr>
            <w:r w:rsidRPr="006669E4">
              <w:rPr>
                <w:sz w:val="20"/>
                <w:lang w:val="en-CA"/>
              </w:rPr>
              <w:t>-develop 3 yr individual PD plan for faculty and staff</w:t>
            </w:r>
          </w:p>
          <w:p w:rsidR="006A141E" w:rsidRDefault="006A141E" w:rsidP="00EB4A33">
            <w:pPr>
              <w:ind w:left="360" w:hanging="360"/>
              <w:rPr>
                <w:sz w:val="20"/>
                <w:lang w:val="en-CA"/>
              </w:rPr>
            </w:pPr>
          </w:p>
          <w:p w:rsidR="00EB4A33" w:rsidRDefault="00CF6E79" w:rsidP="00EB4A33">
            <w:pPr>
              <w:ind w:left="360" w:hanging="360"/>
              <w:rPr>
                <w:sz w:val="20"/>
                <w:lang w:val="en-CA"/>
              </w:rPr>
            </w:pPr>
            <w:r>
              <w:rPr>
                <w:sz w:val="20"/>
                <w:lang w:val="en-CA"/>
              </w:rPr>
              <w:t>Scott Heard is currently participating in the college’s in-service teacher training.</w:t>
            </w:r>
          </w:p>
          <w:p w:rsidR="00EB4A33" w:rsidRDefault="00EB4A33" w:rsidP="00EB4A33">
            <w:pPr>
              <w:ind w:left="360" w:hanging="360"/>
              <w:rPr>
                <w:sz w:val="20"/>
                <w:lang w:val="en-CA"/>
              </w:rPr>
            </w:pPr>
            <w:r>
              <w:rPr>
                <w:sz w:val="20"/>
                <w:lang w:val="en-CA"/>
              </w:rPr>
              <w:t>Carmen Moore was awarded the Pascal Award for Teaching Excellence</w:t>
            </w:r>
            <w:r w:rsidR="006A141E">
              <w:rPr>
                <w:sz w:val="20"/>
                <w:lang w:val="en-CA"/>
              </w:rPr>
              <w:t>.</w:t>
            </w:r>
          </w:p>
          <w:p w:rsidR="00EF15B4" w:rsidRDefault="00EF15B4" w:rsidP="00EB4A33">
            <w:pPr>
              <w:ind w:left="360" w:hanging="360"/>
              <w:rPr>
                <w:sz w:val="20"/>
                <w:lang w:val="en-CA"/>
              </w:rPr>
            </w:pPr>
          </w:p>
          <w:p w:rsidR="00CF6E79" w:rsidRDefault="00CF6E79" w:rsidP="00EB4A33">
            <w:pPr>
              <w:ind w:left="360" w:hanging="360"/>
              <w:rPr>
                <w:sz w:val="20"/>
                <w:lang w:val="en-CA"/>
              </w:rPr>
            </w:pPr>
          </w:p>
          <w:p w:rsidR="00CF6E79" w:rsidRDefault="00CF6E79" w:rsidP="00CF6E79">
            <w:pPr>
              <w:ind w:left="360" w:hanging="360"/>
              <w:rPr>
                <w:sz w:val="20"/>
                <w:lang w:val="en-CA"/>
              </w:rPr>
            </w:pPr>
            <w:r>
              <w:rPr>
                <w:sz w:val="20"/>
                <w:lang w:val="en-CA"/>
              </w:rPr>
              <w:t xml:space="preserve">The program does </w:t>
            </w:r>
            <w:r w:rsidR="00A20F09">
              <w:rPr>
                <w:sz w:val="20"/>
                <w:lang w:val="en-CA"/>
              </w:rPr>
              <w:t>in</w:t>
            </w:r>
            <w:r>
              <w:rPr>
                <w:sz w:val="20"/>
                <w:lang w:val="en-CA"/>
              </w:rPr>
              <w:t>corporate training for Enbridge, Holcim, and OPG. A new program is being developed for the City of Kawartha Lakes.</w:t>
            </w:r>
          </w:p>
          <w:p w:rsidR="006A141E" w:rsidRDefault="006A141E" w:rsidP="00CF6E79">
            <w:pPr>
              <w:ind w:left="360" w:hanging="360"/>
              <w:rPr>
                <w:sz w:val="20"/>
                <w:lang w:val="en-CA"/>
              </w:rPr>
            </w:pPr>
            <w:r>
              <w:rPr>
                <w:sz w:val="20"/>
                <w:lang w:val="en-CA"/>
              </w:rPr>
              <w:lastRenderedPageBreak/>
              <w:t>The program is a member of the Canadian Association of Equipment Distributors.</w:t>
            </w:r>
          </w:p>
          <w:p w:rsidR="00CF6E79" w:rsidRDefault="00CF6E79" w:rsidP="00EB4A33">
            <w:pPr>
              <w:ind w:left="360" w:hanging="360"/>
              <w:rPr>
                <w:rFonts w:cs="Arial"/>
                <w:b/>
                <w:szCs w:val="22"/>
              </w:rPr>
            </w:pPr>
          </w:p>
          <w:p w:rsidR="006A141E" w:rsidRPr="006A141E" w:rsidRDefault="006A141E" w:rsidP="00EB4A33">
            <w:pPr>
              <w:ind w:left="360" w:hanging="360"/>
              <w:rPr>
                <w:rFonts w:cs="Arial"/>
                <w:sz w:val="20"/>
              </w:rPr>
            </w:pPr>
            <w:r w:rsidRPr="006A141E">
              <w:rPr>
                <w:rFonts w:cs="Arial"/>
                <w:sz w:val="20"/>
              </w:rPr>
              <w:t>With a continued increase in student numbers, space is becoming an issue.</w:t>
            </w:r>
          </w:p>
          <w:p w:rsidR="006A141E" w:rsidRPr="006A141E" w:rsidRDefault="006A141E" w:rsidP="00EB4A33">
            <w:pPr>
              <w:ind w:left="360" w:hanging="360"/>
              <w:rPr>
                <w:rFonts w:cs="Arial"/>
                <w:sz w:val="20"/>
              </w:rPr>
            </w:pPr>
          </w:p>
          <w:p w:rsidR="006A141E" w:rsidRPr="00356C80" w:rsidRDefault="006A141E" w:rsidP="00EB4A33">
            <w:pPr>
              <w:ind w:left="360" w:hanging="360"/>
              <w:rPr>
                <w:rFonts w:cs="Arial"/>
                <w:b/>
                <w:szCs w:val="22"/>
              </w:rPr>
            </w:pPr>
            <w:r w:rsidRPr="006A141E">
              <w:rPr>
                <w:rFonts w:cs="Arial"/>
                <w:sz w:val="20"/>
              </w:rPr>
              <w:t>There will be a need for more technicians if the numbers continue to increase.</w:t>
            </w:r>
          </w:p>
        </w:tc>
      </w:tr>
      <w:tr w:rsidR="00AE2027" w:rsidRPr="00356C80" w:rsidTr="000715B2">
        <w:tblPrEx>
          <w:shd w:val="clear" w:color="auto" w:fill="auto"/>
          <w:tblCellMar>
            <w:top w:w="0" w:type="dxa"/>
            <w:left w:w="108" w:type="dxa"/>
            <w:bottom w:w="0" w:type="dxa"/>
            <w:right w:w="108" w:type="dxa"/>
          </w:tblCellMar>
          <w:tblLook w:val="01E0" w:firstRow="1" w:lastRow="1" w:firstColumn="1" w:lastColumn="1" w:noHBand="0" w:noVBand="0"/>
        </w:tblPrEx>
        <w:trPr>
          <w:gridAfter w:val="1"/>
          <w:wAfter w:w="60" w:type="dxa"/>
        </w:trPr>
        <w:tc>
          <w:tcPr>
            <w:tcW w:w="6663" w:type="dxa"/>
            <w:gridSpan w:val="2"/>
            <w:shd w:val="clear" w:color="auto" w:fill="auto"/>
            <w:tcMar>
              <w:top w:w="113" w:type="dxa"/>
              <w:bottom w:w="113" w:type="dxa"/>
            </w:tcMar>
          </w:tcPr>
          <w:p w:rsidR="00AE2027" w:rsidRPr="00356C80" w:rsidRDefault="00AE2027" w:rsidP="00AB5A30">
            <w:pPr>
              <w:ind w:left="360" w:hanging="360"/>
              <w:rPr>
                <w:rFonts w:cs="Arial"/>
                <w:b/>
                <w:sz w:val="20"/>
              </w:rPr>
            </w:pPr>
            <w:r w:rsidRPr="00356C80">
              <w:rPr>
                <w:rFonts w:cs="Arial"/>
                <w:b/>
                <w:sz w:val="20"/>
              </w:rPr>
              <w:lastRenderedPageBreak/>
              <w:t>8.2 Physical Resources</w:t>
            </w:r>
          </w:p>
          <w:p w:rsidR="00AE2027" w:rsidRPr="00356C80" w:rsidRDefault="00AE2027" w:rsidP="00AB5A30">
            <w:pPr>
              <w:ind w:left="360" w:hanging="360"/>
              <w:rPr>
                <w:rFonts w:cs="Arial"/>
                <w:b/>
                <w:sz w:val="20"/>
              </w:rPr>
            </w:pPr>
          </w:p>
          <w:p w:rsidR="00AE2027" w:rsidRPr="00356C80" w:rsidRDefault="00AE2027" w:rsidP="00AB5A30">
            <w:pPr>
              <w:ind w:left="360" w:hanging="360"/>
              <w:rPr>
                <w:rFonts w:cs="Arial"/>
                <w:b/>
                <w:bCs/>
                <w:sz w:val="20"/>
              </w:rPr>
            </w:pPr>
            <w:r w:rsidRPr="00356C80">
              <w:rPr>
                <w:rFonts w:cs="Arial"/>
                <w:b/>
                <w:bCs/>
                <w:sz w:val="20"/>
              </w:rPr>
              <w:t>Review / discuss:</w:t>
            </w:r>
          </w:p>
          <w:p w:rsidR="00AE2027" w:rsidRPr="00356C80" w:rsidRDefault="00AE2027" w:rsidP="00AB5A30">
            <w:pPr>
              <w:ind w:left="360" w:hanging="360"/>
              <w:rPr>
                <w:rFonts w:cs="Arial"/>
                <w:b/>
                <w:bCs/>
                <w:sz w:val="20"/>
              </w:rPr>
            </w:pPr>
          </w:p>
          <w:p w:rsidR="00AE2027" w:rsidRDefault="00AE2027" w:rsidP="00EA4DDF">
            <w:pPr>
              <w:numPr>
                <w:ilvl w:val="0"/>
                <w:numId w:val="19"/>
              </w:numPr>
              <w:tabs>
                <w:tab w:val="clear" w:pos="720"/>
                <w:tab w:val="num" w:pos="360"/>
              </w:tabs>
              <w:ind w:left="360"/>
              <w:rPr>
                <w:rFonts w:cs="Arial"/>
                <w:sz w:val="20"/>
              </w:rPr>
            </w:pPr>
            <w:r w:rsidRPr="00356C80">
              <w:rPr>
                <w:rFonts w:cs="Arial"/>
                <w:sz w:val="20"/>
              </w:rPr>
              <w:t>Program costing information</w:t>
            </w:r>
          </w:p>
          <w:p w:rsidR="00AE2027" w:rsidRPr="00356C80" w:rsidRDefault="00AE2027" w:rsidP="006F46E4">
            <w:pPr>
              <w:ind w:left="360"/>
              <w:rPr>
                <w:rFonts w:cs="Arial"/>
                <w:sz w:val="20"/>
              </w:rPr>
            </w:pPr>
          </w:p>
          <w:p w:rsidR="00AE2027" w:rsidRDefault="00AE2027" w:rsidP="00EA4DDF">
            <w:pPr>
              <w:numPr>
                <w:ilvl w:val="0"/>
                <w:numId w:val="19"/>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rsidR="00AE2027" w:rsidRDefault="00AE2027" w:rsidP="006F46E4">
            <w:pPr>
              <w:pStyle w:val="ListParagraph"/>
              <w:rPr>
                <w:rFonts w:cs="Arial"/>
                <w:sz w:val="20"/>
              </w:rPr>
            </w:pPr>
          </w:p>
          <w:p w:rsidR="00AE2027" w:rsidRDefault="00AE2027" w:rsidP="00EA4DDF">
            <w:pPr>
              <w:numPr>
                <w:ilvl w:val="0"/>
                <w:numId w:val="19"/>
              </w:numPr>
              <w:tabs>
                <w:tab w:val="clear" w:pos="720"/>
                <w:tab w:val="num" w:pos="360"/>
              </w:tabs>
              <w:ind w:left="360"/>
              <w:rPr>
                <w:rFonts w:cs="Arial"/>
                <w:sz w:val="20"/>
              </w:rPr>
            </w:pPr>
            <w:r w:rsidRPr="00356C80">
              <w:rPr>
                <w:rFonts w:cs="Arial"/>
                <w:sz w:val="20"/>
              </w:rPr>
              <w:t>The adequacy of above resources in the context of program outcomes, program currency, and student numbers</w:t>
            </w:r>
          </w:p>
          <w:p w:rsidR="00AE2027" w:rsidRDefault="00AE2027" w:rsidP="006F46E4">
            <w:pPr>
              <w:pStyle w:val="ListParagraph"/>
              <w:rPr>
                <w:rFonts w:cs="Arial"/>
                <w:sz w:val="20"/>
              </w:rPr>
            </w:pPr>
          </w:p>
          <w:p w:rsidR="00AE2027" w:rsidRDefault="00AE2027" w:rsidP="00EA4DDF">
            <w:pPr>
              <w:numPr>
                <w:ilvl w:val="0"/>
                <w:numId w:val="19"/>
              </w:numPr>
              <w:tabs>
                <w:tab w:val="clear" w:pos="720"/>
                <w:tab w:val="num" w:pos="360"/>
              </w:tabs>
              <w:ind w:left="360"/>
              <w:rPr>
                <w:rFonts w:cs="Arial"/>
                <w:sz w:val="20"/>
              </w:rPr>
            </w:pPr>
            <w:r w:rsidRPr="00356C80">
              <w:rPr>
                <w:rFonts w:cs="Arial"/>
                <w:sz w:val="20"/>
              </w:rPr>
              <w:t>Program specific external revenue such as sponsorships, grants, donations or gifts-in-kind</w:t>
            </w:r>
          </w:p>
          <w:p w:rsidR="00AE2027" w:rsidRDefault="00AE2027" w:rsidP="006F46E4">
            <w:pPr>
              <w:pStyle w:val="ListParagraph"/>
              <w:rPr>
                <w:rFonts w:cs="Arial"/>
                <w:sz w:val="20"/>
              </w:rPr>
            </w:pPr>
          </w:p>
          <w:p w:rsidR="00AE2027" w:rsidRPr="00356C80" w:rsidRDefault="00AE2027" w:rsidP="00EA4DDF">
            <w:pPr>
              <w:numPr>
                <w:ilvl w:val="0"/>
                <w:numId w:val="19"/>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6379" w:type="dxa"/>
            <w:gridSpan w:val="2"/>
            <w:shd w:val="clear" w:color="auto" w:fill="auto"/>
            <w:tcMar>
              <w:top w:w="113" w:type="dxa"/>
              <w:bottom w:w="113" w:type="dxa"/>
            </w:tcMar>
          </w:tcPr>
          <w:p w:rsidR="00EF15B4" w:rsidRDefault="00EF15B4" w:rsidP="00EB4A33">
            <w:pPr>
              <w:ind w:left="360" w:hanging="360"/>
              <w:rPr>
                <w:sz w:val="20"/>
                <w:lang w:val="en-CA"/>
              </w:rPr>
            </w:pPr>
          </w:p>
          <w:p w:rsidR="00202D54" w:rsidRDefault="00202D54" w:rsidP="00EB4A33">
            <w:pPr>
              <w:ind w:left="360" w:hanging="360"/>
              <w:rPr>
                <w:sz w:val="20"/>
                <w:lang w:val="en-CA"/>
              </w:rPr>
            </w:pPr>
            <w:r>
              <w:rPr>
                <w:sz w:val="20"/>
                <w:lang w:val="en-CA"/>
              </w:rPr>
              <w:t>(see attached</w:t>
            </w:r>
            <w:r w:rsidR="003E2B77">
              <w:rPr>
                <w:sz w:val="20"/>
                <w:lang w:val="en-CA"/>
              </w:rPr>
              <w:t xml:space="preserve"> for program costing for 2012</w:t>
            </w:r>
            <w:r w:rsidR="00D4321F">
              <w:rPr>
                <w:sz w:val="20"/>
                <w:lang w:val="en-CA"/>
              </w:rPr>
              <w:t>*</w:t>
            </w:r>
            <w:r>
              <w:rPr>
                <w:sz w:val="20"/>
                <w:lang w:val="en-CA"/>
              </w:rPr>
              <w:t>)</w:t>
            </w:r>
          </w:p>
          <w:p w:rsidR="00D4321F" w:rsidRPr="006669E4" w:rsidRDefault="00D4321F" w:rsidP="00EB4A33">
            <w:pPr>
              <w:ind w:left="360" w:hanging="360"/>
              <w:rPr>
                <w:sz w:val="20"/>
                <w:lang w:val="en-CA"/>
              </w:rPr>
            </w:pPr>
          </w:p>
          <w:p w:rsidR="00EF15B4" w:rsidRPr="006669E4" w:rsidRDefault="00C70871" w:rsidP="00EB4A33">
            <w:pPr>
              <w:ind w:left="360" w:hanging="360"/>
              <w:rPr>
                <w:sz w:val="20"/>
                <w:lang w:val="en-CA"/>
              </w:rPr>
            </w:pPr>
            <w:r>
              <w:rPr>
                <w:sz w:val="20"/>
                <w:lang w:val="en-CA"/>
              </w:rPr>
              <w:t>In 2010, an expansion proposal was developed.  This is included in the program review file.</w:t>
            </w:r>
            <w:r w:rsidRPr="006669E4">
              <w:rPr>
                <w:sz w:val="20"/>
                <w:lang w:val="en-CA"/>
              </w:rPr>
              <w:t xml:space="preserve"> </w:t>
            </w:r>
          </w:p>
          <w:p w:rsidR="00AE2027" w:rsidRDefault="00EB4A33" w:rsidP="00EB4A33">
            <w:pPr>
              <w:ind w:left="360" w:hanging="360"/>
              <w:rPr>
                <w:sz w:val="20"/>
                <w:lang w:val="en-CA"/>
              </w:rPr>
            </w:pPr>
            <w:r w:rsidRPr="006669E4">
              <w:rPr>
                <w:sz w:val="20"/>
                <w:lang w:val="en-CA"/>
              </w:rPr>
              <w:t>-maximized utilization of current facility</w:t>
            </w:r>
          </w:p>
          <w:p w:rsidR="00EF15B4" w:rsidRDefault="00EF15B4" w:rsidP="00EB4A33">
            <w:pPr>
              <w:ind w:left="360" w:hanging="360"/>
              <w:rPr>
                <w:sz w:val="20"/>
                <w:lang w:val="en-CA"/>
              </w:rPr>
            </w:pPr>
          </w:p>
          <w:p w:rsidR="00D4321F" w:rsidRDefault="00D4321F" w:rsidP="00D4321F">
            <w:pPr>
              <w:ind w:left="360" w:hanging="360"/>
              <w:rPr>
                <w:sz w:val="20"/>
                <w:lang w:val="en-CA"/>
              </w:rPr>
            </w:pPr>
            <w:r>
              <w:rPr>
                <w:sz w:val="20"/>
                <w:lang w:val="en-CA"/>
              </w:rPr>
              <w:t>-with increased student numbers, more diagnostic equipment is required.</w:t>
            </w:r>
          </w:p>
          <w:p w:rsidR="00D4321F" w:rsidRPr="00356C80" w:rsidRDefault="00D4321F" w:rsidP="00D4321F">
            <w:pPr>
              <w:ind w:left="360" w:hanging="360"/>
              <w:rPr>
                <w:rFonts w:cs="Arial"/>
                <w:b/>
                <w:szCs w:val="22"/>
              </w:rPr>
            </w:pPr>
            <w:r>
              <w:rPr>
                <w:sz w:val="20"/>
                <w:lang w:val="en-CA"/>
              </w:rPr>
              <w:t>-current equipment is both donated and purchased.</w:t>
            </w:r>
          </w:p>
          <w:p w:rsidR="00EF15B4" w:rsidRPr="00356C80" w:rsidRDefault="00EF15B4" w:rsidP="00D4321F">
            <w:pPr>
              <w:ind w:left="360" w:hanging="360"/>
              <w:rPr>
                <w:rFonts w:cs="Arial"/>
                <w:b/>
                <w:szCs w:val="22"/>
              </w:rPr>
            </w:pPr>
          </w:p>
        </w:tc>
      </w:tr>
    </w:tbl>
    <w:p w:rsidR="00EA4DDF" w:rsidRPr="00ED4E12" w:rsidRDefault="00EA4DDF" w:rsidP="00EA4DDF">
      <w:pPr>
        <w:rPr>
          <w:lang w:val="en-CA"/>
        </w:rPr>
      </w:pPr>
    </w:p>
    <w:p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rsidR="00EA4DDF" w:rsidRPr="00CA49A8" w:rsidRDefault="00EA4DDF" w:rsidP="00EA4DDF">
      <w:pPr>
        <w:rPr>
          <w:rFonts w:cs="Arial"/>
          <w:b/>
        </w:rPr>
        <w:sectPr w:rsidR="00EA4DDF" w:rsidRPr="00CA49A8" w:rsidSect="00EB4375">
          <w:headerReference w:type="default" r:id="rId7"/>
          <w:footerReference w:type="even" r:id="rId8"/>
          <w:footerReference w:type="default" r:id="rId9"/>
          <w:pgSz w:w="15840" w:h="12240" w:orient="landscape"/>
          <w:pgMar w:top="851" w:right="1440" w:bottom="851" w:left="1560" w:header="709" w:footer="709" w:gutter="0"/>
          <w:cols w:space="708"/>
          <w:docGrid w:linePitch="360"/>
        </w:sectPr>
      </w:pPr>
    </w:p>
    <w:p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rsidR="00EA4DDF" w:rsidRDefault="00EA4DDF" w:rsidP="00EA4DDF">
      <w:pPr>
        <w:rPr>
          <w:rFonts w:cs="Arial"/>
          <w:b/>
        </w:rPr>
      </w:pPr>
    </w:p>
    <w:p w:rsidR="00EA4DDF" w:rsidRPr="00DC1597" w:rsidRDefault="00EA4DDF" w:rsidP="00EA4DDF">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rsidR="00EA4DDF" w:rsidRPr="00DC1597" w:rsidRDefault="00EA4DDF" w:rsidP="00EA4DDF">
      <w:pPr>
        <w:rPr>
          <w:rFonts w:cs="Arial"/>
          <w:b/>
        </w:rPr>
      </w:pPr>
    </w:p>
    <w:tbl>
      <w:tblPr>
        <w:tblW w:w="927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95"/>
        <w:gridCol w:w="1165"/>
        <w:gridCol w:w="880"/>
        <w:gridCol w:w="3240"/>
        <w:gridCol w:w="608"/>
        <w:gridCol w:w="652"/>
        <w:gridCol w:w="1205"/>
        <w:gridCol w:w="1430"/>
      </w:tblGrid>
      <w:tr w:rsidR="00EA4DDF"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p>
          <w:p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rsidR="00EA4DDF" w:rsidRPr="00356C80" w:rsidRDefault="00EA4DDF" w:rsidP="00AB5A30">
            <w:pPr>
              <w:pStyle w:val="Title"/>
              <w:rPr>
                <w:rFonts w:ascii="Arial" w:hAnsi="Arial" w:cs="Arial"/>
                <w:b/>
                <w:sz w:val="22"/>
                <w:szCs w:val="22"/>
              </w:rPr>
            </w:pPr>
          </w:p>
        </w:tc>
        <w:tc>
          <w:tcPr>
            <w:tcW w:w="1857"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rsidTr="00202D54">
        <w:trPr>
          <w:gridBefore w:val="1"/>
          <w:wBefore w:w="95" w:type="dxa"/>
        </w:trPr>
        <w:tc>
          <w:tcPr>
            <w:tcW w:w="9180" w:type="dxa"/>
            <w:gridSpan w:val="7"/>
            <w:tcBorders>
              <w:top w:val="single" w:sz="4" w:space="0" w:color="auto"/>
              <w:left w:val="single" w:sz="4" w:space="0" w:color="auto"/>
              <w:bottom w:val="single" w:sz="4" w:space="0" w:color="auto"/>
              <w:right w:val="single" w:sz="4" w:space="0" w:color="auto"/>
            </w:tcBorders>
            <w:shd w:val="clear" w:color="auto" w:fill="auto"/>
          </w:tcPr>
          <w:p w:rsidR="000715B2" w:rsidRPr="00360EEA" w:rsidRDefault="000715B2" w:rsidP="00AB5A30">
            <w:pPr>
              <w:pStyle w:val="Title"/>
              <w:jc w:val="left"/>
              <w:rPr>
                <w:rFonts w:ascii="Arial" w:hAnsi="Arial" w:cs="Arial"/>
                <w:b/>
                <w:sz w:val="20"/>
              </w:rPr>
            </w:pPr>
          </w:p>
          <w:p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0715B2"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CF27C4" w:rsidP="00AB5A30">
            <w:pPr>
              <w:pStyle w:val="Title"/>
              <w:jc w:val="left"/>
              <w:rPr>
                <w:rFonts w:ascii="Arial" w:hAnsi="Arial" w:cs="Arial"/>
                <w:b/>
                <w:sz w:val="20"/>
              </w:rPr>
            </w:pPr>
            <w:r>
              <w:rPr>
                <w:rFonts w:ascii="Arial" w:hAnsi="Arial" w:cs="Arial"/>
                <w:b/>
                <w:sz w:val="20"/>
              </w:rPr>
              <w:t>Remapping of courses to ensure compliance with MTCU standards.</w:t>
            </w:r>
          </w:p>
          <w:p w:rsidR="000715B2" w:rsidRPr="00356C80" w:rsidRDefault="000715B2"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0715B2" w:rsidRPr="00356C80" w:rsidRDefault="00CF27C4" w:rsidP="00AB5A30">
            <w:pPr>
              <w:pStyle w:val="Title"/>
              <w:jc w:val="left"/>
              <w:rPr>
                <w:rFonts w:ascii="Arial" w:hAnsi="Arial" w:cs="Arial"/>
                <w:b/>
                <w:sz w:val="22"/>
                <w:szCs w:val="22"/>
              </w:rPr>
            </w:pPr>
            <w:r>
              <w:rPr>
                <w:rFonts w:ascii="Arial" w:hAnsi="Arial" w:cs="Arial"/>
                <w:b/>
                <w:sz w:val="22"/>
                <w:szCs w:val="22"/>
              </w:rPr>
              <w:t>Co-ordinator/ CLT</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CF27C4" w:rsidP="00AB5A30">
            <w:pPr>
              <w:pStyle w:val="Title"/>
              <w:jc w:val="left"/>
              <w:rPr>
                <w:rFonts w:ascii="Arial" w:hAnsi="Arial" w:cs="Arial"/>
                <w:b/>
                <w:sz w:val="22"/>
                <w:szCs w:val="22"/>
              </w:rPr>
            </w:pPr>
            <w:r>
              <w:rPr>
                <w:rFonts w:ascii="Arial" w:hAnsi="Arial" w:cs="Arial"/>
                <w:b/>
                <w:sz w:val="22"/>
                <w:szCs w:val="22"/>
              </w:rPr>
              <w:t>Dec 2012</w:t>
            </w:r>
            <w:r w:rsidR="00C86731">
              <w:rPr>
                <w:rFonts w:ascii="Arial" w:hAnsi="Arial" w:cs="Arial"/>
                <w:b/>
                <w:sz w:val="22"/>
                <w:szCs w:val="22"/>
              </w:rPr>
              <w:t>/ completed Feb 2013</w:t>
            </w:r>
          </w:p>
        </w:tc>
      </w:tr>
      <w:tr w:rsidR="000715B2"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B63FD8" w:rsidP="00AB5A30">
            <w:pPr>
              <w:pStyle w:val="Title"/>
              <w:jc w:val="left"/>
              <w:rPr>
                <w:rFonts w:ascii="Arial" w:hAnsi="Arial" w:cs="Arial"/>
                <w:b/>
                <w:sz w:val="20"/>
              </w:rPr>
            </w:pPr>
            <w:r>
              <w:rPr>
                <w:rFonts w:ascii="Arial" w:hAnsi="Arial" w:cs="Arial"/>
                <w:b/>
                <w:sz w:val="20"/>
              </w:rPr>
              <w:t>Increase Faculty contact with industry</w:t>
            </w:r>
          </w:p>
          <w:p w:rsidR="000715B2" w:rsidRPr="00356C80" w:rsidRDefault="000715B2"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0715B2" w:rsidRPr="00356C80" w:rsidRDefault="00B63FD8" w:rsidP="00AB5A30">
            <w:pPr>
              <w:pStyle w:val="Title"/>
              <w:jc w:val="left"/>
              <w:rPr>
                <w:rFonts w:ascii="Arial" w:hAnsi="Arial" w:cs="Arial"/>
                <w:b/>
                <w:sz w:val="22"/>
                <w:szCs w:val="22"/>
              </w:rPr>
            </w:pPr>
            <w:r>
              <w:rPr>
                <w:rFonts w:ascii="Arial" w:hAnsi="Arial" w:cs="Arial"/>
                <w:b/>
                <w:sz w:val="22"/>
                <w:szCs w:val="22"/>
              </w:rPr>
              <w:t>Co-ordinator/ Faculty</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0715B2"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0715B2" w:rsidRDefault="000715B2" w:rsidP="00AB5A30">
            <w:pPr>
              <w:pStyle w:val="Title"/>
              <w:jc w:val="left"/>
              <w:rPr>
                <w:rFonts w:ascii="Arial" w:hAnsi="Arial" w:cs="Arial"/>
                <w:b/>
                <w:sz w:val="20"/>
              </w:rPr>
            </w:pPr>
          </w:p>
          <w:p w:rsidR="000715B2" w:rsidRDefault="00AE2027" w:rsidP="00AB5A30">
            <w:pPr>
              <w:pStyle w:val="Title"/>
              <w:jc w:val="left"/>
              <w:rPr>
                <w:rFonts w:ascii="Arial" w:hAnsi="Arial" w:cs="Arial"/>
                <w:b/>
                <w:sz w:val="20"/>
              </w:rPr>
            </w:pPr>
            <w:r>
              <w:rPr>
                <w:rFonts w:ascii="Arial" w:hAnsi="Arial" w:cs="Arial"/>
                <w:b/>
                <w:sz w:val="20"/>
              </w:rPr>
              <w:t>Exploration of possible semester addition in Advanced Systems</w:t>
            </w:r>
          </w:p>
          <w:p w:rsidR="000715B2" w:rsidRPr="00356C80" w:rsidRDefault="000715B2"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0715B2" w:rsidRPr="00356C80" w:rsidRDefault="00AE2027" w:rsidP="00AB5A30">
            <w:pPr>
              <w:pStyle w:val="Title"/>
              <w:jc w:val="left"/>
              <w:rPr>
                <w:rFonts w:ascii="Arial" w:hAnsi="Arial" w:cs="Arial"/>
                <w:b/>
                <w:sz w:val="22"/>
                <w:szCs w:val="22"/>
              </w:rPr>
            </w:pPr>
            <w:r>
              <w:rPr>
                <w:rFonts w:ascii="Arial" w:hAnsi="Arial" w:cs="Arial"/>
                <w:b/>
                <w:sz w:val="22"/>
                <w:szCs w:val="22"/>
              </w:rPr>
              <w:t>Co-ordinator/ CLT</w:t>
            </w:r>
          </w:p>
        </w:tc>
        <w:tc>
          <w:tcPr>
            <w:tcW w:w="1430" w:type="dxa"/>
            <w:tcBorders>
              <w:top w:val="single" w:sz="4" w:space="0" w:color="auto"/>
              <w:left w:val="single" w:sz="4" w:space="0" w:color="auto"/>
              <w:bottom w:val="single" w:sz="4" w:space="0" w:color="auto"/>
              <w:right w:val="single" w:sz="4" w:space="0" w:color="auto"/>
            </w:tcBorders>
          </w:tcPr>
          <w:p w:rsidR="000715B2" w:rsidRPr="00356C80" w:rsidRDefault="000715B2" w:rsidP="00AB5A30">
            <w:pPr>
              <w:pStyle w:val="Title"/>
              <w:jc w:val="left"/>
              <w:rPr>
                <w:rFonts w:ascii="Arial" w:hAnsi="Arial" w:cs="Arial"/>
                <w:b/>
                <w:sz w:val="22"/>
                <w:szCs w:val="22"/>
              </w:rPr>
            </w:pP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Pr="00356C80" w:rsidRDefault="00EB4A33" w:rsidP="00E3496F">
            <w:pPr>
              <w:pStyle w:val="Title"/>
              <w:jc w:val="left"/>
              <w:rPr>
                <w:rFonts w:ascii="Arial" w:hAnsi="Arial" w:cs="Arial"/>
                <w:b/>
                <w:szCs w:val="24"/>
                <w:u w:val="single"/>
              </w:rPr>
            </w:pPr>
          </w:p>
          <w:p w:rsidR="00EB4A33" w:rsidRPr="006A141E" w:rsidRDefault="006A141E" w:rsidP="006A141E">
            <w:pPr>
              <w:pStyle w:val="Title"/>
              <w:jc w:val="left"/>
              <w:rPr>
                <w:rFonts w:ascii="Arial" w:hAnsi="Arial" w:cs="Arial"/>
                <w:b/>
                <w:sz w:val="20"/>
              </w:rPr>
            </w:pPr>
            <w:r w:rsidRPr="006A141E">
              <w:rPr>
                <w:rFonts w:ascii="Arial" w:hAnsi="Arial" w:cs="Arial"/>
                <w:b/>
                <w:sz w:val="20"/>
              </w:rPr>
              <w:t>The program advisory committee has been re-established.</w:t>
            </w:r>
          </w:p>
        </w:tc>
        <w:tc>
          <w:tcPr>
            <w:tcW w:w="1857" w:type="dxa"/>
            <w:gridSpan w:val="2"/>
            <w:tcBorders>
              <w:top w:val="single" w:sz="4" w:space="0" w:color="auto"/>
              <w:left w:val="single" w:sz="4" w:space="0" w:color="auto"/>
              <w:bottom w:val="single" w:sz="4" w:space="0" w:color="auto"/>
              <w:right w:val="single" w:sz="4" w:space="0" w:color="auto"/>
            </w:tcBorders>
          </w:tcPr>
          <w:p w:rsidR="00EB4A33" w:rsidRDefault="00EB4A33" w:rsidP="00E3496F">
            <w:pPr>
              <w:pStyle w:val="Title"/>
              <w:jc w:val="left"/>
              <w:rPr>
                <w:rFonts w:ascii="Arial" w:hAnsi="Arial" w:cs="Arial"/>
                <w:b/>
                <w:sz w:val="22"/>
                <w:szCs w:val="22"/>
              </w:rPr>
            </w:pPr>
          </w:p>
          <w:p w:rsidR="00EB4A33" w:rsidRDefault="00EB4A33" w:rsidP="00E3496F">
            <w:pPr>
              <w:pStyle w:val="Title"/>
              <w:jc w:val="left"/>
              <w:rPr>
                <w:rFonts w:ascii="Arial" w:hAnsi="Arial" w:cs="Arial"/>
                <w:sz w:val="22"/>
                <w:szCs w:val="22"/>
              </w:rPr>
            </w:pPr>
            <w:r w:rsidRPr="008A018E">
              <w:rPr>
                <w:rFonts w:ascii="Arial" w:hAnsi="Arial" w:cs="Arial"/>
                <w:sz w:val="22"/>
                <w:szCs w:val="22"/>
              </w:rPr>
              <w:t>-Co-ordinator</w:t>
            </w:r>
          </w:p>
          <w:p w:rsidR="00A22BB4" w:rsidRPr="008A018E" w:rsidRDefault="00A22BB4" w:rsidP="00A22BB4">
            <w:pPr>
              <w:pStyle w:val="Title"/>
              <w:jc w:val="left"/>
              <w:rPr>
                <w:rFonts w:ascii="Arial" w:hAnsi="Arial" w:cs="Arial"/>
                <w:sz w:val="22"/>
                <w:szCs w:val="22"/>
              </w:rPr>
            </w:pPr>
          </w:p>
          <w:p w:rsidR="00EB4A33" w:rsidRPr="008A018E" w:rsidRDefault="00EB4A33" w:rsidP="00E3496F">
            <w:pPr>
              <w:pStyle w:val="Title"/>
              <w:jc w:val="left"/>
              <w:rPr>
                <w:rFonts w:ascii="Arial" w:hAnsi="Arial" w:cs="Arial"/>
                <w:sz w:val="22"/>
                <w:szCs w:val="22"/>
              </w:rPr>
            </w:pPr>
          </w:p>
        </w:tc>
        <w:tc>
          <w:tcPr>
            <w:tcW w:w="1430" w:type="dxa"/>
            <w:tcBorders>
              <w:top w:val="single" w:sz="4" w:space="0" w:color="auto"/>
              <w:left w:val="single" w:sz="4" w:space="0" w:color="auto"/>
              <w:bottom w:val="single" w:sz="4" w:space="0" w:color="auto"/>
              <w:right w:val="single" w:sz="4" w:space="0" w:color="auto"/>
            </w:tcBorders>
          </w:tcPr>
          <w:p w:rsidR="00EB4A33" w:rsidRDefault="00EB4A33" w:rsidP="00E3496F">
            <w:pPr>
              <w:pStyle w:val="Title"/>
              <w:jc w:val="left"/>
              <w:rPr>
                <w:rFonts w:ascii="Arial" w:hAnsi="Arial" w:cs="Arial"/>
                <w:b/>
                <w:sz w:val="22"/>
                <w:szCs w:val="22"/>
              </w:rPr>
            </w:pPr>
          </w:p>
          <w:p w:rsidR="00EB4A33" w:rsidRDefault="00EB4A33" w:rsidP="00E3496F">
            <w:pPr>
              <w:pStyle w:val="Title"/>
              <w:jc w:val="left"/>
              <w:rPr>
                <w:rFonts w:ascii="Arial" w:hAnsi="Arial" w:cs="Arial"/>
                <w:sz w:val="22"/>
                <w:szCs w:val="22"/>
              </w:rPr>
            </w:pPr>
            <w:r w:rsidRPr="008A018E">
              <w:rPr>
                <w:rFonts w:ascii="Arial" w:hAnsi="Arial" w:cs="Arial"/>
                <w:sz w:val="22"/>
                <w:szCs w:val="22"/>
              </w:rPr>
              <w:t>-201</w:t>
            </w:r>
            <w:r w:rsidR="00CF6E79">
              <w:rPr>
                <w:rFonts w:ascii="Arial" w:hAnsi="Arial" w:cs="Arial"/>
                <w:sz w:val="22"/>
                <w:szCs w:val="22"/>
              </w:rPr>
              <w:t>2 (completed)</w:t>
            </w:r>
          </w:p>
          <w:p w:rsidR="00EB4A33" w:rsidRPr="008A018E" w:rsidRDefault="00EB4A33" w:rsidP="00E3496F">
            <w:pPr>
              <w:pStyle w:val="Title"/>
              <w:jc w:val="left"/>
              <w:rPr>
                <w:rFonts w:ascii="Arial" w:hAnsi="Arial" w:cs="Arial"/>
                <w:sz w:val="22"/>
                <w:szCs w:val="22"/>
              </w:rPr>
            </w:pP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EB4A33" w:rsidP="00AB5A30">
            <w:pPr>
              <w:pStyle w:val="Title"/>
              <w:jc w:val="left"/>
              <w:rPr>
                <w:rFonts w:ascii="Arial" w:hAnsi="Arial" w:cs="Arial"/>
                <w:b/>
                <w:sz w:val="20"/>
              </w:rPr>
            </w:pPr>
          </w:p>
          <w:p w:rsidR="00A22BB4" w:rsidRPr="006669E4" w:rsidRDefault="00A22BB4" w:rsidP="00202D54">
            <w:pPr>
              <w:pStyle w:val="Title"/>
              <w:jc w:val="left"/>
              <w:rPr>
                <w:rFonts w:ascii="Arial" w:hAnsi="Arial" w:cs="Arial"/>
                <w:sz w:val="22"/>
                <w:szCs w:val="22"/>
              </w:rPr>
            </w:pPr>
            <w:r>
              <w:rPr>
                <w:rFonts w:ascii="Arial" w:hAnsi="Arial" w:cs="Arial"/>
                <w:sz w:val="22"/>
                <w:szCs w:val="22"/>
              </w:rPr>
              <w:t>Implement more frequent evaluation</w:t>
            </w:r>
          </w:p>
          <w:p w:rsidR="00EB4A33" w:rsidRDefault="00EB4A33" w:rsidP="00AB5A30">
            <w:pPr>
              <w:pStyle w:val="Title"/>
              <w:jc w:val="left"/>
              <w:rPr>
                <w:rFonts w:ascii="Arial" w:hAnsi="Arial" w:cs="Arial"/>
                <w:b/>
                <w:sz w:val="20"/>
              </w:rPr>
            </w:pPr>
          </w:p>
          <w:p w:rsidR="00EB4A33" w:rsidRPr="00356C80" w:rsidRDefault="00EB4A33"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202D54" w:rsidP="00AB5A30">
            <w:pPr>
              <w:pStyle w:val="Title"/>
              <w:jc w:val="left"/>
              <w:rPr>
                <w:rFonts w:ascii="Arial" w:hAnsi="Arial" w:cs="Arial"/>
                <w:b/>
                <w:sz w:val="22"/>
                <w:szCs w:val="22"/>
              </w:rPr>
            </w:pPr>
            <w:r>
              <w:rPr>
                <w:rFonts w:ascii="Arial" w:hAnsi="Arial" w:cs="Arial"/>
                <w:b/>
                <w:sz w:val="22"/>
                <w:szCs w:val="22"/>
              </w:rPr>
              <w:t>Co-ordinator/ Faculty</w:t>
            </w: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202D54" w:rsidP="00AB5A30">
            <w:pPr>
              <w:pStyle w:val="Title"/>
              <w:jc w:val="left"/>
              <w:rPr>
                <w:rFonts w:ascii="Arial" w:hAnsi="Arial" w:cs="Arial"/>
                <w:b/>
                <w:sz w:val="22"/>
                <w:szCs w:val="22"/>
              </w:rPr>
            </w:pPr>
            <w:r>
              <w:rPr>
                <w:rFonts w:ascii="Arial" w:hAnsi="Arial" w:cs="Arial"/>
                <w:b/>
                <w:sz w:val="22"/>
                <w:szCs w:val="22"/>
              </w:rPr>
              <w:t>Fall 2012 (has been completed for one course; others will be reviewed)</w:t>
            </w: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817193" w:rsidP="00AB5A30">
            <w:pPr>
              <w:pStyle w:val="Title"/>
              <w:jc w:val="left"/>
              <w:rPr>
                <w:rFonts w:ascii="Arial" w:hAnsi="Arial" w:cs="Arial"/>
                <w:b/>
                <w:sz w:val="20"/>
              </w:rPr>
            </w:pPr>
            <w:r>
              <w:rPr>
                <w:rFonts w:ascii="Arial" w:hAnsi="Arial" w:cs="Arial"/>
                <w:b/>
                <w:sz w:val="20"/>
              </w:rPr>
              <w:t>Review diagnostic equipment to see if it is up-to-date.  If not, what equipment is required and what will the costs be?</w:t>
            </w:r>
          </w:p>
          <w:p w:rsidR="00EB4A33" w:rsidRPr="00356C80" w:rsidRDefault="00EB4A33"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817193" w:rsidP="00AB5A30">
            <w:pPr>
              <w:pStyle w:val="Title"/>
              <w:jc w:val="left"/>
              <w:rPr>
                <w:rFonts w:ascii="Arial" w:hAnsi="Arial" w:cs="Arial"/>
                <w:b/>
                <w:sz w:val="22"/>
                <w:szCs w:val="22"/>
              </w:rPr>
            </w:pPr>
            <w:r>
              <w:rPr>
                <w:rFonts w:ascii="Arial" w:hAnsi="Arial" w:cs="Arial"/>
                <w:b/>
                <w:sz w:val="22"/>
                <w:szCs w:val="22"/>
              </w:rPr>
              <w:t>Program faculty</w:t>
            </w: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817193" w:rsidP="00AB5A30">
            <w:pPr>
              <w:pStyle w:val="Title"/>
              <w:jc w:val="left"/>
              <w:rPr>
                <w:rFonts w:ascii="Arial" w:hAnsi="Arial" w:cs="Arial"/>
                <w:b/>
                <w:sz w:val="22"/>
                <w:szCs w:val="22"/>
              </w:rPr>
            </w:pPr>
            <w:r>
              <w:rPr>
                <w:rFonts w:ascii="Arial" w:hAnsi="Arial" w:cs="Arial"/>
                <w:b/>
                <w:sz w:val="22"/>
                <w:szCs w:val="22"/>
              </w:rPr>
              <w:t>April 2013</w:t>
            </w: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EB4A33" w:rsidP="00AB5A30">
            <w:pPr>
              <w:pStyle w:val="Title"/>
              <w:jc w:val="left"/>
              <w:rPr>
                <w:rFonts w:ascii="Arial" w:hAnsi="Arial" w:cs="Arial"/>
                <w:b/>
                <w:sz w:val="20"/>
              </w:rPr>
            </w:pPr>
          </w:p>
          <w:p w:rsidR="00EB4A33" w:rsidRPr="00356C80" w:rsidRDefault="00EF15B4" w:rsidP="00202D54">
            <w:pPr>
              <w:pStyle w:val="Title"/>
              <w:jc w:val="left"/>
              <w:rPr>
                <w:rFonts w:ascii="Arial" w:hAnsi="Arial" w:cs="Arial"/>
                <w:b/>
                <w:sz w:val="20"/>
              </w:rPr>
            </w:pPr>
            <w:r>
              <w:rPr>
                <w:rFonts w:ascii="Arial" w:hAnsi="Arial" w:cs="Arial"/>
                <w:b/>
                <w:sz w:val="20"/>
              </w:rPr>
              <w:t>Incorporate e-learning</w:t>
            </w:r>
            <w:r w:rsidR="00202D54">
              <w:rPr>
                <w:rFonts w:ascii="Arial" w:hAnsi="Arial" w:cs="Arial"/>
                <w:b/>
                <w:sz w:val="20"/>
              </w:rPr>
              <w:t xml:space="preserve"> into new training modules</w:t>
            </w:r>
            <w:r w:rsidR="00D4321F">
              <w:rPr>
                <w:rFonts w:ascii="Arial" w:hAnsi="Arial" w:cs="Arial"/>
                <w:b/>
                <w:sz w:val="20"/>
              </w:rPr>
              <w:t>.  Explore the online modules at John Deere University and CatSafety.com.  Both companies have granted free access.</w:t>
            </w: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202D54" w:rsidP="00AB5A30">
            <w:pPr>
              <w:pStyle w:val="Title"/>
              <w:jc w:val="left"/>
              <w:rPr>
                <w:rFonts w:ascii="Arial" w:hAnsi="Arial" w:cs="Arial"/>
                <w:b/>
                <w:sz w:val="22"/>
                <w:szCs w:val="22"/>
              </w:rPr>
            </w:pPr>
            <w:r>
              <w:rPr>
                <w:rFonts w:ascii="Arial" w:hAnsi="Arial" w:cs="Arial"/>
                <w:b/>
                <w:sz w:val="22"/>
                <w:szCs w:val="22"/>
              </w:rPr>
              <w:t>CLT/ Program Faculty</w:t>
            </w: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202D54" w:rsidP="00AB5A30">
            <w:pPr>
              <w:pStyle w:val="Title"/>
              <w:jc w:val="left"/>
              <w:rPr>
                <w:rFonts w:ascii="Arial" w:hAnsi="Arial" w:cs="Arial"/>
                <w:b/>
                <w:sz w:val="22"/>
                <w:szCs w:val="22"/>
              </w:rPr>
            </w:pPr>
            <w:r>
              <w:rPr>
                <w:rFonts w:ascii="Arial" w:hAnsi="Arial" w:cs="Arial"/>
                <w:b/>
                <w:sz w:val="22"/>
                <w:szCs w:val="22"/>
              </w:rPr>
              <w:t>September 2013</w:t>
            </w: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EB4A33" w:rsidP="00AB5A30">
            <w:pPr>
              <w:pStyle w:val="Title"/>
              <w:jc w:val="left"/>
              <w:rPr>
                <w:rFonts w:ascii="Arial" w:hAnsi="Arial" w:cs="Arial"/>
                <w:b/>
                <w:sz w:val="20"/>
              </w:rPr>
            </w:pPr>
          </w:p>
          <w:p w:rsidR="00EB4A33" w:rsidRDefault="00072A0E" w:rsidP="00AB5A30">
            <w:pPr>
              <w:pStyle w:val="Title"/>
              <w:jc w:val="left"/>
              <w:rPr>
                <w:rFonts w:ascii="Arial" w:hAnsi="Arial" w:cs="Arial"/>
                <w:b/>
                <w:sz w:val="20"/>
              </w:rPr>
            </w:pPr>
            <w:r>
              <w:rPr>
                <w:rFonts w:ascii="Arial" w:hAnsi="Arial" w:cs="Arial"/>
                <w:b/>
                <w:sz w:val="20"/>
              </w:rPr>
              <w:t>Revise courses to include current trends in industy</w:t>
            </w:r>
          </w:p>
          <w:p w:rsidR="00EB4A33" w:rsidRPr="00356C80" w:rsidRDefault="00EB4A33"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EB4A33" w:rsidP="00AB5A30">
            <w:pPr>
              <w:pStyle w:val="Title"/>
              <w:jc w:val="left"/>
              <w:rPr>
                <w:rFonts w:ascii="Arial" w:hAnsi="Arial" w:cs="Arial"/>
                <w:b/>
                <w:sz w:val="20"/>
              </w:rPr>
            </w:pPr>
          </w:p>
          <w:p w:rsidR="00EB4A33" w:rsidRPr="00356C80" w:rsidRDefault="00F00E14" w:rsidP="006A141E">
            <w:pPr>
              <w:pStyle w:val="Title"/>
              <w:jc w:val="left"/>
              <w:rPr>
                <w:rFonts w:ascii="Arial" w:hAnsi="Arial" w:cs="Arial"/>
                <w:b/>
                <w:sz w:val="20"/>
              </w:rPr>
            </w:pPr>
            <w:r>
              <w:rPr>
                <w:rFonts w:ascii="Arial" w:hAnsi="Arial" w:cs="Arial"/>
                <w:b/>
                <w:sz w:val="20"/>
              </w:rPr>
              <w:t>Remove CAT Basics online training and replace with new modules</w:t>
            </w: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F00E14" w:rsidP="00AB5A30">
            <w:pPr>
              <w:pStyle w:val="Title"/>
              <w:jc w:val="left"/>
              <w:rPr>
                <w:rFonts w:ascii="Arial" w:hAnsi="Arial" w:cs="Arial"/>
                <w:b/>
                <w:sz w:val="20"/>
              </w:rPr>
            </w:pPr>
            <w:r>
              <w:rPr>
                <w:rFonts w:ascii="Arial" w:hAnsi="Arial" w:cs="Arial"/>
                <w:b/>
                <w:sz w:val="20"/>
              </w:rPr>
              <w:t>Improve customer service</w:t>
            </w:r>
            <w:r w:rsidR="00CF6E79">
              <w:rPr>
                <w:rFonts w:ascii="Arial" w:hAnsi="Arial" w:cs="Arial"/>
                <w:b/>
                <w:sz w:val="20"/>
              </w:rPr>
              <w:t xml:space="preserve"> and Innovations</w:t>
            </w:r>
            <w:r>
              <w:rPr>
                <w:rFonts w:ascii="Arial" w:hAnsi="Arial" w:cs="Arial"/>
                <w:b/>
                <w:sz w:val="20"/>
              </w:rPr>
              <w:t xml:space="preserve"> learning with a new course (currently being developed) which also incorporates e-learning.</w:t>
            </w:r>
            <w:r w:rsidR="00CF6E79">
              <w:rPr>
                <w:rFonts w:ascii="Arial" w:hAnsi="Arial" w:cs="Arial"/>
                <w:b/>
                <w:sz w:val="20"/>
              </w:rPr>
              <w:t xml:space="preserve">  Draft course descrip</w:t>
            </w:r>
            <w:r w:rsidR="005F7232">
              <w:rPr>
                <w:rFonts w:ascii="Arial" w:hAnsi="Arial" w:cs="Arial"/>
                <w:b/>
                <w:sz w:val="20"/>
              </w:rPr>
              <w:t>tion</w:t>
            </w:r>
            <w:r w:rsidR="00AC43E0">
              <w:rPr>
                <w:rFonts w:ascii="Arial" w:hAnsi="Arial" w:cs="Arial"/>
                <w:b/>
                <w:sz w:val="20"/>
              </w:rPr>
              <w:t xml:space="preserve"> and learning outcomes have been completed October 2012.</w:t>
            </w:r>
          </w:p>
          <w:p w:rsidR="00EB4A33" w:rsidRPr="00356C80" w:rsidRDefault="00CF6E79" w:rsidP="00CF6E79">
            <w:pPr>
              <w:pStyle w:val="Title"/>
              <w:jc w:val="left"/>
              <w:rPr>
                <w:rFonts w:ascii="Arial" w:hAnsi="Arial" w:cs="Arial"/>
                <w:b/>
                <w:sz w:val="20"/>
              </w:rPr>
            </w:pPr>
            <w:r>
              <w:rPr>
                <w:rFonts w:ascii="Arial" w:hAnsi="Arial" w:cs="Arial"/>
                <w:b/>
                <w:sz w:val="20"/>
              </w:rPr>
              <w:t xml:space="preserve">Replacement of two courses with a new course: Trade </w:t>
            </w:r>
            <w:r>
              <w:rPr>
                <w:rFonts w:ascii="Arial" w:hAnsi="Arial" w:cs="Arial"/>
                <w:b/>
                <w:sz w:val="20"/>
              </w:rPr>
              <w:lastRenderedPageBreak/>
              <w:t>Practices</w:t>
            </w:r>
            <w:r w:rsidR="00AC43E0">
              <w:rPr>
                <w:rFonts w:ascii="Arial" w:hAnsi="Arial" w:cs="Arial"/>
                <w:b/>
                <w:sz w:val="20"/>
              </w:rPr>
              <w:t>.  Draft course description and learning outcomes were completed in October 2012.  Both courses were enthusiastically endorsed by PAC on October 24.</w:t>
            </w: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CF6E79" w:rsidP="00AB5A30">
            <w:pPr>
              <w:pStyle w:val="Title"/>
              <w:jc w:val="left"/>
              <w:rPr>
                <w:rFonts w:ascii="Arial" w:hAnsi="Arial" w:cs="Arial"/>
                <w:b/>
                <w:sz w:val="22"/>
                <w:szCs w:val="22"/>
              </w:rPr>
            </w:pPr>
            <w:r>
              <w:rPr>
                <w:rFonts w:ascii="Arial" w:hAnsi="Arial" w:cs="Arial"/>
                <w:b/>
                <w:sz w:val="22"/>
                <w:szCs w:val="22"/>
              </w:rPr>
              <w:lastRenderedPageBreak/>
              <w:t>Faculty/ CLT</w:t>
            </w: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EB4A33" w:rsidP="00AB5A30">
            <w:pPr>
              <w:pStyle w:val="Title"/>
              <w:jc w:val="left"/>
              <w:rPr>
                <w:rFonts w:ascii="Arial" w:hAnsi="Arial" w:cs="Arial"/>
                <w:b/>
                <w:sz w:val="20"/>
              </w:rPr>
            </w:pPr>
          </w:p>
          <w:p w:rsidR="00EB4A33" w:rsidRDefault="00EB4A33" w:rsidP="00AB5A30">
            <w:pPr>
              <w:pStyle w:val="Title"/>
              <w:jc w:val="left"/>
              <w:rPr>
                <w:rFonts w:ascii="Arial" w:hAnsi="Arial" w:cs="Arial"/>
                <w:b/>
                <w:sz w:val="20"/>
              </w:rPr>
            </w:pPr>
          </w:p>
          <w:p w:rsidR="00EB4A33" w:rsidRPr="00356C80" w:rsidRDefault="00EB4A33"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r>
      <w:tr w:rsidR="00EB4A33" w:rsidRPr="00356C80" w:rsidTr="00202D54">
        <w:trPr>
          <w:gridBefore w:val="1"/>
          <w:wBefore w:w="95" w:type="dxa"/>
        </w:trPr>
        <w:tc>
          <w:tcPr>
            <w:tcW w:w="5893" w:type="dxa"/>
            <w:gridSpan w:val="4"/>
            <w:tcBorders>
              <w:top w:val="single" w:sz="4" w:space="0" w:color="auto"/>
              <w:left w:val="single" w:sz="4" w:space="0" w:color="auto"/>
              <w:bottom w:val="single" w:sz="4" w:space="0" w:color="auto"/>
              <w:right w:val="single" w:sz="4" w:space="0" w:color="auto"/>
            </w:tcBorders>
          </w:tcPr>
          <w:p w:rsidR="00EB4A33" w:rsidRDefault="00EB4A33" w:rsidP="00AB5A30">
            <w:pPr>
              <w:pStyle w:val="Title"/>
              <w:jc w:val="left"/>
              <w:rPr>
                <w:rFonts w:ascii="Arial" w:hAnsi="Arial" w:cs="Arial"/>
                <w:b/>
                <w:sz w:val="20"/>
              </w:rPr>
            </w:pPr>
          </w:p>
          <w:p w:rsidR="00EB4A33" w:rsidRDefault="00EB4A33" w:rsidP="00AB5A30">
            <w:pPr>
              <w:pStyle w:val="Title"/>
              <w:jc w:val="left"/>
              <w:rPr>
                <w:rFonts w:ascii="Arial" w:hAnsi="Arial" w:cs="Arial"/>
                <w:b/>
                <w:sz w:val="20"/>
              </w:rPr>
            </w:pPr>
          </w:p>
          <w:p w:rsidR="00EB4A33" w:rsidRPr="00356C80" w:rsidRDefault="00EB4A33" w:rsidP="00AB5A30">
            <w:pPr>
              <w:pStyle w:val="Title"/>
              <w:jc w:val="left"/>
              <w:rPr>
                <w:rFonts w:ascii="Arial" w:hAnsi="Arial" w:cs="Arial"/>
                <w:b/>
                <w:sz w:val="20"/>
              </w:rPr>
            </w:pPr>
          </w:p>
        </w:tc>
        <w:tc>
          <w:tcPr>
            <w:tcW w:w="1857" w:type="dxa"/>
            <w:gridSpan w:val="2"/>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rsidR="00EB4A33" w:rsidRPr="00356C80" w:rsidRDefault="00EB4A33" w:rsidP="00AB5A30">
            <w:pPr>
              <w:pStyle w:val="Title"/>
              <w:jc w:val="left"/>
              <w:rPr>
                <w:rFonts w:ascii="Arial" w:hAnsi="Arial" w:cs="Arial"/>
                <w:b/>
                <w:sz w:val="22"/>
                <w:szCs w:val="22"/>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EE0A5D" w:rsidRDefault="00EE0A5D" w:rsidP="00202D54">
            <w:pPr>
              <w:rPr>
                <w:rFonts w:cs="Arial"/>
                <w:b/>
                <w:bCs/>
                <w:color w:val="000000"/>
                <w:sz w:val="20"/>
                <w:lang w:eastAsia="en-CA"/>
              </w:rPr>
            </w:pPr>
          </w:p>
          <w:p w:rsidR="00EE0A5D" w:rsidRDefault="00EE0A5D" w:rsidP="00202D54">
            <w:pPr>
              <w:rPr>
                <w:rFonts w:cs="Arial"/>
                <w:b/>
                <w:bCs/>
                <w:color w:val="000000"/>
                <w:sz w:val="20"/>
                <w:lang w:eastAsia="en-CA"/>
              </w:rPr>
            </w:pPr>
          </w:p>
          <w:p w:rsidR="00EE0A5D" w:rsidRDefault="00D4321F" w:rsidP="00202D54">
            <w:pPr>
              <w:rPr>
                <w:rFonts w:cs="Arial"/>
                <w:b/>
                <w:bCs/>
                <w:color w:val="000000"/>
                <w:sz w:val="20"/>
                <w:lang w:eastAsia="en-CA"/>
              </w:rPr>
            </w:pPr>
            <w:r>
              <w:rPr>
                <w:rFonts w:cs="Arial"/>
                <w:b/>
                <w:bCs/>
                <w:color w:val="000000"/>
                <w:sz w:val="20"/>
                <w:lang w:eastAsia="en-CA"/>
              </w:rPr>
              <w:t>*</w:t>
            </w:r>
            <w:r w:rsidR="00EE0A5D">
              <w:rPr>
                <w:rFonts w:cs="Arial"/>
                <w:b/>
                <w:bCs/>
                <w:color w:val="000000"/>
                <w:sz w:val="20"/>
                <w:lang w:eastAsia="en-CA"/>
              </w:rPr>
              <w:t>Program Costing 2012</w:t>
            </w:r>
          </w:p>
          <w:p w:rsidR="00EE0A5D" w:rsidRDefault="00EE0A5D" w:rsidP="00202D54">
            <w:pPr>
              <w:rPr>
                <w:rFonts w:cs="Arial"/>
                <w:b/>
                <w:bCs/>
                <w:color w:val="000000"/>
                <w:sz w:val="20"/>
                <w:lang w:eastAsia="en-CA"/>
              </w:rPr>
            </w:pPr>
          </w:p>
          <w:p w:rsidR="00202D54" w:rsidRPr="000F2725" w:rsidRDefault="00202D54" w:rsidP="00202D54">
            <w:pPr>
              <w:rPr>
                <w:rFonts w:cs="Arial"/>
                <w:b/>
                <w:bCs/>
                <w:color w:val="000000"/>
                <w:sz w:val="20"/>
                <w:lang w:eastAsia="en-CA"/>
              </w:rPr>
            </w:pPr>
            <w:r w:rsidRPr="000F2725">
              <w:rPr>
                <w:rFonts w:cs="Arial"/>
                <w:b/>
                <w:bCs/>
                <w:color w:val="000000"/>
                <w:sz w:val="20"/>
                <w:lang w:eastAsia="en-CA"/>
              </w:rPr>
              <w:t>Revenue</w:t>
            </w: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Grant</w:t>
            </w: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258,099</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Tuition</w:t>
            </w: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single" w:sz="4" w:space="0" w:color="auto"/>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291,448</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549,547</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b/>
                <w:bCs/>
                <w:color w:val="000000"/>
                <w:sz w:val="20"/>
                <w:lang w:eastAsia="en-CA"/>
              </w:rPr>
            </w:pPr>
            <w:r w:rsidRPr="000F2725">
              <w:rPr>
                <w:rFonts w:cs="Arial"/>
                <w:b/>
                <w:bCs/>
                <w:color w:val="000000"/>
                <w:sz w:val="20"/>
                <w:lang w:eastAsia="en-CA"/>
              </w:rPr>
              <w:t>Expenses</w:t>
            </w: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412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Direct Academic</w:t>
            </w: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265,577</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412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Co-Ordinator</w:t>
            </w: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21,373</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412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Technicians</w:t>
            </w: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14,350</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412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Development and Planning</w:t>
            </w: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7,846</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412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Supplies and other Non-Salary costs</w:t>
            </w:r>
          </w:p>
        </w:tc>
        <w:tc>
          <w:tcPr>
            <w:tcW w:w="1260" w:type="dxa"/>
            <w:gridSpan w:val="2"/>
            <w:tcBorders>
              <w:top w:val="nil"/>
              <w:left w:val="nil"/>
              <w:bottom w:val="single" w:sz="4" w:space="0" w:color="auto"/>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40,693</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single" w:sz="4" w:space="0" w:color="auto"/>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349,839</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2140" w:type="dxa"/>
            <w:gridSpan w:val="3"/>
            <w:tcBorders>
              <w:top w:val="nil"/>
              <w:left w:val="nil"/>
              <w:bottom w:val="nil"/>
              <w:right w:val="nil"/>
            </w:tcBorders>
            <w:shd w:val="clear" w:color="auto" w:fill="auto"/>
            <w:noWrap/>
            <w:vAlign w:val="bottom"/>
            <w:hideMark/>
          </w:tcPr>
          <w:p w:rsidR="00202D54" w:rsidRPr="000F2725" w:rsidRDefault="00202D54" w:rsidP="00202D54">
            <w:pPr>
              <w:rPr>
                <w:rFonts w:cs="Arial"/>
                <w:b/>
                <w:bCs/>
                <w:color w:val="000000"/>
                <w:sz w:val="20"/>
                <w:lang w:eastAsia="en-CA"/>
              </w:rPr>
            </w:pPr>
            <w:r w:rsidRPr="000F2725">
              <w:rPr>
                <w:rFonts w:cs="Arial"/>
                <w:b/>
                <w:bCs/>
                <w:color w:val="000000"/>
                <w:sz w:val="20"/>
                <w:lang w:eastAsia="en-CA"/>
              </w:rPr>
              <w:t>Net before Overheads</w:t>
            </w: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199,708</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412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Academic Overheads</w:t>
            </w:r>
          </w:p>
        </w:tc>
        <w:tc>
          <w:tcPr>
            <w:tcW w:w="1260" w:type="dxa"/>
            <w:gridSpan w:val="2"/>
            <w:tcBorders>
              <w:top w:val="nil"/>
              <w:left w:val="nil"/>
              <w:bottom w:val="single" w:sz="4" w:space="0" w:color="auto"/>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32,022</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15"/>
        </w:trPr>
        <w:tc>
          <w:tcPr>
            <w:tcW w:w="5380" w:type="dxa"/>
            <w:gridSpan w:val="4"/>
            <w:tcBorders>
              <w:top w:val="nil"/>
              <w:left w:val="nil"/>
              <w:bottom w:val="nil"/>
              <w:right w:val="nil"/>
            </w:tcBorders>
            <w:shd w:val="clear" w:color="auto" w:fill="auto"/>
            <w:noWrap/>
            <w:vAlign w:val="bottom"/>
            <w:hideMark/>
          </w:tcPr>
          <w:p w:rsidR="00202D54" w:rsidRPr="000F2725" w:rsidRDefault="00202D54" w:rsidP="00202D54">
            <w:pPr>
              <w:rPr>
                <w:rFonts w:cs="Arial"/>
                <w:b/>
                <w:bCs/>
                <w:color w:val="000000"/>
                <w:sz w:val="20"/>
                <w:lang w:eastAsia="en-CA"/>
              </w:rPr>
            </w:pPr>
            <w:r w:rsidRPr="000F2725">
              <w:rPr>
                <w:rFonts w:cs="Arial"/>
                <w:b/>
                <w:bCs/>
                <w:color w:val="000000"/>
                <w:sz w:val="20"/>
                <w:lang w:eastAsia="en-CA"/>
              </w:rPr>
              <w:t>Net Income before College Overheads</w:t>
            </w:r>
          </w:p>
        </w:tc>
        <w:tc>
          <w:tcPr>
            <w:tcW w:w="1260" w:type="dxa"/>
            <w:gridSpan w:val="2"/>
            <w:tcBorders>
              <w:top w:val="nil"/>
              <w:left w:val="nil"/>
              <w:bottom w:val="double" w:sz="6" w:space="0" w:color="auto"/>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167,686</w:t>
            </w: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15"/>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r>
      <w:tr w:rsidR="00202D54" w:rsidRPr="000F2725" w:rsidTr="00202D5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2"/>
          <w:wAfter w:w="2635" w:type="dxa"/>
          <w:trHeight w:val="300"/>
        </w:trPr>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r w:rsidRPr="000F2725">
              <w:rPr>
                <w:rFonts w:cs="Arial"/>
                <w:color w:val="000000"/>
                <w:sz w:val="20"/>
                <w:lang w:eastAsia="en-CA"/>
              </w:rPr>
              <w:t>Net %</w:t>
            </w:r>
          </w:p>
        </w:tc>
        <w:tc>
          <w:tcPr>
            <w:tcW w:w="88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3240" w:type="dxa"/>
            <w:tcBorders>
              <w:top w:val="nil"/>
              <w:left w:val="nil"/>
              <w:bottom w:val="nil"/>
              <w:right w:val="nil"/>
            </w:tcBorders>
            <w:shd w:val="clear" w:color="auto" w:fill="auto"/>
            <w:noWrap/>
            <w:vAlign w:val="bottom"/>
            <w:hideMark/>
          </w:tcPr>
          <w:p w:rsidR="00202D54" w:rsidRPr="000F2725" w:rsidRDefault="00202D54" w:rsidP="00202D54">
            <w:pPr>
              <w:rPr>
                <w:rFonts w:cs="Arial"/>
                <w:color w:val="000000"/>
                <w:sz w:val="20"/>
                <w:lang w:eastAsia="en-CA"/>
              </w:rPr>
            </w:pPr>
          </w:p>
        </w:tc>
        <w:tc>
          <w:tcPr>
            <w:tcW w:w="1260" w:type="dxa"/>
            <w:gridSpan w:val="2"/>
            <w:tcBorders>
              <w:top w:val="nil"/>
              <w:left w:val="nil"/>
              <w:bottom w:val="nil"/>
              <w:right w:val="nil"/>
            </w:tcBorders>
            <w:shd w:val="clear" w:color="auto" w:fill="auto"/>
            <w:noWrap/>
            <w:vAlign w:val="bottom"/>
            <w:hideMark/>
          </w:tcPr>
          <w:p w:rsidR="00202D54" w:rsidRPr="000F2725" w:rsidRDefault="00202D54" w:rsidP="00202D54">
            <w:pPr>
              <w:jc w:val="right"/>
              <w:rPr>
                <w:rFonts w:cs="Arial"/>
                <w:color w:val="000000"/>
                <w:sz w:val="20"/>
                <w:lang w:eastAsia="en-CA"/>
              </w:rPr>
            </w:pPr>
            <w:r w:rsidRPr="000F2725">
              <w:rPr>
                <w:rFonts w:cs="Arial"/>
                <w:color w:val="000000"/>
                <w:sz w:val="20"/>
                <w:lang w:eastAsia="en-CA"/>
              </w:rPr>
              <w:t>31%</w:t>
            </w:r>
          </w:p>
        </w:tc>
      </w:tr>
    </w:tbl>
    <w:p w:rsidR="00EA4DDF" w:rsidRPr="0072392B" w:rsidRDefault="00EA4DDF" w:rsidP="00857DFE">
      <w:pPr>
        <w:jc w:val="center"/>
        <w:outlineLvl w:val="0"/>
      </w:pPr>
    </w:p>
    <w:p w:rsidR="0083589A" w:rsidRDefault="0083589A"/>
    <w:sectPr w:rsidR="0083589A"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F25" w:rsidRDefault="00885F25" w:rsidP="00EA4DDF">
      <w:r>
        <w:separator/>
      </w:r>
    </w:p>
  </w:endnote>
  <w:endnote w:type="continuationSeparator" w:id="0">
    <w:p w:rsidR="00885F25" w:rsidRDefault="00885F25"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F25" w:rsidRDefault="00885F25"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5F25" w:rsidRDefault="00885F25"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F25" w:rsidRPr="007818D9" w:rsidRDefault="00885F25"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B34D8A">
      <w:rPr>
        <w:rStyle w:val="PageNumber"/>
        <w:rFonts w:ascii="Verdana" w:hAnsi="Verdana"/>
        <w:noProof/>
        <w:sz w:val="18"/>
        <w:szCs w:val="18"/>
      </w:rPr>
      <w:t>1</w:t>
    </w:r>
    <w:r w:rsidRPr="007818D9">
      <w:rPr>
        <w:rStyle w:val="PageNumber"/>
        <w:rFonts w:ascii="Verdana" w:hAnsi="Verdana"/>
        <w:sz w:val="18"/>
        <w:szCs w:val="18"/>
      </w:rPr>
      <w:fldChar w:fldCharType="end"/>
    </w:r>
  </w:p>
  <w:p w:rsidR="00885F25" w:rsidRDefault="00885F25"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885F25" w:rsidRPr="007818D9" w:rsidRDefault="00885F25"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rsidR="00885F25" w:rsidRPr="007B4CD3" w:rsidRDefault="00885F25"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F25" w:rsidRDefault="00885F25" w:rsidP="00EA4DDF">
      <w:r>
        <w:separator/>
      </w:r>
    </w:p>
  </w:footnote>
  <w:footnote w:type="continuationSeparator" w:id="0">
    <w:p w:rsidR="00885F25" w:rsidRDefault="00885F25"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F25" w:rsidRDefault="00885F25"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C9C5D02"/>
    <w:multiLevelType w:val="hybridMultilevel"/>
    <w:tmpl w:val="09E26898"/>
    <w:lvl w:ilvl="0" w:tplc="58205F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537C8"/>
    <w:multiLevelType w:val="hybridMultilevel"/>
    <w:tmpl w:val="574C74A0"/>
    <w:lvl w:ilvl="0" w:tplc="EC7AC718">
      <w:start w:val="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EB705D4"/>
    <w:multiLevelType w:val="hybridMultilevel"/>
    <w:tmpl w:val="972AB79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7">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nsid w:val="53CF01A2"/>
    <w:multiLevelType w:val="hybridMultilevel"/>
    <w:tmpl w:val="48F2CF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6">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20"/>
  </w:num>
  <w:num w:numId="4">
    <w:abstractNumId w:val="1"/>
  </w:num>
  <w:num w:numId="5">
    <w:abstractNumId w:val="12"/>
  </w:num>
  <w:num w:numId="6">
    <w:abstractNumId w:val="19"/>
  </w:num>
  <w:num w:numId="7">
    <w:abstractNumId w:val="25"/>
  </w:num>
  <w:num w:numId="8">
    <w:abstractNumId w:val="28"/>
  </w:num>
  <w:num w:numId="9">
    <w:abstractNumId w:val="17"/>
  </w:num>
  <w:num w:numId="10">
    <w:abstractNumId w:val="10"/>
  </w:num>
  <w:num w:numId="11">
    <w:abstractNumId w:val="9"/>
  </w:num>
  <w:num w:numId="12">
    <w:abstractNumId w:val="3"/>
  </w:num>
  <w:num w:numId="13">
    <w:abstractNumId w:val="23"/>
  </w:num>
  <w:num w:numId="14">
    <w:abstractNumId w:val="6"/>
  </w:num>
  <w:num w:numId="15">
    <w:abstractNumId w:val="29"/>
  </w:num>
  <w:num w:numId="16">
    <w:abstractNumId w:val="15"/>
  </w:num>
  <w:num w:numId="17">
    <w:abstractNumId w:val="31"/>
  </w:num>
  <w:num w:numId="18">
    <w:abstractNumId w:val="2"/>
  </w:num>
  <w:num w:numId="19">
    <w:abstractNumId w:val="27"/>
  </w:num>
  <w:num w:numId="20">
    <w:abstractNumId w:val="30"/>
  </w:num>
  <w:num w:numId="21">
    <w:abstractNumId w:val="8"/>
  </w:num>
  <w:num w:numId="22">
    <w:abstractNumId w:val="13"/>
  </w:num>
  <w:num w:numId="23">
    <w:abstractNumId w:val="26"/>
  </w:num>
  <w:num w:numId="24">
    <w:abstractNumId w:val="18"/>
  </w:num>
  <w:num w:numId="25">
    <w:abstractNumId w:val="0"/>
  </w:num>
  <w:num w:numId="26">
    <w:abstractNumId w:val="24"/>
  </w:num>
  <w:num w:numId="27">
    <w:abstractNumId w:val="11"/>
  </w:num>
  <w:num w:numId="28">
    <w:abstractNumId w:val="21"/>
  </w:num>
  <w:num w:numId="29">
    <w:abstractNumId w:val="14"/>
  </w:num>
  <w:num w:numId="30">
    <w:abstractNumId w:val="4"/>
  </w:num>
  <w:num w:numId="31">
    <w:abstractNumId w:val="22"/>
  </w:num>
  <w:num w:numId="3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24C7"/>
    <w:rsid w:val="00003C66"/>
    <w:rsid w:val="00005971"/>
    <w:rsid w:val="00010613"/>
    <w:rsid w:val="000138AB"/>
    <w:rsid w:val="000140FF"/>
    <w:rsid w:val="0001605F"/>
    <w:rsid w:val="00020D7E"/>
    <w:rsid w:val="00021BF5"/>
    <w:rsid w:val="000231C1"/>
    <w:rsid w:val="00025EAB"/>
    <w:rsid w:val="00026BC0"/>
    <w:rsid w:val="000411BE"/>
    <w:rsid w:val="00041FFE"/>
    <w:rsid w:val="00043CB8"/>
    <w:rsid w:val="00043D2B"/>
    <w:rsid w:val="00044988"/>
    <w:rsid w:val="00045E73"/>
    <w:rsid w:val="00047436"/>
    <w:rsid w:val="000533DE"/>
    <w:rsid w:val="00057029"/>
    <w:rsid w:val="0006516C"/>
    <w:rsid w:val="00070197"/>
    <w:rsid w:val="00070524"/>
    <w:rsid w:val="000715B2"/>
    <w:rsid w:val="00072A0E"/>
    <w:rsid w:val="00073721"/>
    <w:rsid w:val="00082E33"/>
    <w:rsid w:val="00084F95"/>
    <w:rsid w:val="00086C9A"/>
    <w:rsid w:val="00087434"/>
    <w:rsid w:val="000923F3"/>
    <w:rsid w:val="00094768"/>
    <w:rsid w:val="00095586"/>
    <w:rsid w:val="000A0BDC"/>
    <w:rsid w:val="000A1C97"/>
    <w:rsid w:val="000A5C36"/>
    <w:rsid w:val="000A755C"/>
    <w:rsid w:val="000A7795"/>
    <w:rsid w:val="000B344C"/>
    <w:rsid w:val="000B4CDA"/>
    <w:rsid w:val="000B766F"/>
    <w:rsid w:val="000B7D38"/>
    <w:rsid w:val="000C1B9B"/>
    <w:rsid w:val="000C27E7"/>
    <w:rsid w:val="000D1167"/>
    <w:rsid w:val="000D5D55"/>
    <w:rsid w:val="000D5F41"/>
    <w:rsid w:val="000E2222"/>
    <w:rsid w:val="000E32E2"/>
    <w:rsid w:val="000E4067"/>
    <w:rsid w:val="000E55CB"/>
    <w:rsid w:val="000E5C92"/>
    <w:rsid w:val="000E5F14"/>
    <w:rsid w:val="000F34C5"/>
    <w:rsid w:val="000F4401"/>
    <w:rsid w:val="000F4CBF"/>
    <w:rsid w:val="000F6C15"/>
    <w:rsid w:val="000F7C83"/>
    <w:rsid w:val="00105FBF"/>
    <w:rsid w:val="00106912"/>
    <w:rsid w:val="0010704A"/>
    <w:rsid w:val="00107314"/>
    <w:rsid w:val="00111574"/>
    <w:rsid w:val="00111BE3"/>
    <w:rsid w:val="001126F6"/>
    <w:rsid w:val="00115864"/>
    <w:rsid w:val="00116BEE"/>
    <w:rsid w:val="0012077C"/>
    <w:rsid w:val="00120C72"/>
    <w:rsid w:val="001253C7"/>
    <w:rsid w:val="0012699E"/>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2E02"/>
    <w:rsid w:val="001A441B"/>
    <w:rsid w:val="001B1B83"/>
    <w:rsid w:val="001C0FE4"/>
    <w:rsid w:val="001C1951"/>
    <w:rsid w:val="001C3B00"/>
    <w:rsid w:val="001C7E64"/>
    <w:rsid w:val="001D2C83"/>
    <w:rsid w:val="001D2E90"/>
    <w:rsid w:val="001D493F"/>
    <w:rsid w:val="001D78B3"/>
    <w:rsid w:val="001E32A0"/>
    <w:rsid w:val="001E39E1"/>
    <w:rsid w:val="001E79ED"/>
    <w:rsid w:val="001F1868"/>
    <w:rsid w:val="001F2770"/>
    <w:rsid w:val="001F38E6"/>
    <w:rsid w:val="001F4612"/>
    <w:rsid w:val="001F6088"/>
    <w:rsid w:val="00202D54"/>
    <w:rsid w:val="002036B3"/>
    <w:rsid w:val="002061B2"/>
    <w:rsid w:val="002062CA"/>
    <w:rsid w:val="0020655B"/>
    <w:rsid w:val="002074DA"/>
    <w:rsid w:val="002078C9"/>
    <w:rsid w:val="002116CE"/>
    <w:rsid w:val="00213B02"/>
    <w:rsid w:val="00216C21"/>
    <w:rsid w:val="0022315D"/>
    <w:rsid w:val="00231B02"/>
    <w:rsid w:val="002349D2"/>
    <w:rsid w:val="0023644D"/>
    <w:rsid w:val="00237332"/>
    <w:rsid w:val="002419F7"/>
    <w:rsid w:val="00241FF7"/>
    <w:rsid w:val="00242ACA"/>
    <w:rsid w:val="00245C6B"/>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C0BF6"/>
    <w:rsid w:val="002C1825"/>
    <w:rsid w:val="002C2373"/>
    <w:rsid w:val="002C40A0"/>
    <w:rsid w:val="002D003B"/>
    <w:rsid w:val="002D0A37"/>
    <w:rsid w:val="002D4A6D"/>
    <w:rsid w:val="002D5727"/>
    <w:rsid w:val="002D668D"/>
    <w:rsid w:val="002E36FD"/>
    <w:rsid w:val="002E5265"/>
    <w:rsid w:val="002F356E"/>
    <w:rsid w:val="002F438A"/>
    <w:rsid w:val="002F5CC1"/>
    <w:rsid w:val="002F6AAC"/>
    <w:rsid w:val="00301957"/>
    <w:rsid w:val="00302D5B"/>
    <w:rsid w:val="003059CA"/>
    <w:rsid w:val="0031210A"/>
    <w:rsid w:val="00314C05"/>
    <w:rsid w:val="00315632"/>
    <w:rsid w:val="0031718A"/>
    <w:rsid w:val="003214CF"/>
    <w:rsid w:val="003235C5"/>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6F7A"/>
    <w:rsid w:val="00357099"/>
    <w:rsid w:val="00357411"/>
    <w:rsid w:val="00360551"/>
    <w:rsid w:val="00360C63"/>
    <w:rsid w:val="00360EEA"/>
    <w:rsid w:val="0036350B"/>
    <w:rsid w:val="0036353B"/>
    <w:rsid w:val="003657CB"/>
    <w:rsid w:val="0036650F"/>
    <w:rsid w:val="00370566"/>
    <w:rsid w:val="003710DF"/>
    <w:rsid w:val="003713E2"/>
    <w:rsid w:val="00371990"/>
    <w:rsid w:val="003757DF"/>
    <w:rsid w:val="00382292"/>
    <w:rsid w:val="00395262"/>
    <w:rsid w:val="003965C2"/>
    <w:rsid w:val="003974A1"/>
    <w:rsid w:val="003A727B"/>
    <w:rsid w:val="003B031F"/>
    <w:rsid w:val="003B2A32"/>
    <w:rsid w:val="003B45B1"/>
    <w:rsid w:val="003B4A15"/>
    <w:rsid w:val="003C103B"/>
    <w:rsid w:val="003C121F"/>
    <w:rsid w:val="003C3EDA"/>
    <w:rsid w:val="003D17FD"/>
    <w:rsid w:val="003D24CF"/>
    <w:rsid w:val="003D2926"/>
    <w:rsid w:val="003D4388"/>
    <w:rsid w:val="003D6964"/>
    <w:rsid w:val="003E0796"/>
    <w:rsid w:val="003E0D78"/>
    <w:rsid w:val="003E2B77"/>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4223"/>
    <w:rsid w:val="00464A85"/>
    <w:rsid w:val="00466960"/>
    <w:rsid w:val="00467C55"/>
    <w:rsid w:val="004723F6"/>
    <w:rsid w:val="004740E8"/>
    <w:rsid w:val="004854F7"/>
    <w:rsid w:val="00486323"/>
    <w:rsid w:val="00486761"/>
    <w:rsid w:val="00491F5D"/>
    <w:rsid w:val="004944B9"/>
    <w:rsid w:val="004A0EE7"/>
    <w:rsid w:val="004A2D0C"/>
    <w:rsid w:val="004A4E50"/>
    <w:rsid w:val="004A5368"/>
    <w:rsid w:val="004A5A58"/>
    <w:rsid w:val="004A77A5"/>
    <w:rsid w:val="004B1A19"/>
    <w:rsid w:val="004B1FD9"/>
    <w:rsid w:val="004B283B"/>
    <w:rsid w:val="004B2B20"/>
    <w:rsid w:val="004B3226"/>
    <w:rsid w:val="004B73CB"/>
    <w:rsid w:val="004B7474"/>
    <w:rsid w:val="004D29D6"/>
    <w:rsid w:val="004D5AA4"/>
    <w:rsid w:val="004D6529"/>
    <w:rsid w:val="004D79E0"/>
    <w:rsid w:val="004E0D58"/>
    <w:rsid w:val="004E2FFA"/>
    <w:rsid w:val="004E380A"/>
    <w:rsid w:val="004E49D1"/>
    <w:rsid w:val="004F206E"/>
    <w:rsid w:val="004F28F1"/>
    <w:rsid w:val="004F3292"/>
    <w:rsid w:val="004F3915"/>
    <w:rsid w:val="004F7014"/>
    <w:rsid w:val="00506BBB"/>
    <w:rsid w:val="00506FDA"/>
    <w:rsid w:val="00512644"/>
    <w:rsid w:val="00520192"/>
    <w:rsid w:val="005249B1"/>
    <w:rsid w:val="00524AC3"/>
    <w:rsid w:val="00530735"/>
    <w:rsid w:val="005339E9"/>
    <w:rsid w:val="00533EA8"/>
    <w:rsid w:val="005354F1"/>
    <w:rsid w:val="00543274"/>
    <w:rsid w:val="00544556"/>
    <w:rsid w:val="00544F83"/>
    <w:rsid w:val="005454D5"/>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92230"/>
    <w:rsid w:val="005945E0"/>
    <w:rsid w:val="00596463"/>
    <w:rsid w:val="00597F45"/>
    <w:rsid w:val="005A7D50"/>
    <w:rsid w:val="005B0C56"/>
    <w:rsid w:val="005B2494"/>
    <w:rsid w:val="005B25DF"/>
    <w:rsid w:val="005B6A0B"/>
    <w:rsid w:val="005C79FE"/>
    <w:rsid w:val="005D01B1"/>
    <w:rsid w:val="005D4D47"/>
    <w:rsid w:val="005D66C4"/>
    <w:rsid w:val="005E17D8"/>
    <w:rsid w:val="005E4B36"/>
    <w:rsid w:val="005E5AB1"/>
    <w:rsid w:val="005E7498"/>
    <w:rsid w:val="005E7999"/>
    <w:rsid w:val="005F0193"/>
    <w:rsid w:val="005F60E6"/>
    <w:rsid w:val="005F7232"/>
    <w:rsid w:val="00603F88"/>
    <w:rsid w:val="00604D83"/>
    <w:rsid w:val="006127AA"/>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5542E"/>
    <w:rsid w:val="0066278E"/>
    <w:rsid w:val="00663DAA"/>
    <w:rsid w:val="00666D7C"/>
    <w:rsid w:val="006718E5"/>
    <w:rsid w:val="00671E74"/>
    <w:rsid w:val="00680844"/>
    <w:rsid w:val="006832EB"/>
    <w:rsid w:val="0068378E"/>
    <w:rsid w:val="006837E4"/>
    <w:rsid w:val="00685F47"/>
    <w:rsid w:val="00687C9A"/>
    <w:rsid w:val="006956DA"/>
    <w:rsid w:val="006962F8"/>
    <w:rsid w:val="006A141E"/>
    <w:rsid w:val="006B0E47"/>
    <w:rsid w:val="006B119F"/>
    <w:rsid w:val="006B5A46"/>
    <w:rsid w:val="006C01A4"/>
    <w:rsid w:val="006C41D6"/>
    <w:rsid w:val="006C5FE3"/>
    <w:rsid w:val="006D1EC2"/>
    <w:rsid w:val="006D434E"/>
    <w:rsid w:val="006E0AE9"/>
    <w:rsid w:val="006E13CB"/>
    <w:rsid w:val="006E54F9"/>
    <w:rsid w:val="006E75AE"/>
    <w:rsid w:val="006F06D3"/>
    <w:rsid w:val="006F3215"/>
    <w:rsid w:val="006F46E4"/>
    <w:rsid w:val="006F502A"/>
    <w:rsid w:val="00700E81"/>
    <w:rsid w:val="0070189D"/>
    <w:rsid w:val="007058A3"/>
    <w:rsid w:val="00705B95"/>
    <w:rsid w:val="00713E69"/>
    <w:rsid w:val="007153FE"/>
    <w:rsid w:val="00716986"/>
    <w:rsid w:val="00722119"/>
    <w:rsid w:val="00724197"/>
    <w:rsid w:val="00727CA0"/>
    <w:rsid w:val="00730BAA"/>
    <w:rsid w:val="00736100"/>
    <w:rsid w:val="00741727"/>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818D9"/>
    <w:rsid w:val="00782D2E"/>
    <w:rsid w:val="0078632D"/>
    <w:rsid w:val="00792ADC"/>
    <w:rsid w:val="007933A7"/>
    <w:rsid w:val="00796008"/>
    <w:rsid w:val="0079656D"/>
    <w:rsid w:val="007A16E8"/>
    <w:rsid w:val="007A1B5C"/>
    <w:rsid w:val="007A1BBC"/>
    <w:rsid w:val="007A29F2"/>
    <w:rsid w:val="007A6391"/>
    <w:rsid w:val="007A7013"/>
    <w:rsid w:val="007B5A1F"/>
    <w:rsid w:val="007B6400"/>
    <w:rsid w:val="007C497F"/>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3C57"/>
    <w:rsid w:val="00804625"/>
    <w:rsid w:val="00805D15"/>
    <w:rsid w:val="00814578"/>
    <w:rsid w:val="00817193"/>
    <w:rsid w:val="008205A1"/>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8A0"/>
    <w:rsid w:val="0087177C"/>
    <w:rsid w:val="0087306B"/>
    <w:rsid w:val="0087445F"/>
    <w:rsid w:val="00877342"/>
    <w:rsid w:val="00881E5B"/>
    <w:rsid w:val="008850BC"/>
    <w:rsid w:val="00885F25"/>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2C7F"/>
    <w:rsid w:val="008C3267"/>
    <w:rsid w:val="008C7BF5"/>
    <w:rsid w:val="008D1696"/>
    <w:rsid w:val="008D5A85"/>
    <w:rsid w:val="008D5E95"/>
    <w:rsid w:val="008E0C1F"/>
    <w:rsid w:val="008E0DF0"/>
    <w:rsid w:val="008E1062"/>
    <w:rsid w:val="008E492C"/>
    <w:rsid w:val="008E74BE"/>
    <w:rsid w:val="008F0255"/>
    <w:rsid w:val="008F066A"/>
    <w:rsid w:val="008F4407"/>
    <w:rsid w:val="008F7287"/>
    <w:rsid w:val="00902321"/>
    <w:rsid w:val="00904060"/>
    <w:rsid w:val="00905B00"/>
    <w:rsid w:val="00907A2A"/>
    <w:rsid w:val="00907CE8"/>
    <w:rsid w:val="00910B6C"/>
    <w:rsid w:val="0091656B"/>
    <w:rsid w:val="00920225"/>
    <w:rsid w:val="00920DFD"/>
    <w:rsid w:val="00921FDB"/>
    <w:rsid w:val="00922161"/>
    <w:rsid w:val="00923E98"/>
    <w:rsid w:val="00925842"/>
    <w:rsid w:val="009265C5"/>
    <w:rsid w:val="00927D31"/>
    <w:rsid w:val="0093193B"/>
    <w:rsid w:val="00932F8F"/>
    <w:rsid w:val="009337B2"/>
    <w:rsid w:val="00933ABA"/>
    <w:rsid w:val="00941740"/>
    <w:rsid w:val="00947016"/>
    <w:rsid w:val="009472B1"/>
    <w:rsid w:val="0095020D"/>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E1E"/>
    <w:rsid w:val="009A2E5D"/>
    <w:rsid w:val="009A3581"/>
    <w:rsid w:val="009A634C"/>
    <w:rsid w:val="009A73DD"/>
    <w:rsid w:val="009A7611"/>
    <w:rsid w:val="009B4F53"/>
    <w:rsid w:val="009B545E"/>
    <w:rsid w:val="009B669D"/>
    <w:rsid w:val="009C26E4"/>
    <w:rsid w:val="009C274C"/>
    <w:rsid w:val="009C4B3C"/>
    <w:rsid w:val="009D12C2"/>
    <w:rsid w:val="009D2516"/>
    <w:rsid w:val="009D2C0F"/>
    <w:rsid w:val="009D4425"/>
    <w:rsid w:val="009D59A7"/>
    <w:rsid w:val="009D6A8C"/>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35F0"/>
    <w:rsid w:val="00A15360"/>
    <w:rsid w:val="00A175AD"/>
    <w:rsid w:val="00A20F09"/>
    <w:rsid w:val="00A22686"/>
    <w:rsid w:val="00A22BB4"/>
    <w:rsid w:val="00A25EE7"/>
    <w:rsid w:val="00A27D06"/>
    <w:rsid w:val="00A30A54"/>
    <w:rsid w:val="00A31526"/>
    <w:rsid w:val="00A31E92"/>
    <w:rsid w:val="00A35A28"/>
    <w:rsid w:val="00A35F2E"/>
    <w:rsid w:val="00A37FCB"/>
    <w:rsid w:val="00A40186"/>
    <w:rsid w:val="00A5218E"/>
    <w:rsid w:val="00A52A01"/>
    <w:rsid w:val="00A53A32"/>
    <w:rsid w:val="00A53DE9"/>
    <w:rsid w:val="00A53DF1"/>
    <w:rsid w:val="00A53F17"/>
    <w:rsid w:val="00A544B3"/>
    <w:rsid w:val="00A61816"/>
    <w:rsid w:val="00A64030"/>
    <w:rsid w:val="00A75886"/>
    <w:rsid w:val="00A774ED"/>
    <w:rsid w:val="00A81144"/>
    <w:rsid w:val="00A8370E"/>
    <w:rsid w:val="00A9182C"/>
    <w:rsid w:val="00A96D83"/>
    <w:rsid w:val="00AA0E8F"/>
    <w:rsid w:val="00AA2A87"/>
    <w:rsid w:val="00AA3338"/>
    <w:rsid w:val="00AA3AD1"/>
    <w:rsid w:val="00AB399A"/>
    <w:rsid w:val="00AB3D9E"/>
    <w:rsid w:val="00AB5A30"/>
    <w:rsid w:val="00AB635A"/>
    <w:rsid w:val="00AB67FD"/>
    <w:rsid w:val="00AC1518"/>
    <w:rsid w:val="00AC43E0"/>
    <w:rsid w:val="00AC470B"/>
    <w:rsid w:val="00AC4789"/>
    <w:rsid w:val="00AD105B"/>
    <w:rsid w:val="00AD26F5"/>
    <w:rsid w:val="00AD341D"/>
    <w:rsid w:val="00AD4D6E"/>
    <w:rsid w:val="00AD520F"/>
    <w:rsid w:val="00AD6B2C"/>
    <w:rsid w:val="00AD7081"/>
    <w:rsid w:val="00AE13ED"/>
    <w:rsid w:val="00AE2027"/>
    <w:rsid w:val="00AE62DC"/>
    <w:rsid w:val="00AF3660"/>
    <w:rsid w:val="00AF505B"/>
    <w:rsid w:val="00AF65C6"/>
    <w:rsid w:val="00B00553"/>
    <w:rsid w:val="00B01812"/>
    <w:rsid w:val="00B019ED"/>
    <w:rsid w:val="00B033BD"/>
    <w:rsid w:val="00B051E1"/>
    <w:rsid w:val="00B05E35"/>
    <w:rsid w:val="00B1055D"/>
    <w:rsid w:val="00B1346E"/>
    <w:rsid w:val="00B22AB3"/>
    <w:rsid w:val="00B24836"/>
    <w:rsid w:val="00B25DF9"/>
    <w:rsid w:val="00B30C31"/>
    <w:rsid w:val="00B3256E"/>
    <w:rsid w:val="00B32B5D"/>
    <w:rsid w:val="00B34D8A"/>
    <w:rsid w:val="00B3611E"/>
    <w:rsid w:val="00B3635C"/>
    <w:rsid w:val="00B36970"/>
    <w:rsid w:val="00B406CE"/>
    <w:rsid w:val="00B40EB1"/>
    <w:rsid w:val="00B436D7"/>
    <w:rsid w:val="00B452B3"/>
    <w:rsid w:val="00B45324"/>
    <w:rsid w:val="00B45829"/>
    <w:rsid w:val="00B53BB8"/>
    <w:rsid w:val="00B60B22"/>
    <w:rsid w:val="00B60DFD"/>
    <w:rsid w:val="00B63FD8"/>
    <w:rsid w:val="00B6516C"/>
    <w:rsid w:val="00B65484"/>
    <w:rsid w:val="00B65CBC"/>
    <w:rsid w:val="00B67148"/>
    <w:rsid w:val="00B6744D"/>
    <w:rsid w:val="00B71D77"/>
    <w:rsid w:val="00B74085"/>
    <w:rsid w:val="00B77F18"/>
    <w:rsid w:val="00B814B3"/>
    <w:rsid w:val="00B83939"/>
    <w:rsid w:val="00B84BCA"/>
    <w:rsid w:val="00B853C3"/>
    <w:rsid w:val="00B91B93"/>
    <w:rsid w:val="00B94458"/>
    <w:rsid w:val="00BA3C3E"/>
    <w:rsid w:val="00BA577D"/>
    <w:rsid w:val="00BA5930"/>
    <w:rsid w:val="00BA74C6"/>
    <w:rsid w:val="00BB1FCD"/>
    <w:rsid w:val="00BB28AC"/>
    <w:rsid w:val="00BB4A4F"/>
    <w:rsid w:val="00BB793E"/>
    <w:rsid w:val="00BC0CE2"/>
    <w:rsid w:val="00BC1160"/>
    <w:rsid w:val="00BC3074"/>
    <w:rsid w:val="00BC7246"/>
    <w:rsid w:val="00BD02D2"/>
    <w:rsid w:val="00BD3863"/>
    <w:rsid w:val="00BD3F24"/>
    <w:rsid w:val="00BD46C0"/>
    <w:rsid w:val="00BD4710"/>
    <w:rsid w:val="00BD588E"/>
    <w:rsid w:val="00BD6229"/>
    <w:rsid w:val="00BD676E"/>
    <w:rsid w:val="00BD6EBA"/>
    <w:rsid w:val="00BE5DC4"/>
    <w:rsid w:val="00BE60A4"/>
    <w:rsid w:val="00BE7924"/>
    <w:rsid w:val="00BF50B6"/>
    <w:rsid w:val="00BF77D6"/>
    <w:rsid w:val="00C063EB"/>
    <w:rsid w:val="00C14726"/>
    <w:rsid w:val="00C16DCC"/>
    <w:rsid w:val="00C202D0"/>
    <w:rsid w:val="00C22C8A"/>
    <w:rsid w:val="00C241BC"/>
    <w:rsid w:val="00C25B63"/>
    <w:rsid w:val="00C302AA"/>
    <w:rsid w:val="00C31074"/>
    <w:rsid w:val="00C3736E"/>
    <w:rsid w:val="00C410D0"/>
    <w:rsid w:val="00C41434"/>
    <w:rsid w:val="00C4309C"/>
    <w:rsid w:val="00C43216"/>
    <w:rsid w:val="00C43DAD"/>
    <w:rsid w:val="00C46065"/>
    <w:rsid w:val="00C50635"/>
    <w:rsid w:val="00C53606"/>
    <w:rsid w:val="00C5544B"/>
    <w:rsid w:val="00C56CE2"/>
    <w:rsid w:val="00C57DE3"/>
    <w:rsid w:val="00C62DA0"/>
    <w:rsid w:val="00C63295"/>
    <w:rsid w:val="00C632AC"/>
    <w:rsid w:val="00C6573D"/>
    <w:rsid w:val="00C65EB6"/>
    <w:rsid w:val="00C66249"/>
    <w:rsid w:val="00C70871"/>
    <w:rsid w:val="00C710E9"/>
    <w:rsid w:val="00C71455"/>
    <w:rsid w:val="00C74FBC"/>
    <w:rsid w:val="00C7517A"/>
    <w:rsid w:val="00C80862"/>
    <w:rsid w:val="00C80FAC"/>
    <w:rsid w:val="00C81230"/>
    <w:rsid w:val="00C86731"/>
    <w:rsid w:val="00C909EE"/>
    <w:rsid w:val="00CA341D"/>
    <w:rsid w:val="00CA601D"/>
    <w:rsid w:val="00CB4A27"/>
    <w:rsid w:val="00CB4EDA"/>
    <w:rsid w:val="00CB598A"/>
    <w:rsid w:val="00CB6445"/>
    <w:rsid w:val="00CB6C90"/>
    <w:rsid w:val="00CC204F"/>
    <w:rsid w:val="00CD4949"/>
    <w:rsid w:val="00CD665A"/>
    <w:rsid w:val="00CD6AAE"/>
    <w:rsid w:val="00CD76FC"/>
    <w:rsid w:val="00CE2B69"/>
    <w:rsid w:val="00CE50FD"/>
    <w:rsid w:val="00CE74EA"/>
    <w:rsid w:val="00CE7CC2"/>
    <w:rsid w:val="00CF1E8E"/>
    <w:rsid w:val="00CF1EF4"/>
    <w:rsid w:val="00CF27C4"/>
    <w:rsid w:val="00CF37DE"/>
    <w:rsid w:val="00CF3AD1"/>
    <w:rsid w:val="00CF655A"/>
    <w:rsid w:val="00CF6B50"/>
    <w:rsid w:val="00CF6E79"/>
    <w:rsid w:val="00CF7849"/>
    <w:rsid w:val="00D012AC"/>
    <w:rsid w:val="00D06D7C"/>
    <w:rsid w:val="00D07044"/>
    <w:rsid w:val="00D1430F"/>
    <w:rsid w:val="00D145BE"/>
    <w:rsid w:val="00D208AB"/>
    <w:rsid w:val="00D2341C"/>
    <w:rsid w:val="00D237EC"/>
    <w:rsid w:val="00D30BAF"/>
    <w:rsid w:val="00D33330"/>
    <w:rsid w:val="00D34491"/>
    <w:rsid w:val="00D34A46"/>
    <w:rsid w:val="00D34EF1"/>
    <w:rsid w:val="00D4321F"/>
    <w:rsid w:val="00D43E1B"/>
    <w:rsid w:val="00D44A70"/>
    <w:rsid w:val="00D537C1"/>
    <w:rsid w:val="00D53B4D"/>
    <w:rsid w:val="00D557FD"/>
    <w:rsid w:val="00D55E06"/>
    <w:rsid w:val="00D561E3"/>
    <w:rsid w:val="00D62FB9"/>
    <w:rsid w:val="00D64F15"/>
    <w:rsid w:val="00D71115"/>
    <w:rsid w:val="00D846C1"/>
    <w:rsid w:val="00D85FB4"/>
    <w:rsid w:val="00D922B3"/>
    <w:rsid w:val="00D92850"/>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401C"/>
    <w:rsid w:val="00DD4691"/>
    <w:rsid w:val="00DE2DE0"/>
    <w:rsid w:val="00DE3AA2"/>
    <w:rsid w:val="00DE4CAA"/>
    <w:rsid w:val="00DE56BE"/>
    <w:rsid w:val="00DF4008"/>
    <w:rsid w:val="00DF4337"/>
    <w:rsid w:val="00DF4932"/>
    <w:rsid w:val="00DF7E4A"/>
    <w:rsid w:val="00E07F52"/>
    <w:rsid w:val="00E10F7A"/>
    <w:rsid w:val="00E13FBC"/>
    <w:rsid w:val="00E14212"/>
    <w:rsid w:val="00E159F9"/>
    <w:rsid w:val="00E23EB9"/>
    <w:rsid w:val="00E3496F"/>
    <w:rsid w:val="00E46F37"/>
    <w:rsid w:val="00E51BCF"/>
    <w:rsid w:val="00E52FFD"/>
    <w:rsid w:val="00E54A66"/>
    <w:rsid w:val="00E55C49"/>
    <w:rsid w:val="00E60F96"/>
    <w:rsid w:val="00E61F7A"/>
    <w:rsid w:val="00E63086"/>
    <w:rsid w:val="00E651EB"/>
    <w:rsid w:val="00E6540B"/>
    <w:rsid w:val="00E655B6"/>
    <w:rsid w:val="00E75859"/>
    <w:rsid w:val="00E7760A"/>
    <w:rsid w:val="00E8152F"/>
    <w:rsid w:val="00E81CAA"/>
    <w:rsid w:val="00E83317"/>
    <w:rsid w:val="00E83E61"/>
    <w:rsid w:val="00E8487C"/>
    <w:rsid w:val="00E874E8"/>
    <w:rsid w:val="00E9253E"/>
    <w:rsid w:val="00E97509"/>
    <w:rsid w:val="00EA3C25"/>
    <w:rsid w:val="00EA4DDF"/>
    <w:rsid w:val="00EA566A"/>
    <w:rsid w:val="00EB2E6B"/>
    <w:rsid w:val="00EB3295"/>
    <w:rsid w:val="00EB4375"/>
    <w:rsid w:val="00EB4A33"/>
    <w:rsid w:val="00EC23BC"/>
    <w:rsid w:val="00EC2EA7"/>
    <w:rsid w:val="00ED0AE5"/>
    <w:rsid w:val="00ED66A7"/>
    <w:rsid w:val="00ED770B"/>
    <w:rsid w:val="00EE0A5D"/>
    <w:rsid w:val="00EE1B09"/>
    <w:rsid w:val="00EE23BB"/>
    <w:rsid w:val="00EE346B"/>
    <w:rsid w:val="00EE70DA"/>
    <w:rsid w:val="00EF15B4"/>
    <w:rsid w:val="00EF176F"/>
    <w:rsid w:val="00EF18ED"/>
    <w:rsid w:val="00EF3333"/>
    <w:rsid w:val="00EF4AD8"/>
    <w:rsid w:val="00EF60F2"/>
    <w:rsid w:val="00F00E14"/>
    <w:rsid w:val="00F02572"/>
    <w:rsid w:val="00F0265F"/>
    <w:rsid w:val="00F03F6E"/>
    <w:rsid w:val="00F05574"/>
    <w:rsid w:val="00F069C5"/>
    <w:rsid w:val="00F0794E"/>
    <w:rsid w:val="00F10C7C"/>
    <w:rsid w:val="00F13776"/>
    <w:rsid w:val="00F14994"/>
    <w:rsid w:val="00F15347"/>
    <w:rsid w:val="00F23576"/>
    <w:rsid w:val="00F245A6"/>
    <w:rsid w:val="00F25A03"/>
    <w:rsid w:val="00F34EC5"/>
    <w:rsid w:val="00F36494"/>
    <w:rsid w:val="00F37556"/>
    <w:rsid w:val="00F40B70"/>
    <w:rsid w:val="00F4312F"/>
    <w:rsid w:val="00F45929"/>
    <w:rsid w:val="00F46630"/>
    <w:rsid w:val="00F476CF"/>
    <w:rsid w:val="00F51831"/>
    <w:rsid w:val="00F51C80"/>
    <w:rsid w:val="00F53B2B"/>
    <w:rsid w:val="00F54B93"/>
    <w:rsid w:val="00F56098"/>
    <w:rsid w:val="00F57047"/>
    <w:rsid w:val="00F63636"/>
    <w:rsid w:val="00F71A9D"/>
    <w:rsid w:val="00F73D2E"/>
    <w:rsid w:val="00F75446"/>
    <w:rsid w:val="00F766F7"/>
    <w:rsid w:val="00F76ED7"/>
    <w:rsid w:val="00F81C7D"/>
    <w:rsid w:val="00F82870"/>
    <w:rsid w:val="00F96A5E"/>
    <w:rsid w:val="00FA0225"/>
    <w:rsid w:val="00FA1F5D"/>
    <w:rsid w:val="00FA4C58"/>
    <w:rsid w:val="00FB0A26"/>
    <w:rsid w:val="00FB0D17"/>
    <w:rsid w:val="00FB2C5C"/>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F189BA-9FC0-42C8-A80F-AD8B8EDC3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paragraph" w:customStyle="1" w:styleId="Default">
    <w:name w:val="Default"/>
    <w:rsid w:val="00671E7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1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B9CFD0D5</Template>
  <TotalTime>56</TotalTime>
  <Pages>15</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25327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Tracey Bell</cp:lastModifiedBy>
  <cp:revision>8</cp:revision>
  <cp:lastPrinted>2012-10-01T12:40:00Z</cp:lastPrinted>
  <dcterms:created xsi:type="dcterms:W3CDTF">2013-02-27T17:58:00Z</dcterms:created>
  <dcterms:modified xsi:type="dcterms:W3CDTF">2016-07-26T18:11:00Z</dcterms:modified>
</cp:coreProperties>
</file>