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2013/14</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A7345D" w:rsidP="00373FD2">
            <w:pPr>
              <w:pStyle w:val="Header"/>
              <w:jc w:val="center"/>
              <w:rPr>
                <w:rFonts w:cs="Arial"/>
                <w:b/>
                <w:szCs w:val="22"/>
                <w:lang w:val="en-CA"/>
              </w:rPr>
            </w:pPr>
            <w:r>
              <w:rPr>
                <w:rFonts w:cs="Arial"/>
                <w:b/>
                <w:szCs w:val="22"/>
                <w:lang w:val="en-CA"/>
              </w:rPr>
              <w:t>Erin Kirk</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A7345D" w:rsidP="00A7345D">
            <w:pPr>
              <w:pStyle w:val="Header"/>
              <w:jc w:val="center"/>
              <w:rPr>
                <w:rFonts w:cs="Arial"/>
                <w:b/>
                <w:szCs w:val="22"/>
                <w:lang w:val="en-CA"/>
              </w:rPr>
            </w:pPr>
            <w:r>
              <w:rPr>
                <w:rFonts w:cs="Arial"/>
                <w:b/>
                <w:szCs w:val="22"/>
                <w:lang w:val="en-CA"/>
              </w:rPr>
              <w:t>General Arts and Sciences</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A7345D" w:rsidP="00373FD2">
            <w:pPr>
              <w:pStyle w:val="Header"/>
              <w:jc w:val="center"/>
              <w:rPr>
                <w:rFonts w:cs="Arial"/>
                <w:b/>
                <w:szCs w:val="22"/>
                <w:lang w:val="en-CA"/>
              </w:rPr>
            </w:pPr>
            <w:r>
              <w:rPr>
                <w:rFonts w:cs="Arial"/>
                <w:b/>
                <w:szCs w:val="22"/>
                <w:lang w:val="en-CA"/>
              </w:rPr>
              <w:t>41601</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A7345D" w:rsidP="00373FD2">
            <w:pPr>
              <w:pStyle w:val="Header"/>
              <w:jc w:val="center"/>
              <w:rPr>
                <w:rFonts w:cs="Arial"/>
                <w:b/>
                <w:szCs w:val="22"/>
                <w:lang w:val="en-CA"/>
              </w:rPr>
            </w:pPr>
            <w:r>
              <w:rPr>
                <w:rFonts w:cs="Arial"/>
                <w:b/>
                <w:szCs w:val="22"/>
                <w:lang w:val="en-CA"/>
              </w:rPr>
              <w:t>In Progress</w:t>
            </w:r>
            <w:r w:rsidR="00C8119B">
              <w:rPr>
                <w:rFonts w:cs="Arial"/>
                <w:b/>
                <w:szCs w:val="22"/>
                <w:lang w:val="en-CA"/>
              </w:rPr>
              <w:t xml:space="preserve"> (2013-2014)</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A7345D" w:rsidP="00A7345D">
            <w:pPr>
              <w:pStyle w:val="Header"/>
              <w:rPr>
                <w:rFonts w:cs="Arial"/>
                <w:b/>
                <w:szCs w:val="22"/>
                <w:lang w:val="en-CA"/>
              </w:rPr>
            </w:pPr>
            <w:r>
              <w:rPr>
                <w:rFonts w:cs="Arial"/>
                <w:b/>
                <w:szCs w:val="22"/>
                <w:lang w:val="en-CA"/>
              </w:rPr>
              <w:t xml:space="preserve"> Preparatory Health Science (PHS)</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Pr="00EE02E0" w:rsidRDefault="001D5C52" w:rsidP="004C2936">
            <w:pPr>
              <w:numPr>
                <w:ilvl w:val="1"/>
                <w:numId w:val="3"/>
              </w:numPr>
              <w:rPr>
                <w:rFonts w:cs="Arial"/>
                <w:color w:val="0000FF"/>
                <w:sz w:val="20"/>
              </w:rPr>
            </w:pPr>
            <w:proofErr w:type="gramStart"/>
            <w:r>
              <w:rPr>
                <w:rFonts w:cs="Arial"/>
                <w:sz w:val="20"/>
              </w:rPr>
              <w:t>Are there n</w:t>
            </w:r>
            <w:r w:rsidR="00373FD2" w:rsidRPr="00356C80">
              <w:rPr>
                <w:rFonts w:cs="Arial"/>
                <w:sz w:val="20"/>
              </w:rPr>
              <w:t xml:space="preserve">ew or emergent </w:t>
            </w:r>
            <w:r w:rsidR="00373FD2" w:rsidRPr="00356C80">
              <w:rPr>
                <w:rFonts w:cs="Arial"/>
                <w:i/>
                <w:sz w:val="20"/>
              </w:rPr>
              <w:t>industry</w:t>
            </w:r>
            <w:proofErr w:type="gramEnd"/>
            <w:r w:rsidR="00373FD2" w:rsidRPr="00356C80">
              <w:rPr>
                <w:rFonts w:cs="Arial"/>
                <w:i/>
                <w:sz w:val="20"/>
              </w:rPr>
              <w:t xml:space="preserve"> or sector </w:t>
            </w:r>
            <w:r w:rsidR="00373FD2" w:rsidRPr="00356C80">
              <w:rPr>
                <w:rFonts w:cs="Arial"/>
                <w:sz w:val="20"/>
              </w:rPr>
              <w:t>related issues and trends identified over the past year and their potential impact on the program</w:t>
            </w:r>
            <w:r>
              <w:rPr>
                <w:rFonts w:cs="Arial"/>
                <w:sz w:val="20"/>
              </w:rPr>
              <w:t>?</w:t>
            </w:r>
            <w:r w:rsidR="00C74B19">
              <w:rPr>
                <w:rFonts w:cs="Arial"/>
                <w:sz w:val="20"/>
              </w:rPr>
              <w:t xml:space="preserve"> </w:t>
            </w:r>
            <w:r w:rsidR="00C74B19" w:rsidRPr="00EE02E0">
              <w:rPr>
                <w:rFonts w:cs="Arial"/>
                <w:i/>
                <w:color w:val="0000FF"/>
                <w:sz w:val="20"/>
              </w:rPr>
              <w:t>Yes</w:t>
            </w:r>
          </w:p>
          <w:p w:rsidR="00A7345D" w:rsidRPr="00EE02E0" w:rsidRDefault="00A7345D" w:rsidP="00A7345D">
            <w:pPr>
              <w:ind w:left="720"/>
              <w:rPr>
                <w:rFonts w:cs="Arial"/>
                <w:color w:val="0000FF"/>
                <w:sz w:val="20"/>
              </w:rPr>
            </w:pPr>
          </w:p>
          <w:p w:rsidR="00C8119B" w:rsidRPr="00EE02E0" w:rsidRDefault="00A7345D" w:rsidP="00A7345D">
            <w:pPr>
              <w:ind w:left="720"/>
              <w:rPr>
                <w:rFonts w:cs="Arial"/>
                <w:color w:val="0000FF"/>
                <w:sz w:val="20"/>
              </w:rPr>
            </w:pPr>
            <w:r w:rsidRPr="00EE02E0">
              <w:rPr>
                <w:rFonts w:cs="Arial"/>
                <w:color w:val="0000FF"/>
                <w:sz w:val="20"/>
              </w:rPr>
              <w:t xml:space="preserve">Initiatives from Heads of Health Science Pre-Health Sciences Project entitled “PRE-HEALTH COLLEGE TO COLLEGE ALIGNMENT OF POLICY, PRACTICE AND PROGRAM LEARNING OUTCOMES TO FACILITATE STUDENT MOBILITY AND INTER-COLLEGE ADMISSIONS AND CREDIT </w:t>
            </w:r>
            <w:proofErr w:type="gramStart"/>
            <w:r w:rsidRPr="00EE02E0">
              <w:rPr>
                <w:rFonts w:cs="Arial"/>
                <w:color w:val="0000FF"/>
                <w:sz w:val="20"/>
              </w:rPr>
              <w:t>TRANSFER  REPORT</w:t>
            </w:r>
            <w:proofErr w:type="gramEnd"/>
            <w:r w:rsidRPr="00EE02E0">
              <w:rPr>
                <w:rFonts w:cs="Arial"/>
                <w:color w:val="0000FF"/>
                <w:sz w:val="20"/>
              </w:rPr>
              <w:t xml:space="preserve">”. In summary, this project hopes to standardize all pre-health science programs </w:t>
            </w:r>
            <w:r w:rsidR="00C8119B" w:rsidRPr="00EE02E0">
              <w:rPr>
                <w:rFonts w:cs="Arial"/>
                <w:color w:val="0000FF"/>
                <w:sz w:val="20"/>
              </w:rPr>
              <w:t xml:space="preserve">at the course level so that all pre-health programs are standardized. </w:t>
            </w:r>
          </w:p>
          <w:p w:rsidR="00C8119B" w:rsidRPr="00EE02E0" w:rsidRDefault="00C8119B" w:rsidP="00A7345D">
            <w:pPr>
              <w:ind w:left="720"/>
              <w:rPr>
                <w:rFonts w:cs="Arial"/>
                <w:color w:val="0000FF"/>
                <w:sz w:val="20"/>
              </w:rPr>
            </w:pPr>
          </w:p>
          <w:p w:rsidR="00373FD2" w:rsidRPr="00EE02E0" w:rsidRDefault="00C8119B" w:rsidP="00A7345D">
            <w:pPr>
              <w:ind w:left="720"/>
              <w:rPr>
                <w:rFonts w:cs="Arial"/>
                <w:color w:val="0000FF"/>
                <w:sz w:val="20"/>
              </w:rPr>
            </w:pPr>
            <w:r w:rsidRPr="00EE02E0">
              <w:rPr>
                <w:rFonts w:cs="Arial"/>
                <w:color w:val="0000FF"/>
                <w:sz w:val="20"/>
              </w:rPr>
              <w:t xml:space="preserve">The PHS group feels that this </w:t>
            </w:r>
            <w:r w:rsidR="0073513E" w:rsidRPr="00EE02E0">
              <w:rPr>
                <w:rFonts w:cs="Arial"/>
                <w:color w:val="0000FF"/>
                <w:sz w:val="20"/>
              </w:rPr>
              <w:t xml:space="preserve">initiative </w:t>
            </w:r>
            <w:r w:rsidRPr="00EE02E0">
              <w:rPr>
                <w:rFonts w:cs="Arial"/>
                <w:color w:val="0000FF"/>
                <w:sz w:val="20"/>
              </w:rPr>
              <w:t xml:space="preserve">is not appropriate for PHS as this program </w:t>
            </w:r>
            <w:r w:rsidR="00395F65" w:rsidRPr="00EE02E0">
              <w:rPr>
                <w:rFonts w:cs="Arial"/>
                <w:color w:val="0000FF"/>
                <w:sz w:val="20"/>
              </w:rPr>
              <w:t xml:space="preserve">has a distinct MTCU code (separate from General Arts and Sciences Prep programs) and </w:t>
            </w:r>
            <w:r w:rsidRPr="00EE02E0">
              <w:rPr>
                <w:rFonts w:cs="Arial"/>
                <w:color w:val="0000FF"/>
                <w:sz w:val="20"/>
              </w:rPr>
              <w:t xml:space="preserve">must meet secondary school Grade 12U equivalents to allow students to pathway into </w:t>
            </w:r>
            <w:proofErr w:type="spellStart"/>
            <w:r w:rsidRPr="00EE02E0">
              <w:rPr>
                <w:rFonts w:cs="Arial"/>
                <w:color w:val="0000FF"/>
                <w:sz w:val="20"/>
              </w:rPr>
              <w:t>BSc</w:t>
            </w:r>
            <w:r w:rsidR="00990041" w:rsidRPr="00EE02E0">
              <w:rPr>
                <w:rFonts w:cs="Arial"/>
                <w:color w:val="0000FF"/>
                <w:sz w:val="20"/>
              </w:rPr>
              <w:t>.N</w:t>
            </w:r>
            <w:proofErr w:type="spellEnd"/>
            <w:r w:rsidR="00990041" w:rsidRPr="00EE02E0">
              <w:rPr>
                <w:rFonts w:cs="Arial"/>
                <w:color w:val="0000FF"/>
                <w:sz w:val="20"/>
              </w:rPr>
              <w:t>.</w:t>
            </w:r>
            <w:r w:rsidRPr="00EE02E0">
              <w:rPr>
                <w:rFonts w:cs="Arial"/>
                <w:color w:val="0000FF"/>
                <w:sz w:val="20"/>
              </w:rPr>
              <w:t xml:space="preserve"> </w:t>
            </w:r>
            <w:r w:rsidR="00990041" w:rsidRPr="00EE02E0">
              <w:rPr>
                <w:rFonts w:cs="Arial"/>
                <w:color w:val="0000FF"/>
                <w:sz w:val="20"/>
              </w:rPr>
              <w:t>programs.</w:t>
            </w:r>
            <w:r w:rsidR="0073513E" w:rsidRPr="00EE02E0">
              <w:rPr>
                <w:rFonts w:cs="Arial"/>
                <w:color w:val="0000FF"/>
                <w:sz w:val="20"/>
              </w:rPr>
              <w:t xml:space="preserve"> </w:t>
            </w:r>
          </w:p>
          <w:p w:rsidR="00A7345D" w:rsidRPr="00EE02E0" w:rsidRDefault="00A7345D" w:rsidP="00373FD2">
            <w:pPr>
              <w:rPr>
                <w:rFonts w:cs="Arial"/>
                <w:color w:val="0000FF"/>
                <w:sz w:val="20"/>
              </w:rPr>
            </w:pPr>
          </w:p>
          <w:p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Advisory Committee recommendations from the past year that will affect the positioning, nature, or scope of the program</w:t>
            </w:r>
            <w:r>
              <w:rPr>
                <w:rFonts w:cs="Arial"/>
                <w:sz w:val="20"/>
              </w:rPr>
              <w:t>?</w:t>
            </w:r>
          </w:p>
          <w:p w:rsidR="00C74B19" w:rsidRDefault="00C74B19" w:rsidP="00C74B19">
            <w:pPr>
              <w:ind w:left="360"/>
              <w:rPr>
                <w:rFonts w:cs="Arial"/>
                <w:sz w:val="20"/>
              </w:rPr>
            </w:pPr>
          </w:p>
          <w:p w:rsidR="00C8119B" w:rsidRPr="002E7A00" w:rsidRDefault="00C74B19" w:rsidP="00C74B19">
            <w:pPr>
              <w:ind w:left="720"/>
              <w:rPr>
                <w:rFonts w:cs="Arial"/>
                <w:color w:val="0000FF"/>
                <w:sz w:val="20"/>
              </w:rPr>
            </w:pPr>
            <w:r w:rsidRPr="002E7A00">
              <w:rPr>
                <w:rFonts w:cs="Arial"/>
                <w:color w:val="0000FF"/>
                <w:sz w:val="20"/>
              </w:rPr>
              <w:t xml:space="preserve">PAC meeting minutes: </w:t>
            </w:r>
            <w:r w:rsidR="002E7A00" w:rsidRPr="002E7A00">
              <w:rPr>
                <w:rFonts w:cs="Arial"/>
                <w:color w:val="0000FF"/>
                <w:sz w:val="20"/>
              </w:rPr>
              <w:t>PHS program was not discussed</w:t>
            </w:r>
          </w:p>
          <w:p w:rsidR="00C74B19" w:rsidRPr="002E7A00" w:rsidRDefault="00C74B19" w:rsidP="00C74B19">
            <w:pPr>
              <w:ind w:left="720"/>
              <w:rPr>
                <w:rFonts w:cs="Arial"/>
                <w:color w:val="0000FF"/>
                <w:sz w:val="20"/>
              </w:rPr>
            </w:pPr>
          </w:p>
          <w:p w:rsidR="00C8119B" w:rsidRPr="002E7A00" w:rsidRDefault="00D2092B" w:rsidP="00D2092B">
            <w:pPr>
              <w:ind w:left="720"/>
              <w:rPr>
                <w:rFonts w:cs="Arial"/>
                <w:color w:val="0000FF"/>
                <w:sz w:val="20"/>
              </w:rPr>
            </w:pPr>
            <w:r w:rsidRPr="002E7A00">
              <w:rPr>
                <w:rFonts w:cs="Arial"/>
                <w:color w:val="0000FF"/>
                <w:sz w:val="20"/>
              </w:rPr>
              <w:t xml:space="preserve">No major recommendations but work is in progress to </w:t>
            </w:r>
            <w:r w:rsidR="002E7A00" w:rsidRPr="002E7A00">
              <w:rPr>
                <w:rFonts w:cs="Arial"/>
                <w:color w:val="0000FF"/>
                <w:sz w:val="20"/>
              </w:rPr>
              <w:t xml:space="preserve">tentatively </w:t>
            </w:r>
            <w:r w:rsidRPr="002E7A00">
              <w:rPr>
                <w:rFonts w:cs="Arial"/>
                <w:color w:val="0000FF"/>
                <w:sz w:val="20"/>
              </w:rPr>
              <w:t>formalize an articulation agreement with Trent (Erin Kirk working with Karen Foster from Trent to document admission criteria and process)</w:t>
            </w:r>
            <w:r w:rsidR="00395F65" w:rsidRPr="002E7A00">
              <w:rPr>
                <w:rFonts w:cs="Arial"/>
                <w:color w:val="0000FF"/>
                <w:sz w:val="20"/>
              </w:rPr>
              <w:t>.</w:t>
            </w:r>
          </w:p>
          <w:p w:rsidR="00373FD2" w:rsidRDefault="00373FD2" w:rsidP="00373FD2">
            <w:pPr>
              <w:pStyle w:val="ListParagraph"/>
              <w:ind w:left="0"/>
              <w:rPr>
                <w:rFonts w:cs="Arial"/>
                <w:sz w:val="20"/>
              </w:rPr>
            </w:pPr>
          </w:p>
          <w:p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 xml:space="preserve">generated via faculty and staff professional development, engagement in </w:t>
            </w:r>
            <w:proofErr w:type="spellStart"/>
            <w:r w:rsidR="00373FD2" w:rsidRPr="00902FB1">
              <w:rPr>
                <w:rFonts w:cs="Arial"/>
                <w:sz w:val="20"/>
              </w:rPr>
              <w:t>sectoral</w:t>
            </w:r>
            <w:proofErr w:type="spellEnd"/>
            <w:r w:rsidR="00373FD2" w:rsidRPr="00902FB1">
              <w:rPr>
                <w:rFonts w:cs="Arial"/>
                <w:sz w:val="20"/>
              </w:rPr>
              <w:t xml:space="preserve"> and profession associations, and involvement in community and employer networks connected to the field</w:t>
            </w:r>
            <w:r>
              <w:rPr>
                <w:rFonts w:cs="Arial"/>
                <w:sz w:val="20"/>
              </w:rPr>
              <w:t>?</w:t>
            </w:r>
          </w:p>
          <w:p w:rsidR="00C8119B" w:rsidRDefault="00C8119B" w:rsidP="00C8119B">
            <w:pPr>
              <w:rPr>
                <w:rFonts w:cs="Arial"/>
                <w:sz w:val="20"/>
              </w:rPr>
            </w:pPr>
          </w:p>
          <w:p w:rsidR="00C8119B" w:rsidRPr="002E7A00" w:rsidRDefault="00D2092B" w:rsidP="00D2092B">
            <w:pPr>
              <w:ind w:left="720"/>
              <w:rPr>
                <w:rFonts w:cs="Arial"/>
                <w:color w:val="0000FF"/>
                <w:sz w:val="20"/>
              </w:rPr>
            </w:pPr>
            <w:r w:rsidRPr="002E7A00">
              <w:rPr>
                <w:rFonts w:cs="Arial"/>
                <w:color w:val="0000FF"/>
                <w:sz w:val="20"/>
              </w:rPr>
              <w:t>Many PHS students take the program to enter into non-Nursing programs such as X-ray technician.</w:t>
            </w:r>
          </w:p>
          <w:p w:rsidR="00373FD2" w:rsidRDefault="00373FD2" w:rsidP="00373FD2">
            <w:pPr>
              <w:rPr>
                <w:rFonts w:cs="Arial"/>
                <w:sz w:val="20"/>
              </w:rPr>
            </w:pPr>
          </w:p>
          <w:p w:rsidR="00373FD2" w:rsidRPr="00902FB1" w:rsidRDefault="001D5C52" w:rsidP="004C2936">
            <w:pPr>
              <w:numPr>
                <w:ilvl w:val="1"/>
                <w:numId w:val="3"/>
              </w:numPr>
              <w:rPr>
                <w:rFonts w:cs="Arial"/>
                <w:sz w:val="20"/>
              </w:rPr>
            </w:pPr>
            <w:r>
              <w:rPr>
                <w:rFonts w:cs="Arial"/>
                <w:sz w:val="20"/>
              </w:rPr>
              <w:t>Are there n</w:t>
            </w:r>
            <w:r w:rsidR="00373FD2" w:rsidRPr="00902FB1">
              <w:rPr>
                <w:rFonts w:cs="Arial"/>
                <w:sz w:val="20"/>
              </w:rPr>
              <w:t>ew or changing employment trends in the industry or sector</w:t>
            </w:r>
            <w:r>
              <w:rPr>
                <w:rFonts w:cs="Arial"/>
                <w:sz w:val="20"/>
              </w:rPr>
              <w:t>?</w:t>
            </w:r>
            <w:r w:rsidR="006D424E">
              <w:rPr>
                <w:rFonts w:cs="Arial"/>
                <w:sz w:val="20"/>
              </w:rPr>
              <w:t xml:space="preserve">  </w:t>
            </w:r>
            <w:r w:rsidR="00EE02E0">
              <w:rPr>
                <w:rFonts w:cs="Arial"/>
                <w:i/>
                <w:color w:val="0000FF"/>
                <w:sz w:val="20"/>
              </w:rPr>
              <w:t>No</w:t>
            </w:r>
          </w:p>
          <w:p w:rsidR="00373FD2" w:rsidRDefault="00373FD2" w:rsidP="00373FD2">
            <w:pPr>
              <w:rPr>
                <w:rFonts w:cs="Arial"/>
                <w:sz w:val="20"/>
              </w:rPr>
            </w:pPr>
          </w:p>
          <w:p w:rsidR="00D2092B" w:rsidRPr="00EE02E0" w:rsidRDefault="00990041" w:rsidP="00D2092B">
            <w:pPr>
              <w:ind w:left="720"/>
              <w:rPr>
                <w:rFonts w:cs="Arial"/>
                <w:color w:val="0000FF"/>
                <w:sz w:val="20"/>
              </w:rPr>
            </w:pPr>
            <w:r w:rsidRPr="00EE02E0">
              <w:rPr>
                <w:rFonts w:cs="Arial"/>
                <w:color w:val="0000FF"/>
                <w:sz w:val="20"/>
              </w:rPr>
              <w:t xml:space="preserve">“All twenty-four colleges in Ontario offer a Pre-Health Sciences Programs using a variety of titles. Some offer programs that are explicitly for admission to diploma studies, and some are explicitly for admission to degree level studies particularly nursing.” (Heads of Health Science Pre-Health Sciences Project Report, 2013, p. 3)  </w:t>
            </w:r>
          </w:p>
          <w:p w:rsidR="00C8119B" w:rsidRDefault="00C8119B" w:rsidP="00373FD2">
            <w:pPr>
              <w:rPr>
                <w:rFonts w:cs="Arial"/>
                <w:sz w:val="20"/>
              </w:rPr>
            </w:pPr>
          </w:p>
          <w:p w:rsidR="00A822D9" w:rsidRDefault="001D5C52" w:rsidP="004C2936">
            <w:pPr>
              <w:numPr>
                <w:ilvl w:val="1"/>
                <w:numId w:val="3"/>
              </w:numPr>
              <w:rPr>
                <w:rFonts w:cs="Arial"/>
                <w:sz w:val="20"/>
              </w:rPr>
            </w:pPr>
            <w:r>
              <w:rPr>
                <w:rFonts w:cs="Arial"/>
                <w:sz w:val="20"/>
              </w:rPr>
              <w:t>What are the c</w:t>
            </w:r>
            <w:r w:rsidR="00373FD2" w:rsidRPr="00CE2383">
              <w:rPr>
                <w:rFonts w:cs="Arial"/>
                <w:sz w:val="20"/>
              </w:rPr>
              <w:t>urriculum issues / strengths that have been identified by employers pertaining to graduate job readiness</w:t>
            </w:r>
            <w:r>
              <w:rPr>
                <w:rFonts w:cs="Arial"/>
                <w:sz w:val="20"/>
              </w:rPr>
              <w:t>?</w:t>
            </w:r>
          </w:p>
          <w:p w:rsidR="00A822D9" w:rsidRDefault="00A822D9" w:rsidP="00A822D9">
            <w:pPr>
              <w:ind w:left="360"/>
              <w:rPr>
                <w:rFonts w:cs="Arial"/>
                <w:sz w:val="20"/>
              </w:rPr>
            </w:pPr>
          </w:p>
          <w:p w:rsidR="00373FD2" w:rsidRDefault="003A57B7" w:rsidP="00A822D9">
            <w:pPr>
              <w:ind w:left="720"/>
              <w:rPr>
                <w:rFonts w:cs="Arial"/>
                <w:sz w:val="20"/>
              </w:rPr>
            </w:pPr>
            <w:r w:rsidRPr="003A57B7">
              <w:rPr>
                <w:rFonts w:cs="Arial"/>
                <w:b/>
                <w:i/>
                <w:sz w:val="20"/>
              </w:rPr>
              <w:t xml:space="preserve">(for PHS, interpret this as </w:t>
            </w:r>
            <w:r w:rsidR="00A822D9">
              <w:rPr>
                <w:rFonts w:cs="Arial"/>
                <w:b/>
                <w:i/>
                <w:sz w:val="20"/>
              </w:rPr>
              <w:t xml:space="preserve">curriculum </w:t>
            </w:r>
            <w:r w:rsidRPr="003A57B7">
              <w:rPr>
                <w:rFonts w:cs="Arial"/>
                <w:b/>
                <w:i/>
                <w:sz w:val="20"/>
              </w:rPr>
              <w:t xml:space="preserve">issues/strengths identified by Trent re: PHS graduate </w:t>
            </w:r>
            <w:r w:rsidRPr="003A57B7">
              <w:rPr>
                <w:rFonts w:cs="Arial"/>
                <w:b/>
                <w:i/>
                <w:sz w:val="20"/>
              </w:rPr>
              <w:lastRenderedPageBreak/>
              <w:t>readiness)</w:t>
            </w:r>
          </w:p>
          <w:p w:rsidR="00606847" w:rsidRPr="00CE2383" w:rsidRDefault="00606847" w:rsidP="00606847">
            <w:pPr>
              <w:ind w:left="360"/>
              <w:rPr>
                <w:rFonts w:cs="Arial"/>
                <w:sz w:val="20"/>
              </w:rPr>
            </w:pPr>
          </w:p>
          <w:p w:rsidR="00373FD2" w:rsidRPr="002E7A00" w:rsidRDefault="003A57B7" w:rsidP="00606847">
            <w:pPr>
              <w:ind w:left="720"/>
              <w:rPr>
                <w:rFonts w:cs="Arial"/>
                <w:color w:val="0000FF"/>
                <w:sz w:val="20"/>
              </w:rPr>
            </w:pPr>
            <w:r w:rsidRPr="002E7A00">
              <w:rPr>
                <w:rFonts w:cs="Arial"/>
                <w:color w:val="0000FF"/>
                <w:sz w:val="20"/>
              </w:rPr>
              <w:t xml:space="preserve">Conclusions from a 2012 </w:t>
            </w:r>
            <w:r w:rsidR="00606847" w:rsidRPr="002E7A00">
              <w:rPr>
                <w:rFonts w:cs="Arial"/>
                <w:color w:val="0000FF"/>
                <w:sz w:val="20"/>
              </w:rPr>
              <w:t xml:space="preserve">Trent </w:t>
            </w:r>
            <w:r w:rsidRPr="002E7A00">
              <w:rPr>
                <w:rFonts w:cs="Arial"/>
                <w:color w:val="0000FF"/>
                <w:sz w:val="20"/>
              </w:rPr>
              <w:t xml:space="preserve">University </w:t>
            </w:r>
            <w:r w:rsidR="00606847" w:rsidRPr="002E7A00">
              <w:rPr>
                <w:rFonts w:cs="Arial"/>
                <w:color w:val="0000FF"/>
                <w:sz w:val="20"/>
              </w:rPr>
              <w:t xml:space="preserve">report </w:t>
            </w:r>
            <w:r w:rsidRPr="002E7A00">
              <w:rPr>
                <w:rFonts w:cs="Arial"/>
                <w:color w:val="0000FF"/>
                <w:sz w:val="20"/>
              </w:rPr>
              <w:t>entitled “An analysis of CAAT Transfer Students’ Academic Performance at Trent University”, show that, in general, CAAT transfers perform as well as those entering high school. There was no specific mention of PHS graduates and their performance at Trent</w:t>
            </w:r>
            <w:r w:rsidR="00395F65" w:rsidRPr="002E7A00">
              <w:rPr>
                <w:rFonts w:cs="Arial"/>
                <w:color w:val="0000FF"/>
                <w:sz w:val="20"/>
              </w:rPr>
              <w:t xml:space="preserve"> in B</w:t>
            </w:r>
            <w:r w:rsidRPr="002E7A00">
              <w:rPr>
                <w:rFonts w:cs="Arial"/>
                <w:color w:val="0000FF"/>
                <w:sz w:val="20"/>
              </w:rPr>
              <w:t>.</w:t>
            </w:r>
            <w:r w:rsidR="00395F65" w:rsidRPr="002E7A00">
              <w:rPr>
                <w:rFonts w:cs="Arial"/>
                <w:color w:val="0000FF"/>
                <w:sz w:val="20"/>
              </w:rPr>
              <w:t xml:space="preserve">Sc. or </w:t>
            </w:r>
            <w:proofErr w:type="spellStart"/>
            <w:r w:rsidR="00395F65" w:rsidRPr="002E7A00">
              <w:rPr>
                <w:rFonts w:cs="Arial"/>
                <w:color w:val="0000FF"/>
                <w:sz w:val="20"/>
              </w:rPr>
              <w:t>B.Sc.N</w:t>
            </w:r>
            <w:proofErr w:type="spellEnd"/>
            <w:r w:rsidR="00395F65" w:rsidRPr="002E7A00">
              <w:rPr>
                <w:rFonts w:cs="Arial"/>
                <w:color w:val="0000FF"/>
                <w:sz w:val="20"/>
              </w:rPr>
              <w:t xml:space="preserve">. </w:t>
            </w:r>
            <w:proofErr w:type="gramStart"/>
            <w:r w:rsidR="00395F65" w:rsidRPr="002E7A00">
              <w:rPr>
                <w:rFonts w:cs="Arial"/>
                <w:color w:val="0000FF"/>
                <w:sz w:val="20"/>
              </w:rPr>
              <w:t>programs</w:t>
            </w:r>
            <w:r w:rsidRPr="002E7A00">
              <w:rPr>
                <w:rFonts w:cs="Arial"/>
                <w:color w:val="0000FF"/>
                <w:sz w:val="20"/>
              </w:rPr>
              <w:t xml:space="preserve"> </w:t>
            </w:r>
            <w:r w:rsidR="00395F65" w:rsidRPr="002E7A00">
              <w:rPr>
                <w:rFonts w:cs="Arial"/>
                <w:color w:val="0000FF"/>
                <w:sz w:val="20"/>
              </w:rPr>
              <w:t>.</w:t>
            </w:r>
            <w:proofErr w:type="gramEnd"/>
            <w:r w:rsidRPr="002E7A00">
              <w:rPr>
                <w:rFonts w:cs="Arial"/>
                <w:color w:val="0000FF"/>
                <w:sz w:val="20"/>
              </w:rPr>
              <w:t xml:space="preserve">  </w:t>
            </w:r>
          </w:p>
          <w:p w:rsidR="00663E49" w:rsidRPr="002E7A00" w:rsidRDefault="00663E49" w:rsidP="00D2092B">
            <w:pPr>
              <w:ind w:left="720"/>
              <w:rPr>
                <w:rFonts w:cs="Arial"/>
                <w:color w:val="0000FF"/>
                <w:sz w:val="20"/>
              </w:rPr>
            </w:pPr>
          </w:p>
          <w:p w:rsidR="00493474" w:rsidRPr="002E7A00" w:rsidRDefault="00663E49" w:rsidP="00493474">
            <w:pPr>
              <w:ind w:left="720"/>
              <w:rPr>
                <w:rFonts w:cs="Arial"/>
                <w:color w:val="0000FF"/>
                <w:sz w:val="20"/>
              </w:rPr>
            </w:pPr>
            <w:r w:rsidRPr="002E7A00">
              <w:rPr>
                <w:rFonts w:cs="Arial"/>
                <w:color w:val="0000FF"/>
                <w:sz w:val="20"/>
              </w:rPr>
              <w:t>Action Plan (</w:t>
            </w:r>
            <w:r w:rsidR="00606847" w:rsidRPr="002E7A00">
              <w:rPr>
                <w:rFonts w:cs="Arial"/>
                <w:color w:val="0000FF"/>
                <w:sz w:val="20"/>
              </w:rPr>
              <w:t>f</w:t>
            </w:r>
            <w:r w:rsidRPr="002E7A00">
              <w:rPr>
                <w:rFonts w:cs="Arial"/>
                <w:color w:val="0000FF"/>
                <w:sz w:val="20"/>
              </w:rPr>
              <w:t>or 2014 CBD period</w:t>
            </w:r>
            <w:r w:rsidR="00606847" w:rsidRPr="002E7A00">
              <w:rPr>
                <w:rFonts w:cs="Arial"/>
                <w:color w:val="0000FF"/>
                <w:sz w:val="20"/>
              </w:rPr>
              <w:t>?</w:t>
            </w:r>
            <w:r w:rsidRPr="002E7A00">
              <w:rPr>
                <w:rFonts w:cs="Arial"/>
                <w:color w:val="0000FF"/>
                <w:sz w:val="20"/>
              </w:rPr>
              <w:t xml:space="preserve">): </w:t>
            </w:r>
          </w:p>
          <w:p w:rsidR="00A822D9" w:rsidRPr="002E7A00" w:rsidRDefault="00A822D9" w:rsidP="00493474">
            <w:pPr>
              <w:ind w:left="720"/>
              <w:rPr>
                <w:rFonts w:cs="Arial"/>
                <w:color w:val="0000FF"/>
                <w:sz w:val="20"/>
              </w:rPr>
            </w:pPr>
          </w:p>
          <w:p w:rsidR="00606847" w:rsidRPr="002E7A00" w:rsidRDefault="00350FF2" w:rsidP="00606847">
            <w:pPr>
              <w:pStyle w:val="ListParagraph"/>
              <w:numPr>
                <w:ilvl w:val="0"/>
                <w:numId w:val="7"/>
              </w:numPr>
              <w:rPr>
                <w:rFonts w:cs="Arial"/>
                <w:color w:val="0000FF"/>
                <w:sz w:val="20"/>
              </w:rPr>
            </w:pPr>
            <w:r>
              <w:rPr>
                <w:rFonts w:cs="Arial"/>
                <w:color w:val="0000FF"/>
                <w:sz w:val="20"/>
              </w:rPr>
              <w:t>Lisa Stefaniak has c</w:t>
            </w:r>
            <w:r w:rsidR="00606847" w:rsidRPr="002E7A00">
              <w:rPr>
                <w:rFonts w:cs="Arial"/>
                <w:color w:val="0000FF"/>
                <w:sz w:val="20"/>
              </w:rPr>
              <w:t>onnect</w:t>
            </w:r>
            <w:r>
              <w:rPr>
                <w:rFonts w:cs="Arial"/>
                <w:color w:val="0000FF"/>
                <w:sz w:val="20"/>
              </w:rPr>
              <w:t>ed</w:t>
            </w:r>
            <w:r w:rsidR="00606847" w:rsidRPr="002E7A00">
              <w:rPr>
                <w:rFonts w:cs="Arial"/>
                <w:color w:val="0000FF"/>
                <w:sz w:val="20"/>
              </w:rPr>
              <w:t xml:space="preserve"> with Molly Westland to for her take on what students need in terms of writing skills for </w:t>
            </w:r>
            <w:proofErr w:type="gramStart"/>
            <w:r w:rsidR="00606847" w:rsidRPr="002E7A00">
              <w:rPr>
                <w:rFonts w:cs="Arial"/>
                <w:color w:val="0000FF"/>
                <w:sz w:val="20"/>
              </w:rPr>
              <w:t>Trent,</w:t>
            </w:r>
            <w:proofErr w:type="gramEnd"/>
            <w:r w:rsidR="00606847" w:rsidRPr="002E7A00">
              <w:rPr>
                <w:rFonts w:cs="Arial"/>
                <w:color w:val="0000FF"/>
                <w:sz w:val="20"/>
              </w:rPr>
              <w:t xml:space="preserve"> connect with English I/II curriculum. </w:t>
            </w:r>
            <w:r>
              <w:rPr>
                <w:rFonts w:cs="Arial"/>
                <w:color w:val="0000FF"/>
                <w:sz w:val="20"/>
              </w:rPr>
              <w:t xml:space="preserve">Using this and </w:t>
            </w:r>
            <w:r w:rsidR="00606847" w:rsidRPr="002E7A00">
              <w:rPr>
                <w:rFonts w:cs="Arial"/>
                <w:color w:val="0000FF"/>
                <w:sz w:val="20"/>
              </w:rPr>
              <w:t xml:space="preserve">info from Ron </w:t>
            </w:r>
            <w:proofErr w:type="spellStart"/>
            <w:r w:rsidR="00606847" w:rsidRPr="002E7A00">
              <w:rPr>
                <w:rFonts w:cs="Arial"/>
                <w:color w:val="0000FF"/>
                <w:sz w:val="20"/>
              </w:rPr>
              <w:t>Schepper’s</w:t>
            </w:r>
            <w:proofErr w:type="spellEnd"/>
            <w:r w:rsidR="00606847" w:rsidRPr="002E7A00">
              <w:rPr>
                <w:rFonts w:cs="Arial"/>
                <w:color w:val="0000FF"/>
                <w:sz w:val="20"/>
              </w:rPr>
              <w:t xml:space="preserve"> 2013 CBD </w:t>
            </w:r>
            <w:r>
              <w:rPr>
                <w:rFonts w:cs="Arial"/>
                <w:color w:val="0000FF"/>
                <w:sz w:val="20"/>
              </w:rPr>
              <w:t>project, Lisa continues to develop and update the English curriculum to increase student readiness for university.</w:t>
            </w:r>
          </w:p>
          <w:p w:rsidR="00663E49" w:rsidRDefault="003E378E" w:rsidP="00606847">
            <w:pPr>
              <w:pStyle w:val="ListParagraph"/>
              <w:numPr>
                <w:ilvl w:val="0"/>
                <w:numId w:val="7"/>
              </w:numPr>
              <w:rPr>
                <w:rFonts w:cs="Arial"/>
                <w:color w:val="0000FF"/>
                <w:sz w:val="20"/>
              </w:rPr>
            </w:pPr>
            <w:r>
              <w:rPr>
                <w:rFonts w:cs="Arial"/>
                <w:color w:val="0000FF"/>
                <w:sz w:val="20"/>
              </w:rPr>
              <w:t>In 2014 CBD, Erin will c</w:t>
            </w:r>
            <w:r w:rsidR="00493474" w:rsidRPr="002E7A00">
              <w:rPr>
                <w:rFonts w:cs="Arial"/>
                <w:color w:val="0000FF"/>
                <w:sz w:val="20"/>
              </w:rPr>
              <w:t xml:space="preserve">onnect with Trent Nursing faculty that teach Math or Math-related topics to ask whether </w:t>
            </w:r>
            <w:r>
              <w:rPr>
                <w:rFonts w:cs="Arial"/>
                <w:color w:val="0000FF"/>
                <w:sz w:val="20"/>
              </w:rPr>
              <w:t>our PHS graduates are prepared</w:t>
            </w:r>
          </w:p>
          <w:p w:rsidR="003E378E" w:rsidRPr="002E7A00" w:rsidRDefault="003E378E" w:rsidP="00606847">
            <w:pPr>
              <w:pStyle w:val="ListParagraph"/>
              <w:numPr>
                <w:ilvl w:val="0"/>
                <w:numId w:val="7"/>
              </w:numPr>
              <w:rPr>
                <w:rFonts w:cs="Arial"/>
                <w:color w:val="0000FF"/>
                <w:sz w:val="20"/>
              </w:rPr>
            </w:pPr>
            <w:r>
              <w:rPr>
                <w:rFonts w:cs="Arial"/>
                <w:color w:val="0000FF"/>
                <w:sz w:val="20"/>
              </w:rPr>
              <w:t>In 2014 CBD, Erin will get outlines from Trent for biology and chemistry (contact at Trent: Kim English)</w:t>
            </w:r>
          </w:p>
          <w:p w:rsidR="00493474" w:rsidRPr="00606847" w:rsidRDefault="00493474" w:rsidP="00606847">
            <w:pPr>
              <w:ind w:left="1080"/>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lastRenderedPageBreak/>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Have there been 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approaches, assessment practices, applied learning experiences, e-learning / blended learning</w:t>
            </w:r>
            <w:r>
              <w:rPr>
                <w:rFonts w:cs="Arial"/>
                <w:sz w:val="20"/>
              </w:rPr>
              <w:t xml:space="preserve">? If yes, please provide </w:t>
            </w:r>
            <w:r w:rsidRPr="00367B3B">
              <w:rPr>
                <w:rFonts w:cs="Arial"/>
                <w:sz w:val="20"/>
              </w:rPr>
              <w:t>details.</w:t>
            </w:r>
          </w:p>
          <w:p w:rsidR="00395F65" w:rsidRDefault="00395F65" w:rsidP="00395F65">
            <w:pPr>
              <w:tabs>
                <w:tab w:val="left" w:pos="681"/>
                <w:tab w:val="left" w:pos="972"/>
              </w:tabs>
              <w:rPr>
                <w:rFonts w:cs="Arial"/>
                <w:sz w:val="20"/>
              </w:rPr>
            </w:pPr>
          </w:p>
          <w:p w:rsidR="00395F65" w:rsidRPr="002E7A00" w:rsidRDefault="00395F65" w:rsidP="00395F65">
            <w:pPr>
              <w:tabs>
                <w:tab w:val="left" w:pos="681"/>
                <w:tab w:val="left" w:pos="972"/>
              </w:tabs>
              <w:ind w:left="681"/>
              <w:rPr>
                <w:rFonts w:cs="Arial"/>
                <w:b/>
                <w:color w:val="0000FF"/>
                <w:sz w:val="20"/>
                <w:u w:val="single"/>
              </w:rPr>
            </w:pPr>
            <w:r w:rsidRPr="002E7A00">
              <w:rPr>
                <w:rFonts w:cs="Arial"/>
                <w:b/>
                <w:color w:val="0000FF"/>
                <w:sz w:val="20"/>
                <w:u w:val="single"/>
              </w:rPr>
              <w:t>Curriculum changes from 2013 CBD (focus on core courses only):</w:t>
            </w:r>
          </w:p>
          <w:p w:rsidR="00395F65" w:rsidRPr="002E7A00" w:rsidRDefault="00395F65" w:rsidP="00395F65">
            <w:pPr>
              <w:tabs>
                <w:tab w:val="left" w:pos="681"/>
                <w:tab w:val="left" w:pos="972"/>
              </w:tabs>
              <w:ind w:left="681"/>
              <w:rPr>
                <w:rFonts w:cs="Arial"/>
                <w:color w:val="0000FF"/>
                <w:sz w:val="20"/>
              </w:rPr>
            </w:pPr>
          </w:p>
          <w:p w:rsidR="007F6162" w:rsidRPr="002E7A00" w:rsidRDefault="00395F65" w:rsidP="00395F65">
            <w:pPr>
              <w:tabs>
                <w:tab w:val="left" w:pos="681"/>
                <w:tab w:val="left" w:pos="972"/>
              </w:tabs>
              <w:ind w:left="681"/>
              <w:rPr>
                <w:rFonts w:cs="Arial"/>
                <w:b/>
                <w:color w:val="0000FF"/>
                <w:sz w:val="20"/>
              </w:rPr>
            </w:pPr>
            <w:r w:rsidRPr="002E7A00">
              <w:rPr>
                <w:rFonts w:cs="Arial"/>
                <w:b/>
                <w:color w:val="0000FF"/>
                <w:sz w:val="20"/>
              </w:rPr>
              <w:t xml:space="preserve">Chemistry I/II (SCIE 131/132): </w:t>
            </w:r>
            <w:r w:rsidR="003F4FA4" w:rsidRPr="002E7A00">
              <w:rPr>
                <w:rFonts w:cs="Arial"/>
                <w:i/>
                <w:color w:val="0000FF"/>
                <w:sz w:val="20"/>
              </w:rPr>
              <w:t>Kari Draker-Fortis</w:t>
            </w:r>
          </w:p>
          <w:p w:rsidR="007F6162" w:rsidRPr="002E7A00" w:rsidRDefault="007F6162" w:rsidP="00395F65">
            <w:pPr>
              <w:tabs>
                <w:tab w:val="left" w:pos="681"/>
                <w:tab w:val="left" w:pos="972"/>
              </w:tabs>
              <w:ind w:left="681"/>
              <w:rPr>
                <w:rFonts w:cs="Arial"/>
                <w:color w:val="0000FF"/>
                <w:sz w:val="20"/>
              </w:rPr>
            </w:pPr>
          </w:p>
          <w:p w:rsidR="00395F65" w:rsidRPr="002E7A00" w:rsidRDefault="00395F65" w:rsidP="00395F65">
            <w:pPr>
              <w:tabs>
                <w:tab w:val="left" w:pos="681"/>
                <w:tab w:val="left" w:pos="972"/>
              </w:tabs>
              <w:ind w:left="681"/>
              <w:rPr>
                <w:rFonts w:cs="Arial"/>
                <w:color w:val="0000FF"/>
                <w:sz w:val="20"/>
              </w:rPr>
            </w:pPr>
            <w:r w:rsidRPr="002E7A00">
              <w:rPr>
                <w:rFonts w:cs="Arial"/>
                <w:color w:val="0000FF"/>
                <w:sz w:val="20"/>
              </w:rPr>
              <w:t>Learning sequence</w:t>
            </w:r>
            <w:r w:rsidR="00E02108" w:rsidRPr="002E7A00">
              <w:rPr>
                <w:rFonts w:cs="Arial"/>
                <w:color w:val="0000FF"/>
                <w:sz w:val="20"/>
              </w:rPr>
              <w:t>s</w:t>
            </w:r>
            <w:r w:rsidRPr="002E7A00">
              <w:rPr>
                <w:rFonts w:cs="Arial"/>
                <w:color w:val="0000FF"/>
                <w:sz w:val="20"/>
              </w:rPr>
              <w:t xml:space="preserve"> reflects more time dedicated to 12U equivalent topics, particularly Organic Chemistry in Chemistry II (SCIE 132)</w:t>
            </w:r>
            <w:r w:rsidR="007F6162" w:rsidRPr="002E7A00">
              <w:rPr>
                <w:rFonts w:cs="Arial"/>
                <w:color w:val="0000FF"/>
                <w:sz w:val="20"/>
              </w:rPr>
              <w:t>. Course paral</w:t>
            </w:r>
            <w:r w:rsidR="00E02108" w:rsidRPr="002E7A00">
              <w:rPr>
                <w:rFonts w:cs="Arial"/>
                <w:color w:val="0000FF"/>
                <w:sz w:val="20"/>
              </w:rPr>
              <w:t>lels those proposed for Chemistry for Health Sciences (Heads of Health Sciences Pre-Health Sciences Project, pp. 48-51).</w:t>
            </w:r>
            <w:r w:rsidR="007F6162" w:rsidRPr="002E7A00">
              <w:rPr>
                <w:rFonts w:cs="Arial"/>
                <w:color w:val="0000FF"/>
                <w:sz w:val="20"/>
              </w:rPr>
              <w:t xml:space="preserve"> </w:t>
            </w:r>
            <w:r w:rsidRPr="002E7A00">
              <w:rPr>
                <w:rFonts w:cs="Arial"/>
                <w:color w:val="0000FF"/>
                <w:sz w:val="20"/>
              </w:rPr>
              <w:t xml:space="preserve"> </w:t>
            </w:r>
          </w:p>
          <w:p w:rsidR="00E02108" w:rsidRPr="002E7A00" w:rsidRDefault="00E02108" w:rsidP="00395F65">
            <w:pPr>
              <w:tabs>
                <w:tab w:val="left" w:pos="681"/>
                <w:tab w:val="left" w:pos="972"/>
              </w:tabs>
              <w:ind w:left="681"/>
              <w:rPr>
                <w:rFonts w:cs="Arial"/>
                <w:color w:val="0000FF"/>
                <w:sz w:val="20"/>
              </w:rPr>
            </w:pPr>
          </w:p>
          <w:p w:rsidR="00395F65" w:rsidRPr="002E7A00" w:rsidRDefault="00E02108" w:rsidP="00395F65">
            <w:pPr>
              <w:tabs>
                <w:tab w:val="left" w:pos="681"/>
                <w:tab w:val="left" w:pos="972"/>
              </w:tabs>
              <w:ind w:left="681"/>
              <w:rPr>
                <w:rFonts w:cs="Arial"/>
                <w:b/>
                <w:color w:val="0000FF"/>
                <w:sz w:val="20"/>
              </w:rPr>
            </w:pPr>
            <w:r w:rsidRPr="002E7A00">
              <w:rPr>
                <w:rFonts w:cs="Arial"/>
                <w:color w:val="0000FF"/>
                <w:sz w:val="20"/>
              </w:rPr>
              <w:t>AODA-comp</w:t>
            </w:r>
            <w:r w:rsidR="00636AF4" w:rsidRPr="002E7A00">
              <w:rPr>
                <w:rFonts w:cs="Arial"/>
                <w:color w:val="0000FF"/>
                <w:sz w:val="20"/>
              </w:rPr>
              <w:t>l</w:t>
            </w:r>
            <w:r w:rsidRPr="002E7A00">
              <w:rPr>
                <w:rFonts w:cs="Arial"/>
                <w:color w:val="0000FF"/>
                <w:sz w:val="20"/>
              </w:rPr>
              <w:t>iant resources packages were prepared for Chem I (</w:t>
            </w:r>
            <w:r w:rsidR="00636AF4" w:rsidRPr="002E7A00">
              <w:rPr>
                <w:rFonts w:cs="Arial"/>
                <w:color w:val="0000FF"/>
                <w:sz w:val="20"/>
              </w:rPr>
              <w:t>seminar notes and labs) and Chem II (labs only).</w:t>
            </w:r>
          </w:p>
          <w:p w:rsidR="00E02108" w:rsidRPr="002E7A00" w:rsidRDefault="00E02108" w:rsidP="00395F65">
            <w:pPr>
              <w:tabs>
                <w:tab w:val="left" w:pos="681"/>
                <w:tab w:val="left" w:pos="972"/>
              </w:tabs>
              <w:ind w:left="681"/>
              <w:rPr>
                <w:rFonts w:cs="Arial"/>
                <w:b/>
                <w:color w:val="0000FF"/>
                <w:sz w:val="20"/>
              </w:rPr>
            </w:pPr>
          </w:p>
          <w:p w:rsidR="00395F65" w:rsidRPr="002E7A00" w:rsidRDefault="00395F65" w:rsidP="00395F65">
            <w:pPr>
              <w:tabs>
                <w:tab w:val="left" w:pos="681"/>
                <w:tab w:val="left" w:pos="972"/>
              </w:tabs>
              <w:ind w:left="681"/>
              <w:rPr>
                <w:rFonts w:cs="Arial"/>
                <w:b/>
                <w:color w:val="0000FF"/>
                <w:sz w:val="20"/>
              </w:rPr>
            </w:pPr>
            <w:r w:rsidRPr="002E7A00">
              <w:rPr>
                <w:rFonts w:cs="Arial"/>
                <w:b/>
                <w:color w:val="0000FF"/>
                <w:sz w:val="20"/>
              </w:rPr>
              <w:t xml:space="preserve">Biology I/II (SCIE 9/10): </w:t>
            </w:r>
            <w:r w:rsidR="003F4FA4" w:rsidRPr="002E7A00">
              <w:rPr>
                <w:rFonts w:cs="Arial"/>
                <w:i/>
                <w:color w:val="0000FF"/>
                <w:sz w:val="20"/>
              </w:rPr>
              <w:t>Susan Hyndman</w:t>
            </w:r>
          </w:p>
          <w:p w:rsidR="007F6162" w:rsidRPr="002E7A00" w:rsidRDefault="007F6162" w:rsidP="00395F65">
            <w:pPr>
              <w:tabs>
                <w:tab w:val="left" w:pos="681"/>
                <w:tab w:val="left" w:pos="972"/>
              </w:tabs>
              <w:ind w:left="681"/>
              <w:rPr>
                <w:rFonts w:cs="Arial"/>
                <w:color w:val="0000FF"/>
                <w:sz w:val="20"/>
              </w:rPr>
            </w:pPr>
          </w:p>
          <w:p w:rsidR="00F6201D" w:rsidRPr="002E7A00" w:rsidRDefault="00F6201D" w:rsidP="00395F65">
            <w:pPr>
              <w:tabs>
                <w:tab w:val="left" w:pos="681"/>
                <w:tab w:val="left" w:pos="972"/>
              </w:tabs>
              <w:ind w:left="681"/>
              <w:rPr>
                <w:rFonts w:cs="Arial"/>
                <w:color w:val="0000FF"/>
                <w:sz w:val="20"/>
              </w:rPr>
            </w:pPr>
            <w:r w:rsidRPr="002E7A00">
              <w:rPr>
                <w:rFonts w:cs="Arial"/>
                <w:color w:val="0000FF"/>
                <w:sz w:val="20"/>
              </w:rPr>
              <w:t xml:space="preserve">SCIE 9/10 reviewed to ensure 12U equivalency. </w:t>
            </w:r>
          </w:p>
          <w:p w:rsidR="00F6201D" w:rsidRPr="002E7A00" w:rsidRDefault="00F6201D" w:rsidP="00395F65">
            <w:pPr>
              <w:tabs>
                <w:tab w:val="left" w:pos="681"/>
                <w:tab w:val="left" w:pos="972"/>
              </w:tabs>
              <w:ind w:left="681"/>
              <w:rPr>
                <w:rFonts w:cs="Arial"/>
                <w:color w:val="0000FF"/>
                <w:sz w:val="20"/>
              </w:rPr>
            </w:pPr>
          </w:p>
          <w:p w:rsidR="007F6162" w:rsidRPr="002E7A00" w:rsidRDefault="00F6201D" w:rsidP="00395F65">
            <w:pPr>
              <w:tabs>
                <w:tab w:val="left" w:pos="681"/>
                <w:tab w:val="left" w:pos="972"/>
              </w:tabs>
              <w:ind w:left="681"/>
              <w:rPr>
                <w:rFonts w:cs="Arial"/>
                <w:color w:val="0000FF"/>
                <w:sz w:val="20"/>
              </w:rPr>
            </w:pPr>
            <w:r w:rsidRPr="002E7A00">
              <w:rPr>
                <w:rFonts w:cs="Arial"/>
                <w:color w:val="0000FF"/>
                <w:sz w:val="20"/>
              </w:rPr>
              <w:t xml:space="preserve">Labs reviewed with new applied lab activities included based on 12U equivalency assessment. </w:t>
            </w:r>
          </w:p>
          <w:p w:rsidR="00395F65" w:rsidRPr="002E7A00" w:rsidRDefault="00395F65" w:rsidP="00395F65">
            <w:pPr>
              <w:tabs>
                <w:tab w:val="left" w:pos="681"/>
                <w:tab w:val="left" w:pos="972"/>
              </w:tabs>
              <w:ind w:left="681"/>
              <w:rPr>
                <w:rFonts w:cs="Arial"/>
                <w:color w:val="0000FF"/>
                <w:sz w:val="20"/>
              </w:rPr>
            </w:pPr>
          </w:p>
          <w:p w:rsidR="00395F65" w:rsidRPr="002E7A00" w:rsidRDefault="00395F65" w:rsidP="00395F65">
            <w:pPr>
              <w:tabs>
                <w:tab w:val="left" w:pos="681"/>
                <w:tab w:val="left" w:pos="972"/>
              </w:tabs>
              <w:ind w:left="681"/>
              <w:rPr>
                <w:rFonts w:cs="Arial"/>
                <w:b/>
                <w:color w:val="0000FF"/>
                <w:sz w:val="20"/>
              </w:rPr>
            </w:pPr>
            <w:r w:rsidRPr="002E7A00">
              <w:rPr>
                <w:rFonts w:cs="Arial"/>
                <w:b/>
                <w:color w:val="0000FF"/>
                <w:sz w:val="20"/>
              </w:rPr>
              <w:t>Preparatory Health Data Management  (MA</w:t>
            </w:r>
            <w:r w:rsidR="00F6201D" w:rsidRPr="002E7A00">
              <w:rPr>
                <w:rFonts w:cs="Arial"/>
                <w:b/>
                <w:color w:val="0000FF"/>
                <w:sz w:val="20"/>
              </w:rPr>
              <w:t>T</w:t>
            </w:r>
            <w:r w:rsidRPr="002E7A00">
              <w:rPr>
                <w:rFonts w:cs="Arial"/>
                <w:b/>
                <w:color w:val="0000FF"/>
                <w:sz w:val="20"/>
              </w:rPr>
              <w:t>H 21):</w:t>
            </w:r>
            <w:r w:rsidR="003F4FA4" w:rsidRPr="002E7A00">
              <w:rPr>
                <w:rFonts w:cs="Arial"/>
                <w:b/>
                <w:color w:val="0000FF"/>
                <w:sz w:val="20"/>
              </w:rPr>
              <w:t xml:space="preserve"> </w:t>
            </w:r>
            <w:r w:rsidR="003F4FA4" w:rsidRPr="002E7A00">
              <w:rPr>
                <w:rFonts w:cs="Arial"/>
                <w:i/>
                <w:color w:val="0000FF"/>
                <w:sz w:val="20"/>
              </w:rPr>
              <w:t>Erin Kirk</w:t>
            </w:r>
          </w:p>
          <w:p w:rsidR="007F6162" w:rsidRPr="002E7A00" w:rsidRDefault="007F6162" w:rsidP="00395F65">
            <w:pPr>
              <w:tabs>
                <w:tab w:val="left" w:pos="681"/>
                <w:tab w:val="left" w:pos="972"/>
              </w:tabs>
              <w:ind w:left="681"/>
              <w:rPr>
                <w:rFonts w:cs="Arial"/>
                <w:color w:val="0000FF"/>
                <w:sz w:val="20"/>
              </w:rPr>
            </w:pPr>
          </w:p>
          <w:p w:rsidR="00F6201D" w:rsidRPr="002E7A00" w:rsidRDefault="00F6201D" w:rsidP="00395F65">
            <w:pPr>
              <w:tabs>
                <w:tab w:val="left" w:pos="681"/>
                <w:tab w:val="left" w:pos="972"/>
              </w:tabs>
              <w:ind w:left="681"/>
              <w:rPr>
                <w:rFonts w:cs="Arial"/>
                <w:color w:val="0000FF"/>
                <w:sz w:val="20"/>
              </w:rPr>
            </w:pPr>
            <w:r w:rsidRPr="002E7A00">
              <w:rPr>
                <w:rFonts w:cs="Arial"/>
                <w:color w:val="0000FF"/>
                <w:sz w:val="20"/>
              </w:rPr>
              <w:t>Learning outcomes reviewed to confirm 12U equivalencies.</w:t>
            </w:r>
          </w:p>
          <w:p w:rsidR="00F6201D" w:rsidRPr="002E7A00" w:rsidRDefault="00F6201D" w:rsidP="00395F65">
            <w:pPr>
              <w:tabs>
                <w:tab w:val="left" w:pos="681"/>
                <w:tab w:val="left" w:pos="972"/>
              </w:tabs>
              <w:ind w:left="681"/>
              <w:rPr>
                <w:rFonts w:cs="Arial"/>
                <w:color w:val="0000FF"/>
                <w:sz w:val="20"/>
              </w:rPr>
            </w:pPr>
          </w:p>
          <w:p w:rsidR="00F6201D" w:rsidRPr="002E7A00" w:rsidRDefault="00F6201D" w:rsidP="00395F65">
            <w:pPr>
              <w:tabs>
                <w:tab w:val="left" w:pos="681"/>
                <w:tab w:val="left" w:pos="972"/>
              </w:tabs>
              <w:ind w:left="681"/>
              <w:rPr>
                <w:rFonts w:cs="Arial"/>
                <w:color w:val="0000FF"/>
                <w:sz w:val="20"/>
              </w:rPr>
            </w:pPr>
            <w:r w:rsidRPr="002E7A00">
              <w:rPr>
                <w:rFonts w:cs="Arial"/>
                <w:color w:val="0000FF"/>
                <w:sz w:val="20"/>
              </w:rPr>
              <w:t>Health Science examples integrated into content</w:t>
            </w:r>
            <w:r w:rsidR="003F4FA4" w:rsidRPr="002E7A00">
              <w:rPr>
                <w:rFonts w:cs="Arial"/>
                <w:color w:val="0000FF"/>
                <w:sz w:val="20"/>
              </w:rPr>
              <w:t xml:space="preserve">. </w:t>
            </w:r>
          </w:p>
          <w:p w:rsidR="00F6201D" w:rsidRPr="002E7A00" w:rsidRDefault="00F6201D" w:rsidP="00395F65">
            <w:pPr>
              <w:tabs>
                <w:tab w:val="left" w:pos="681"/>
                <w:tab w:val="left" w:pos="972"/>
              </w:tabs>
              <w:ind w:left="681"/>
              <w:rPr>
                <w:rFonts w:cs="Arial"/>
                <w:color w:val="0000FF"/>
                <w:sz w:val="20"/>
              </w:rPr>
            </w:pPr>
          </w:p>
          <w:p w:rsidR="003F4FA4" w:rsidRPr="002E7A00" w:rsidRDefault="003F4FA4" w:rsidP="00395F65">
            <w:pPr>
              <w:tabs>
                <w:tab w:val="left" w:pos="681"/>
                <w:tab w:val="left" w:pos="972"/>
              </w:tabs>
              <w:ind w:left="681"/>
              <w:rPr>
                <w:rFonts w:cs="Arial"/>
                <w:color w:val="0000FF"/>
                <w:sz w:val="20"/>
              </w:rPr>
            </w:pPr>
            <w:r w:rsidRPr="002E7A00">
              <w:rPr>
                <w:rFonts w:cs="Arial"/>
                <w:color w:val="0000FF"/>
                <w:sz w:val="20"/>
              </w:rPr>
              <w:t xml:space="preserve">On-line pre-labs generated using Captivate and posted on D2L. </w:t>
            </w:r>
          </w:p>
          <w:p w:rsidR="00F6201D" w:rsidRPr="002E7A00" w:rsidRDefault="00F6201D" w:rsidP="00395F65">
            <w:pPr>
              <w:tabs>
                <w:tab w:val="left" w:pos="681"/>
                <w:tab w:val="left" w:pos="972"/>
              </w:tabs>
              <w:ind w:left="681"/>
              <w:rPr>
                <w:rFonts w:cs="Arial"/>
                <w:b/>
                <w:color w:val="0000FF"/>
                <w:sz w:val="20"/>
              </w:rPr>
            </w:pPr>
          </w:p>
          <w:p w:rsidR="007F6162" w:rsidRPr="002E7A00" w:rsidRDefault="007F6162" w:rsidP="00395F65">
            <w:pPr>
              <w:tabs>
                <w:tab w:val="left" w:pos="681"/>
                <w:tab w:val="left" w:pos="972"/>
              </w:tabs>
              <w:ind w:left="681"/>
              <w:rPr>
                <w:rFonts w:cs="Arial"/>
                <w:b/>
                <w:color w:val="0000FF"/>
                <w:sz w:val="20"/>
              </w:rPr>
            </w:pPr>
            <w:r w:rsidRPr="002E7A00">
              <w:rPr>
                <w:rFonts w:cs="Arial"/>
                <w:b/>
                <w:color w:val="0000FF"/>
                <w:sz w:val="20"/>
              </w:rPr>
              <w:t xml:space="preserve">Preparatory Health Math (MATH 20): </w:t>
            </w:r>
            <w:r w:rsidR="003F4FA4" w:rsidRPr="002E7A00">
              <w:rPr>
                <w:rFonts w:cs="Arial"/>
                <w:i/>
                <w:color w:val="0000FF"/>
                <w:sz w:val="20"/>
              </w:rPr>
              <w:t>Clive Russell</w:t>
            </w:r>
          </w:p>
          <w:p w:rsidR="00F6201D" w:rsidRPr="002E7A00" w:rsidRDefault="00F6201D" w:rsidP="00395F65">
            <w:pPr>
              <w:tabs>
                <w:tab w:val="left" w:pos="681"/>
                <w:tab w:val="left" w:pos="972"/>
              </w:tabs>
              <w:ind w:left="681"/>
              <w:rPr>
                <w:rFonts w:cs="Arial"/>
                <w:b/>
                <w:color w:val="0000FF"/>
                <w:sz w:val="20"/>
              </w:rPr>
            </w:pPr>
          </w:p>
          <w:p w:rsidR="00F6201D" w:rsidRDefault="00F6201D" w:rsidP="00395F65">
            <w:pPr>
              <w:tabs>
                <w:tab w:val="left" w:pos="681"/>
                <w:tab w:val="left" w:pos="972"/>
              </w:tabs>
              <w:ind w:left="681"/>
              <w:rPr>
                <w:rFonts w:cs="Arial"/>
                <w:color w:val="0000FF"/>
                <w:sz w:val="20"/>
              </w:rPr>
            </w:pPr>
            <w:r w:rsidRPr="002E7A00">
              <w:rPr>
                <w:rFonts w:cs="Arial"/>
                <w:color w:val="0000FF"/>
                <w:sz w:val="20"/>
              </w:rPr>
              <w:t>Curriculum revision and additions</w:t>
            </w:r>
            <w:r w:rsidR="003F4FA4" w:rsidRPr="002E7A00">
              <w:rPr>
                <w:rFonts w:cs="Arial"/>
                <w:color w:val="0000FF"/>
                <w:sz w:val="20"/>
              </w:rPr>
              <w:t>.</w:t>
            </w:r>
          </w:p>
          <w:p w:rsidR="002E7A00" w:rsidRPr="002E7A00" w:rsidRDefault="002E7A00" w:rsidP="00395F65">
            <w:pPr>
              <w:tabs>
                <w:tab w:val="left" w:pos="681"/>
                <w:tab w:val="left" w:pos="972"/>
              </w:tabs>
              <w:ind w:left="681"/>
              <w:rPr>
                <w:rFonts w:cs="Arial"/>
                <w:color w:val="0000FF"/>
                <w:sz w:val="20"/>
              </w:rPr>
            </w:pPr>
          </w:p>
          <w:p w:rsidR="00EF15D9" w:rsidRPr="003C69CB" w:rsidRDefault="001D5C52" w:rsidP="004C2936">
            <w:pPr>
              <w:numPr>
                <w:ilvl w:val="1"/>
                <w:numId w:val="4"/>
              </w:numPr>
              <w:tabs>
                <w:tab w:val="left" w:pos="681"/>
                <w:tab w:val="left" w:pos="972"/>
              </w:tabs>
              <w:rPr>
                <w:rFonts w:cs="Arial"/>
                <w:sz w:val="20"/>
              </w:rPr>
            </w:pPr>
            <w:r w:rsidRPr="00367B3B">
              <w:rPr>
                <w:rFonts w:cs="Arial"/>
                <w:sz w:val="20"/>
              </w:rPr>
              <w:t xml:space="preserve"> 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e-learning in each semester of their program</w:t>
            </w:r>
            <w:r w:rsidR="00EF15D9" w:rsidRPr="00367B3B">
              <w:rPr>
                <w:rFonts w:cs="Arial"/>
                <w:sz w:val="20"/>
              </w:rPr>
              <w:t xml:space="preserve">? </w:t>
            </w:r>
            <w:r w:rsidR="00EE02E0">
              <w:rPr>
                <w:rFonts w:cs="Arial"/>
                <w:i/>
                <w:color w:val="0000FF"/>
                <w:sz w:val="20"/>
              </w:rPr>
              <w:t>Yes</w:t>
            </w:r>
          </w:p>
          <w:p w:rsidR="003C69CB" w:rsidRDefault="003C69CB" w:rsidP="003C69CB">
            <w:pPr>
              <w:tabs>
                <w:tab w:val="left" w:pos="681"/>
                <w:tab w:val="left" w:pos="972"/>
              </w:tabs>
              <w:rPr>
                <w:rFonts w:cs="Arial"/>
                <w:sz w:val="20"/>
              </w:rPr>
            </w:pPr>
          </w:p>
          <w:p w:rsidR="003C69CB" w:rsidRDefault="003C69CB" w:rsidP="003C69CB">
            <w:pPr>
              <w:tabs>
                <w:tab w:val="left" w:pos="681"/>
                <w:tab w:val="left" w:pos="972"/>
              </w:tabs>
              <w:ind w:left="681"/>
              <w:rPr>
                <w:rFonts w:cs="Arial"/>
                <w:color w:val="0000FF"/>
                <w:sz w:val="20"/>
              </w:rPr>
            </w:pPr>
            <w:r w:rsidRPr="002E7A00">
              <w:rPr>
                <w:rFonts w:cs="Arial"/>
                <w:color w:val="0000FF"/>
                <w:sz w:val="20"/>
              </w:rPr>
              <w:t>All course</w:t>
            </w:r>
            <w:r w:rsidR="006E6CB2" w:rsidRPr="002E7A00">
              <w:rPr>
                <w:rFonts w:cs="Arial"/>
                <w:color w:val="0000FF"/>
                <w:sz w:val="20"/>
              </w:rPr>
              <w:t>s</w:t>
            </w:r>
            <w:r w:rsidRPr="002E7A00">
              <w:rPr>
                <w:rFonts w:cs="Arial"/>
                <w:color w:val="0000FF"/>
                <w:sz w:val="20"/>
              </w:rPr>
              <w:t xml:space="preserve"> are web-facilitated as a minimum. Chem and Math courses utilize other e-learning tools (Mastering Chemistry and </w:t>
            </w:r>
            <w:r w:rsidR="006E6CB2" w:rsidRPr="002E7A00">
              <w:rPr>
                <w:rFonts w:cs="Arial"/>
                <w:color w:val="0000FF"/>
                <w:sz w:val="20"/>
              </w:rPr>
              <w:t xml:space="preserve">Captivate) and are now considered web-enhanced. </w:t>
            </w:r>
          </w:p>
          <w:p w:rsidR="002E7A00" w:rsidRDefault="002E7A00" w:rsidP="003C69CB">
            <w:pPr>
              <w:tabs>
                <w:tab w:val="left" w:pos="681"/>
                <w:tab w:val="left" w:pos="972"/>
              </w:tabs>
              <w:ind w:left="681"/>
              <w:rPr>
                <w:rFonts w:cs="Arial"/>
                <w:color w:val="0000FF"/>
                <w:sz w:val="20"/>
              </w:rPr>
            </w:pPr>
          </w:p>
          <w:p w:rsidR="002E7A00" w:rsidRPr="002E7A00" w:rsidRDefault="002E7A00" w:rsidP="003C69CB">
            <w:pPr>
              <w:tabs>
                <w:tab w:val="left" w:pos="681"/>
                <w:tab w:val="left" w:pos="972"/>
              </w:tabs>
              <w:ind w:left="681"/>
              <w:rPr>
                <w:rFonts w:cs="Arial"/>
                <w:color w:val="0000FF"/>
                <w:sz w:val="20"/>
              </w:rPr>
            </w:pPr>
            <w:r>
              <w:rPr>
                <w:rFonts w:cs="Arial"/>
                <w:color w:val="0000FF"/>
                <w:sz w:val="20"/>
              </w:rPr>
              <w:t>Students also have a choice of on-line General Education and Program Elective courses.</w:t>
            </w:r>
          </w:p>
          <w:p w:rsidR="00373FD2" w:rsidRPr="00367B3B"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sidRPr="00367B3B">
              <w:rPr>
                <w:rFonts w:cs="Arial"/>
                <w:sz w:val="20"/>
              </w:rPr>
              <w:t xml:space="preserve"> Are there any r</w:t>
            </w:r>
            <w:r w:rsidR="00373FD2" w:rsidRPr="00367B3B">
              <w:rPr>
                <w:rFonts w:cs="Arial"/>
                <w:sz w:val="20"/>
              </w:rPr>
              <w:t>ecent or anticipated initiatives that</w:t>
            </w:r>
            <w:r w:rsidR="00373FD2" w:rsidRPr="00356C80">
              <w:rPr>
                <w:rFonts w:cs="Arial"/>
                <w:sz w:val="20"/>
              </w:rPr>
              <w:t xml:space="preserve"> promote student pathways including </w:t>
            </w:r>
            <w:r w:rsidR="00373FD2">
              <w:rPr>
                <w:rFonts w:cs="Arial"/>
                <w:sz w:val="20"/>
              </w:rPr>
              <w:t xml:space="preserve">dual credits, 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and university transfer / </w:t>
            </w:r>
            <w:r w:rsidR="00373FD2">
              <w:rPr>
                <w:rFonts w:cs="Arial"/>
                <w:sz w:val="20"/>
              </w:rPr>
              <w:t>articulations, continuing education?</w:t>
            </w:r>
            <w:r w:rsidR="002E7A00">
              <w:rPr>
                <w:rFonts w:cs="Arial"/>
                <w:sz w:val="20"/>
              </w:rPr>
              <w:t xml:space="preserve">  </w:t>
            </w:r>
          </w:p>
          <w:p w:rsidR="002E7A00" w:rsidRDefault="002E7A00" w:rsidP="002E7A00">
            <w:pPr>
              <w:tabs>
                <w:tab w:val="left" w:pos="681"/>
                <w:tab w:val="left" w:pos="972"/>
              </w:tabs>
              <w:rPr>
                <w:rFonts w:cs="Arial"/>
                <w:sz w:val="20"/>
              </w:rPr>
            </w:pPr>
          </w:p>
          <w:p w:rsidR="002E7A00" w:rsidRDefault="002E7A00" w:rsidP="002E7A00">
            <w:pPr>
              <w:tabs>
                <w:tab w:val="left" w:pos="681"/>
                <w:tab w:val="left" w:pos="972"/>
              </w:tabs>
              <w:ind w:left="681"/>
              <w:rPr>
                <w:rFonts w:cs="Arial"/>
                <w:color w:val="0000FF"/>
                <w:sz w:val="20"/>
              </w:rPr>
            </w:pPr>
            <w:r w:rsidRPr="002E7A00">
              <w:rPr>
                <w:rFonts w:cs="Arial"/>
                <w:color w:val="0000FF"/>
                <w:sz w:val="20"/>
              </w:rPr>
              <w:t>In the future, there may be potential to reserve seats in the new kinesiology program at Trent. Initial communications say no (it is a program aligned with UIOT for high school applicants only) but program hasn’t run yet and changes to admission may occur depending on enrollment, etc.</w:t>
            </w:r>
          </w:p>
          <w:p w:rsidR="00A5532B" w:rsidRDefault="00A5532B" w:rsidP="002E7A00">
            <w:pPr>
              <w:tabs>
                <w:tab w:val="left" w:pos="681"/>
                <w:tab w:val="left" w:pos="972"/>
              </w:tabs>
              <w:ind w:left="681"/>
              <w:rPr>
                <w:rFonts w:cs="Arial"/>
                <w:color w:val="0000FF"/>
                <w:sz w:val="20"/>
              </w:rPr>
            </w:pPr>
          </w:p>
          <w:p w:rsidR="00A5532B" w:rsidRPr="002E7A00" w:rsidRDefault="00A5532B" w:rsidP="002E7A00">
            <w:pPr>
              <w:tabs>
                <w:tab w:val="left" w:pos="681"/>
                <w:tab w:val="left" w:pos="972"/>
              </w:tabs>
              <w:ind w:left="681"/>
              <w:rPr>
                <w:rFonts w:cs="Arial"/>
                <w:color w:val="0000FF"/>
                <w:sz w:val="20"/>
              </w:rPr>
            </w:pPr>
            <w:r>
              <w:rPr>
                <w:rFonts w:cs="Arial"/>
                <w:color w:val="0000FF"/>
                <w:sz w:val="20"/>
              </w:rPr>
              <w:t xml:space="preserve">Contact has been made with </w:t>
            </w:r>
            <w:proofErr w:type="spellStart"/>
            <w:r>
              <w:rPr>
                <w:rFonts w:cs="Arial"/>
                <w:color w:val="0000FF"/>
                <w:sz w:val="20"/>
              </w:rPr>
              <w:t>Lakehead</w:t>
            </w:r>
            <w:proofErr w:type="spellEnd"/>
            <w:r>
              <w:rPr>
                <w:rFonts w:cs="Arial"/>
                <w:color w:val="0000FF"/>
                <w:sz w:val="20"/>
              </w:rPr>
              <w:t xml:space="preserve"> University to determine if they will accept PHS students into nursing.  This will be followed up in 2014 CBD.</w:t>
            </w:r>
          </w:p>
          <w:p w:rsidR="00373FD2" w:rsidRPr="00356C80" w:rsidRDefault="00373FD2" w:rsidP="00373FD2">
            <w:pPr>
              <w:tabs>
                <w:tab w:val="left" w:pos="432"/>
                <w:tab w:val="left" w:pos="972"/>
              </w:tabs>
              <w:ind w:left="432" w:hanging="360"/>
              <w:rPr>
                <w:rFonts w:cs="Arial"/>
                <w:sz w:val="20"/>
              </w:rPr>
            </w:pPr>
          </w:p>
          <w:p w:rsidR="00373FD2" w:rsidRPr="00A5532B" w:rsidRDefault="001D5C52" w:rsidP="004C2936">
            <w:pPr>
              <w:numPr>
                <w:ilvl w:val="1"/>
                <w:numId w:val="4"/>
              </w:numPr>
              <w:tabs>
                <w:tab w:val="left" w:pos="681"/>
                <w:tab w:val="left" w:pos="972"/>
              </w:tabs>
              <w:rPr>
                <w:rFonts w:cs="Arial"/>
                <w:i/>
                <w:sz w:val="20"/>
              </w:rPr>
            </w:pPr>
            <w:r>
              <w:rPr>
                <w:rFonts w:cs="Arial"/>
                <w:sz w:val="20"/>
              </w:rPr>
              <w:t xml:space="preserve"> Are there any n</w:t>
            </w:r>
            <w:r w:rsidR="00373FD2" w:rsidRPr="00356C80">
              <w:rPr>
                <w:rFonts w:cs="Arial"/>
                <w:sz w:val="20"/>
              </w:rPr>
              <w:t>ew competitor programs and/or re-positioning of existing programs</w:t>
            </w:r>
            <w:r>
              <w:rPr>
                <w:rFonts w:cs="Arial"/>
                <w:sz w:val="20"/>
              </w:rPr>
              <w:t>?</w:t>
            </w:r>
            <w:r w:rsidR="002E7A00">
              <w:rPr>
                <w:rFonts w:cs="Arial"/>
                <w:sz w:val="20"/>
              </w:rPr>
              <w:t xml:space="preserve"> </w:t>
            </w:r>
            <w:r w:rsidR="00A5532B">
              <w:rPr>
                <w:rFonts w:cs="Arial"/>
                <w:i/>
                <w:color w:val="0000FF"/>
                <w:sz w:val="20"/>
              </w:rPr>
              <w:t>No</w:t>
            </w:r>
          </w:p>
          <w:p w:rsidR="002E7A00" w:rsidRDefault="002E7A00" w:rsidP="002E7A00">
            <w:pPr>
              <w:tabs>
                <w:tab w:val="left" w:pos="681"/>
                <w:tab w:val="left" w:pos="972"/>
              </w:tabs>
              <w:rPr>
                <w:rFonts w:cs="Arial"/>
                <w:sz w:val="20"/>
              </w:rPr>
            </w:pPr>
          </w:p>
          <w:p w:rsidR="001D5C5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or changing provincial standards, standards for accreditation, credentials, and / or industry or sector certifications over the past year</w:t>
            </w:r>
            <w:r>
              <w:rPr>
                <w:rFonts w:cs="Arial"/>
                <w:sz w:val="20"/>
              </w:rPr>
              <w:t>?</w:t>
            </w:r>
            <w:r w:rsidR="00373FD2" w:rsidRPr="00356C80">
              <w:rPr>
                <w:rFonts w:cs="Arial"/>
                <w:sz w:val="20"/>
              </w:rPr>
              <w:t xml:space="preserve"> </w:t>
            </w:r>
            <w:r w:rsidR="00EE02E0">
              <w:rPr>
                <w:rFonts w:cs="Arial"/>
                <w:sz w:val="20"/>
              </w:rPr>
              <w:t xml:space="preserve"> </w:t>
            </w:r>
            <w:r w:rsidR="00EE02E0" w:rsidRPr="00EE02E0">
              <w:rPr>
                <w:rFonts w:cs="Arial"/>
                <w:i/>
                <w:sz w:val="20"/>
              </w:rPr>
              <w:t>Yes</w:t>
            </w:r>
          </w:p>
          <w:p w:rsidR="002E7A00" w:rsidRDefault="002E7A00" w:rsidP="00EE02E0">
            <w:pPr>
              <w:tabs>
                <w:tab w:val="left" w:pos="681"/>
                <w:tab w:val="left" w:pos="972"/>
              </w:tabs>
              <w:rPr>
                <w:rFonts w:cs="Arial"/>
                <w:sz w:val="20"/>
              </w:rPr>
            </w:pPr>
          </w:p>
          <w:p w:rsidR="00EE02E0" w:rsidRPr="00EE02E0" w:rsidRDefault="00EE02E0" w:rsidP="00EE02E0">
            <w:pPr>
              <w:ind w:left="720"/>
              <w:rPr>
                <w:rFonts w:cs="Arial"/>
                <w:color w:val="0000FF"/>
                <w:sz w:val="20"/>
              </w:rPr>
            </w:pPr>
            <w:r w:rsidRPr="00EE02E0">
              <w:rPr>
                <w:rFonts w:cs="Arial"/>
                <w:color w:val="0000FF"/>
                <w:sz w:val="20"/>
              </w:rPr>
              <w:t xml:space="preserve">Initiatives from Heads of Health Science Pre-Health Sciences Project entitled “PRE-HEALTH COLLEGE TO COLLEGE ALIGNMENT OF POLICY, PRACTICE AND PROGRAM LEARNING OUTCOMES TO FACILITATE STUDENT MOBILITY AND INTER-COLLEGE ADMISSIONS AND CREDIT </w:t>
            </w:r>
            <w:proofErr w:type="gramStart"/>
            <w:r w:rsidRPr="00EE02E0">
              <w:rPr>
                <w:rFonts w:cs="Arial"/>
                <w:color w:val="0000FF"/>
                <w:sz w:val="20"/>
              </w:rPr>
              <w:t>TRANSFER  REPORT</w:t>
            </w:r>
            <w:proofErr w:type="gramEnd"/>
            <w:r w:rsidRPr="00EE02E0">
              <w:rPr>
                <w:rFonts w:cs="Arial"/>
                <w:color w:val="0000FF"/>
                <w:sz w:val="20"/>
              </w:rPr>
              <w:t xml:space="preserve">”. In summary, this project hopes to standardize all pre-health science programs at the course level so that all pre-health programs are standardized. </w:t>
            </w:r>
          </w:p>
          <w:p w:rsidR="001D5C52" w:rsidRDefault="001D5C52" w:rsidP="001D5C52">
            <w:pPr>
              <w:pStyle w:val="ListParagraph"/>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w:t>
            </w:r>
            <w:r w:rsidRPr="001D5C52">
              <w:rPr>
                <w:rFonts w:cs="Arial"/>
                <w:sz w:val="20"/>
              </w:rPr>
              <w:t>What is the p</w:t>
            </w:r>
            <w:r w:rsidR="00373FD2" w:rsidRPr="001D5C52">
              <w:rPr>
                <w:rFonts w:cs="Arial"/>
                <w:sz w:val="20"/>
              </w:rPr>
              <w:t>rogress made from the last curriculum renewal initiative</w:t>
            </w:r>
            <w:r w:rsidRPr="001D5C52">
              <w:rPr>
                <w:rFonts w:cs="Arial"/>
                <w:sz w:val="20"/>
              </w:rPr>
              <w:t>?</w:t>
            </w:r>
            <w:r w:rsidR="00373FD2" w:rsidRPr="001D5C52">
              <w:rPr>
                <w:rFonts w:cs="Arial"/>
                <w:sz w:val="20"/>
              </w:rPr>
              <w:t xml:space="preserve"> </w:t>
            </w:r>
          </w:p>
          <w:p w:rsidR="00EE02E0" w:rsidRDefault="00EE02E0" w:rsidP="00EE02E0">
            <w:pPr>
              <w:tabs>
                <w:tab w:val="left" w:pos="681"/>
                <w:tab w:val="left" w:pos="972"/>
              </w:tabs>
              <w:rPr>
                <w:rFonts w:cs="Arial"/>
                <w:sz w:val="20"/>
              </w:rPr>
            </w:pPr>
          </w:p>
          <w:p w:rsidR="00EE02E0" w:rsidRPr="00EE02E0" w:rsidRDefault="009C7303" w:rsidP="000673C8">
            <w:pPr>
              <w:pStyle w:val="ListParagraph"/>
              <w:rPr>
                <w:rFonts w:cs="Arial"/>
                <w:color w:val="0000FF"/>
                <w:sz w:val="20"/>
              </w:rPr>
            </w:pPr>
            <w:r>
              <w:rPr>
                <w:rFonts w:cs="Arial"/>
                <w:color w:val="0000FF"/>
                <w:sz w:val="20"/>
              </w:rPr>
              <w:t>Ongoing updates with c</w:t>
            </w:r>
            <w:r w:rsidR="00EE02E0" w:rsidRPr="00EE02E0">
              <w:rPr>
                <w:rFonts w:cs="Arial"/>
                <w:color w:val="0000FF"/>
                <w:sz w:val="20"/>
              </w:rPr>
              <w:t xml:space="preserve">ore courses well aligned with </w:t>
            </w:r>
            <w:r>
              <w:rPr>
                <w:rFonts w:cs="Arial"/>
                <w:color w:val="0000FF"/>
                <w:sz w:val="20"/>
              </w:rPr>
              <w:t xml:space="preserve">current </w:t>
            </w:r>
            <w:r w:rsidR="00EE02E0" w:rsidRPr="00EE02E0">
              <w:rPr>
                <w:rFonts w:cs="Arial"/>
                <w:color w:val="0000FF"/>
                <w:sz w:val="20"/>
              </w:rPr>
              <w:t xml:space="preserve">12U curriculum (see section 2.1). </w:t>
            </w:r>
          </w:p>
          <w:p w:rsidR="00EE02E0" w:rsidRPr="00EE02E0" w:rsidRDefault="00EE02E0" w:rsidP="000673C8">
            <w:pPr>
              <w:pStyle w:val="ListParagraph"/>
              <w:rPr>
                <w:rFonts w:cs="Arial"/>
                <w:color w:val="0000FF"/>
                <w:sz w:val="20"/>
              </w:rPr>
            </w:pPr>
          </w:p>
          <w:p w:rsidR="000673C8" w:rsidRDefault="00EE02E0" w:rsidP="000673C8">
            <w:pPr>
              <w:pStyle w:val="ListParagraph"/>
              <w:rPr>
                <w:rFonts w:cs="Arial"/>
                <w:sz w:val="20"/>
              </w:rPr>
            </w:pPr>
            <w:r w:rsidRPr="00EE02E0">
              <w:rPr>
                <w:rFonts w:cs="Arial"/>
                <w:color w:val="0000FF"/>
                <w:sz w:val="20"/>
              </w:rPr>
              <w:t>Progress made to increase amount of e-learning in courses, starting with transition from minimal LMS use to web-enhanced courses.</w:t>
            </w:r>
            <w:r>
              <w:rPr>
                <w:rFonts w:cs="Arial"/>
                <w:sz w:val="20"/>
              </w:rPr>
              <w:t xml:space="preserve"> </w:t>
            </w:r>
          </w:p>
          <w:p w:rsidR="000673C8" w:rsidRPr="001D5C52" w:rsidRDefault="000673C8" w:rsidP="000673C8">
            <w:pPr>
              <w:tabs>
                <w:tab w:val="left" w:pos="681"/>
                <w:tab w:val="left" w:pos="972"/>
              </w:tabs>
              <w:ind w:left="720"/>
              <w:rPr>
                <w:rFonts w:cs="Arial"/>
                <w:sz w:val="20"/>
              </w:rPr>
            </w:pPr>
          </w:p>
          <w:p w:rsidR="00373FD2" w:rsidRPr="00356C80" w:rsidRDefault="00373FD2" w:rsidP="00EF15D9">
            <w:pPr>
              <w:pStyle w:val="Title"/>
              <w:tabs>
                <w:tab w:val="left" w:pos="432"/>
                <w:tab w:val="left" w:pos="972"/>
              </w:tabs>
              <w:ind w:left="432" w:hanging="360"/>
              <w:jc w:val="left"/>
              <w:rPr>
                <w:rFonts w:ascii="Arial" w:hAnsi="Arial" w:cs="Arial"/>
                <w:b/>
                <w:sz w:val="20"/>
              </w:rPr>
            </w:pPr>
          </w:p>
        </w:tc>
      </w:tr>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0673C8" w:rsidP="004C2936">
            <w:pPr>
              <w:numPr>
                <w:ilvl w:val="1"/>
                <w:numId w:val="5"/>
              </w:numPr>
              <w:tabs>
                <w:tab w:val="left" w:pos="252"/>
                <w:tab w:val="left" w:pos="681"/>
              </w:tabs>
              <w:rPr>
                <w:rFonts w:cs="Arial"/>
                <w:sz w:val="20"/>
              </w:rPr>
            </w:pPr>
            <w:r>
              <w:rPr>
                <w:rFonts w:cs="Arial"/>
                <w:sz w:val="20"/>
              </w:rPr>
              <w:t>D</w:t>
            </w:r>
            <w:r w:rsidR="001D5C52" w:rsidRPr="001D5C52">
              <w:rPr>
                <w:rFonts w:cs="Arial"/>
                <w:sz w:val="20"/>
              </w:rPr>
              <w:t xml:space="preserve">oes the current program contain a discrete Applied Learning opportunity for students? If yes, which category </w:t>
            </w:r>
            <w:r w:rsidR="003D338F">
              <w:rPr>
                <w:rFonts w:cs="Arial"/>
                <w:sz w:val="20"/>
              </w:rPr>
              <w:t xml:space="preserve">of Applied Learning is fulfilled? </w:t>
            </w:r>
            <w:r w:rsidR="00663E49">
              <w:rPr>
                <w:rFonts w:cs="Arial"/>
                <w:sz w:val="20"/>
              </w:rPr>
              <w:t xml:space="preserve"> </w:t>
            </w:r>
            <w:r w:rsidR="00663E49" w:rsidRPr="008C06C9">
              <w:rPr>
                <w:rFonts w:cs="Arial"/>
                <w:color w:val="0000FF"/>
                <w:sz w:val="20"/>
              </w:rPr>
              <w:t>No, only in-class applied learning (labs)</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(Indirect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Applied Project / Applied Research Project</w:t>
            </w:r>
          </w:p>
          <w:p w:rsidR="003D338F" w:rsidRDefault="003D338F" w:rsidP="003D338F">
            <w:pPr>
              <w:tabs>
                <w:tab w:val="left" w:pos="252"/>
                <w:tab w:val="left" w:pos="681"/>
              </w:tabs>
              <w:ind w:left="792"/>
              <w:rPr>
                <w:rFonts w:cs="Arial"/>
                <w:sz w:val="20"/>
              </w:rPr>
            </w:pPr>
          </w:p>
          <w:p w:rsidR="003D338F" w:rsidRDefault="003D338F" w:rsidP="004C2936">
            <w:pPr>
              <w:numPr>
                <w:ilvl w:val="1"/>
                <w:numId w:val="5"/>
              </w:numPr>
              <w:tabs>
                <w:tab w:val="left" w:pos="252"/>
                <w:tab w:val="left" w:pos="681"/>
              </w:tabs>
              <w:rPr>
                <w:rFonts w:cs="Arial"/>
                <w:sz w:val="20"/>
              </w:rPr>
            </w:pPr>
            <w:r>
              <w:rPr>
                <w:rFonts w:cs="Arial"/>
                <w:sz w:val="20"/>
              </w:rPr>
              <w:t xml:space="preserve"> In the</w:t>
            </w:r>
            <w:r w:rsidR="0087727A">
              <w:rPr>
                <w:rFonts w:cs="Arial"/>
                <w:sz w:val="20"/>
              </w:rPr>
              <w:t xml:space="preserve"> 2013/14 academic year, </w:t>
            </w:r>
            <w:r>
              <w:rPr>
                <w:rFonts w:cs="Arial"/>
                <w:sz w:val="20"/>
              </w:rPr>
              <w:t>Fleming College will ask all programs with Applied Learning</w:t>
            </w:r>
            <w:r w:rsidR="006A1C13">
              <w:rPr>
                <w:rFonts w:cs="Arial"/>
                <w:sz w:val="20"/>
              </w:rPr>
              <w:t xml:space="preserve"> opportunities</w:t>
            </w:r>
            <w:r>
              <w:rPr>
                <w:rFonts w:cs="Arial"/>
                <w:sz w:val="20"/>
              </w:rPr>
              <w:t xml:space="preserve"> to align to an agreed upon framework. To confirm program alignment, please </w:t>
            </w:r>
            <w:r w:rsidR="006A1C13">
              <w:rPr>
                <w:rFonts w:cs="Arial"/>
                <w:sz w:val="20"/>
              </w:rPr>
              <w:t>complete the</w:t>
            </w:r>
            <w:r>
              <w:rPr>
                <w:rFonts w:cs="Arial"/>
                <w:sz w:val="20"/>
              </w:rPr>
              <w:t xml:space="preserve"> appropriate Applie</w:t>
            </w:r>
            <w:r w:rsidR="006A1C13">
              <w:rPr>
                <w:rFonts w:cs="Arial"/>
                <w:sz w:val="20"/>
              </w:rPr>
              <w:t xml:space="preserve">d Learning Framework Checklist and </w:t>
            </w:r>
            <w:r>
              <w:rPr>
                <w:rFonts w:cs="Arial"/>
                <w:sz w:val="20"/>
              </w:rPr>
              <w:t>attach</w:t>
            </w:r>
            <w:r w:rsidR="006A1C13">
              <w:rPr>
                <w:rFonts w:cs="Arial"/>
                <w:sz w:val="20"/>
              </w:rPr>
              <w:t xml:space="preserve"> it</w:t>
            </w:r>
            <w:r>
              <w:rPr>
                <w:rFonts w:cs="Arial"/>
                <w:sz w:val="20"/>
              </w:rPr>
              <w:t xml:space="preserve"> to this document. After completing the checklist, please answer the following: </w:t>
            </w:r>
            <w:r w:rsidRPr="003D338F">
              <w:rPr>
                <w:rFonts w:cs="Arial"/>
                <w:sz w:val="20"/>
              </w:rPr>
              <w:t>Is the program in alignment with the Applied Learning Framework? If no, what are the strategies in place to bring the program into alignment?</w:t>
            </w:r>
          </w:p>
          <w:p w:rsidR="00411CB1" w:rsidRDefault="00411CB1" w:rsidP="00411CB1">
            <w:pPr>
              <w:tabs>
                <w:tab w:val="left" w:pos="252"/>
                <w:tab w:val="left" w:pos="681"/>
              </w:tabs>
              <w:ind w:left="681"/>
              <w:rPr>
                <w:rFonts w:cs="Arial"/>
                <w:sz w:val="20"/>
              </w:rPr>
            </w:pPr>
          </w:p>
          <w:p w:rsidR="00411CB1" w:rsidRPr="000E6197" w:rsidRDefault="00411CB1" w:rsidP="00411CB1">
            <w:pPr>
              <w:tabs>
                <w:tab w:val="left" w:pos="252"/>
                <w:tab w:val="left" w:pos="681"/>
              </w:tabs>
              <w:ind w:left="720"/>
              <w:rPr>
                <w:rFonts w:cs="Arial"/>
                <w:color w:val="0000FF"/>
                <w:sz w:val="20"/>
              </w:rPr>
            </w:pPr>
            <w:r w:rsidRPr="000E6197">
              <w:rPr>
                <w:rFonts w:cs="Arial"/>
                <w:color w:val="0000FF"/>
                <w:sz w:val="20"/>
              </w:rPr>
              <w:t xml:space="preserve">Phase II </w:t>
            </w:r>
            <w:r w:rsidR="000E6197" w:rsidRPr="000E6197">
              <w:rPr>
                <w:rFonts w:cs="Arial"/>
                <w:color w:val="0000FF"/>
                <w:sz w:val="20"/>
              </w:rPr>
              <w:t xml:space="preserve">(tentative only) </w:t>
            </w:r>
            <w:r w:rsidRPr="000E6197">
              <w:rPr>
                <w:rFonts w:cs="Arial"/>
                <w:color w:val="0000FF"/>
                <w:sz w:val="20"/>
              </w:rPr>
              <w:t xml:space="preserve">of the applied learning implementation plan will </w:t>
            </w:r>
            <w:r w:rsidR="00CB0288" w:rsidRPr="000E6197">
              <w:rPr>
                <w:rFonts w:cs="Arial"/>
                <w:color w:val="0000FF"/>
                <w:sz w:val="20"/>
              </w:rPr>
              <w:t xml:space="preserve">hopefully </w:t>
            </w:r>
            <w:r w:rsidRPr="000E6197">
              <w:rPr>
                <w:rFonts w:cs="Arial"/>
                <w:color w:val="0000FF"/>
                <w:sz w:val="20"/>
              </w:rPr>
              <w:t xml:space="preserve">include an additional </w:t>
            </w:r>
            <w:proofErr w:type="gramStart"/>
            <w:r w:rsidRPr="000E6197">
              <w:rPr>
                <w:rFonts w:cs="Arial"/>
                <w:color w:val="0000FF"/>
                <w:sz w:val="20"/>
              </w:rPr>
              <w:t xml:space="preserve">category  </w:t>
            </w:r>
            <w:r w:rsidR="00E727F7" w:rsidRPr="000E6197">
              <w:rPr>
                <w:rFonts w:cs="Arial"/>
                <w:color w:val="0000FF"/>
                <w:sz w:val="20"/>
              </w:rPr>
              <w:t>to</w:t>
            </w:r>
            <w:proofErr w:type="gramEnd"/>
            <w:r w:rsidR="00E727F7" w:rsidRPr="000E6197">
              <w:rPr>
                <w:rFonts w:cs="Arial"/>
                <w:color w:val="0000FF"/>
                <w:sz w:val="20"/>
              </w:rPr>
              <w:t xml:space="preserve"> recognize </w:t>
            </w:r>
            <w:r w:rsidR="00E727F7" w:rsidRPr="000E6197">
              <w:rPr>
                <w:rFonts w:cs="Arial"/>
                <w:i/>
                <w:color w:val="0000FF"/>
                <w:sz w:val="20"/>
              </w:rPr>
              <w:t>in-class</w:t>
            </w:r>
            <w:r w:rsidR="00E727F7" w:rsidRPr="000E6197">
              <w:rPr>
                <w:rFonts w:cs="Arial"/>
                <w:color w:val="0000FF"/>
                <w:sz w:val="20"/>
              </w:rPr>
              <w:t xml:space="preserve"> applied learning</w:t>
            </w:r>
            <w:r w:rsidR="000E6197" w:rsidRPr="000E6197">
              <w:rPr>
                <w:rFonts w:cs="Arial"/>
                <w:color w:val="0000FF"/>
                <w:sz w:val="20"/>
              </w:rPr>
              <w:t>.</w:t>
            </w:r>
          </w:p>
          <w:p w:rsidR="003D338F" w:rsidRDefault="003D338F" w:rsidP="003D338F">
            <w:pPr>
              <w:tabs>
                <w:tab w:val="left" w:pos="252"/>
                <w:tab w:val="left" w:pos="681"/>
              </w:tabs>
              <w:ind w:left="792"/>
              <w:rPr>
                <w:rFonts w:cs="Arial"/>
                <w:sz w:val="20"/>
              </w:rPr>
            </w:pPr>
            <w:r>
              <w:rPr>
                <w:rFonts w:cs="Arial"/>
                <w:sz w:val="20"/>
              </w:rPr>
              <w:t xml:space="preserve"> </w:t>
            </w:r>
          </w:p>
          <w:p w:rsidR="00CB0288" w:rsidRPr="000E6197" w:rsidRDefault="003D338F" w:rsidP="004C2936">
            <w:pPr>
              <w:numPr>
                <w:ilvl w:val="1"/>
                <w:numId w:val="5"/>
              </w:numPr>
              <w:tabs>
                <w:tab w:val="left" w:pos="252"/>
                <w:tab w:val="left" w:pos="681"/>
              </w:tabs>
              <w:rPr>
                <w:rFonts w:cs="Arial"/>
                <w:color w:val="0000FF"/>
                <w:sz w:val="20"/>
              </w:rPr>
            </w:pPr>
            <w:r>
              <w:rPr>
                <w:rFonts w:cs="Arial"/>
                <w:sz w:val="20"/>
              </w:rPr>
              <w:lastRenderedPageBreak/>
              <w:t>If the answer to 3.1 is no, are there plans to create a discrete Applied Learning opportunity for students within this program? Why or why not?</w:t>
            </w:r>
            <w:r w:rsidR="00CB0288">
              <w:rPr>
                <w:rFonts w:cs="Arial"/>
                <w:sz w:val="20"/>
              </w:rPr>
              <w:t xml:space="preserve"> </w:t>
            </w:r>
            <w:r w:rsidR="000E6197" w:rsidRPr="000E6197">
              <w:rPr>
                <w:rFonts w:cs="Arial"/>
                <w:i/>
                <w:color w:val="0000FF"/>
                <w:sz w:val="20"/>
              </w:rPr>
              <w:t>No</w:t>
            </w:r>
          </w:p>
          <w:p w:rsidR="00CB0288" w:rsidRDefault="00CB0288" w:rsidP="00CB0288">
            <w:pPr>
              <w:tabs>
                <w:tab w:val="left" w:pos="252"/>
                <w:tab w:val="left" w:pos="681"/>
              </w:tabs>
              <w:rPr>
                <w:rFonts w:cs="Arial"/>
                <w:sz w:val="20"/>
              </w:rPr>
            </w:pPr>
          </w:p>
          <w:p w:rsidR="00CB0288" w:rsidRPr="000E6197" w:rsidRDefault="00CB0288" w:rsidP="00CB0288">
            <w:pPr>
              <w:tabs>
                <w:tab w:val="left" w:pos="252"/>
                <w:tab w:val="left" w:pos="681"/>
              </w:tabs>
              <w:ind w:left="792"/>
              <w:rPr>
                <w:rFonts w:cs="Arial"/>
                <w:color w:val="0000FF"/>
                <w:sz w:val="20"/>
              </w:rPr>
            </w:pPr>
            <w:r w:rsidRPr="000E6197">
              <w:rPr>
                <w:rFonts w:cs="Arial"/>
                <w:color w:val="0000FF"/>
                <w:sz w:val="20"/>
              </w:rPr>
              <w:t>PHS is a pathway program so core courses have set content and delivery patterns (although there is ample applied learning in the form of labs).</w:t>
            </w:r>
          </w:p>
          <w:p w:rsidR="00CB0288" w:rsidRPr="000E6197" w:rsidRDefault="00CB0288" w:rsidP="00CB0288">
            <w:pPr>
              <w:tabs>
                <w:tab w:val="left" w:pos="252"/>
                <w:tab w:val="left" w:pos="681"/>
              </w:tabs>
              <w:ind w:left="792"/>
              <w:rPr>
                <w:rFonts w:cs="Arial"/>
                <w:color w:val="0000FF"/>
                <w:sz w:val="20"/>
              </w:rPr>
            </w:pPr>
          </w:p>
          <w:p w:rsidR="003D338F" w:rsidRPr="001D5C52" w:rsidRDefault="00CB0288" w:rsidP="00CB0288">
            <w:pPr>
              <w:tabs>
                <w:tab w:val="left" w:pos="252"/>
                <w:tab w:val="left" w:pos="681"/>
              </w:tabs>
              <w:ind w:left="792"/>
              <w:rPr>
                <w:rFonts w:cs="Arial"/>
                <w:sz w:val="20"/>
              </w:rPr>
            </w:pPr>
            <w:r w:rsidRPr="000E6197">
              <w:rPr>
                <w:rFonts w:cs="Arial"/>
                <w:color w:val="0000FF"/>
                <w:sz w:val="20"/>
              </w:rPr>
              <w:t>Perhaps a selection of general education or program electives can serve as a discrete applied learning opportunity (future action item to review GNED, program elective choices?).</w:t>
            </w:r>
          </w:p>
        </w:tc>
      </w:tr>
      <w:tr w:rsidR="00373FD2" w:rsidRPr="00356C80" w:rsidTr="00367B3B">
        <w:tc>
          <w:tcPr>
            <w:tcW w:w="10206" w:type="dxa"/>
            <w:tcMar>
              <w:top w:w="113" w:type="dxa"/>
              <w:bottom w:w="113" w:type="dxa"/>
            </w:tcMar>
          </w:tcPr>
          <w:p w:rsidR="00373FD2" w:rsidRPr="00E81B27" w:rsidRDefault="00373FD2" w:rsidP="00373FD2">
            <w:pPr>
              <w:tabs>
                <w:tab w:val="left" w:pos="252"/>
                <w:tab w:val="left" w:pos="972"/>
              </w:tabs>
              <w:ind w:left="252" w:hanging="180"/>
              <w:rPr>
                <w:rFonts w:cs="Arial"/>
                <w:b/>
                <w:sz w:val="20"/>
              </w:rPr>
            </w:pPr>
            <w:r w:rsidRPr="00E81B27">
              <w:rPr>
                <w:rFonts w:cs="Arial"/>
                <w:b/>
                <w:sz w:val="20"/>
              </w:rPr>
              <w:lastRenderedPageBreak/>
              <w:t>3. Student and Graduate Satisfaction</w:t>
            </w:r>
          </w:p>
          <w:p w:rsidR="00373FD2" w:rsidRPr="00E81B27" w:rsidRDefault="00373FD2" w:rsidP="00373FD2">
            <w:pPr>
              <w:tabs>
                <w:tab w:val="left" w:pos="252"/>
                <w:tab w:val="left" w:pos="972"/>
              </w:tabs>
              <w:ind w:left="252" w:hanging="180"/>
              <w:rPr>
                <w:rFonts w:cs="Arial"/>
                <w:b/>
                <w:sz w:val="20"/>
              </w:rPr>
            </w:pPr>
          </w:p>
          <w:p w:rsidR="00373FD2" w:rsidRDefault="00373FD2" w:rsidP="00373FD2">
            <w:pPr>
              <w:tabs>
                <w:tab w:val="left" w:pos="681"/>
              </w:tabs>
              <w:ind w:left="681" w:hanging="609"/>
              <w:rPr>
                <w:rFonts w:cs="Arial"/>
                <w:sz w:val="20"/>
              </w:rPr>
            </w:pPr>
            <w:r w:rsidRPr="00E81B27">
              <w:rPr>
                <w:rFonts w:cs="Arial"/>
                <w:sz w:val="20"/>
              </w:rPr>
              <w:t xml:space="preserve">3.1 </w:t>
            </w:r>
            <w:r>
              <w:rPr>
                <w:rFonts w:cs="Arial"/>
                <w:sz w:val="20"/>
              </w:rPr>
              <w:t xml:space="preserve">    </w:t>
            </w:r>
            <w:r w:rsidRPr="00E81B27">
              <w:rPr>
                <w:rFonts w:cs="Arial"/>
                <w:sz w:val="20"/>
              </w:rPr>
              <w:t xml:space="preserve">Key performance indicators # 4, 8, 9, and 11 (see </w:t>
            </w:r>
            <w:r w:rsidRPr="00E81B27">
              <w:rPr>
                <w:rFonts w:cs="Arial"/>
                <w:b/>
                <w:sz w:val="20"/>
              </w:rPr>
              <w:t xml:space="preserve">Appendix </w:t>
            </w:r>
            <w:r>
              <w:rPr>
                <w:rFonts w:cs="Arial"/>
                <w:b/>
                <w:sz w:val="20"/>
              </w:rPr>
              <w:t xml:space="preserve">of Curriculum Guide </w:t>
            </w:r>
            <w:r w:rsidRPr="00E81B27">
              <w:rPr>
                <w:rFonts w:cs="Arial"/>
                <w:sz w:val="20"/>
              </w:rPr>
              <w:t>for a</w:t>
            </w:r>
            <w:r>
              <w:rPr>
                <w:rFonts w:cs="Arial"/>
                <w:sz w:val="20"/>
              </w:rPr>
              <w:t xml:space="preserve"> </w:t>
            </w:r>
            <w:r w:rsidRPr="00E81B27">
              <w:rPr>
                <w:rFonts w:cs="Arial"/>
                <w:sz w:val="20"/>
              </w:rPr>
              <w:t>description of these).</w:t>
            </w:r>
          </w:p>
          <w:p w:rsidR="00CB0288" w:rsidRDefault="00CB0288" w:rsidP="00373FD2">
            <w:pPr>
              <w:tabs>
                <w:tab w:val="left" w:pos="252"/>
                <w:tab w:val="left" w:pos="972"/>
              </w:tabs>
              <w:ind w:left="252" w:hanging="180"/>
              <w:rPr>
                <w:rFonts w:cs="Arial"/>
                <w:sz w:val="20"/>
              </w:rPr>
            </w:pPr>
          </w:p>
          <w:p w:rsidR="00DA21BB" w:rsidRPr="00DA21BB" w:rsidRDefault="00DA21BB" w:rsidP="00DA21BB">
            <w:pPr>
              <w:ind w:left="681"/>
              <w:rPr>
                <w:b/>
                <w:i/>
              </w:rPr>
            </w:pPr>
            <w:r w:rsidRPr="00DA21BB">
              <w:rPr>
                <w:b/>
                <w:i/>
              </w:rPr>
              <w:t>Table 1: PHS KPI analysis for 2013 Reporting Year</w:t>
            </w:r>
          </w:p>
          <w:tbl>
            <w:tblPr>
              <w:tblStyle w:val="TableGrid"/>
              <w:tblW w:w="7763" w:type="dxa"/>
              <w:tblInd w:w="681" w:type="dxa"/>
              <w:tblLayout w:type="fixed"/>
              <w:tblLook w:val="04A0" w:firstRow="1" w:lastRow="0" w:firstColumn="1" w:lastColumn="0" w:noHBand="0" w:noVBand="1"/>
            </w:tblPr>
            <w:tblGrid>
              <w:gridCol w:w="5495"/>
              <w:gridCol w:w="2268"/>
            </w:tblGrid>
            <w:tr w:rsidR="00DA21BB" w:rsidRPr="003E0C45" w:rsidTr="00DA21BB">
              <w:tc>
                <w:tcPr>
                  <w:tcW w:w="5495" w:type="dxa"/>
                </w:tcPr>
                <w:p w:rsidR="00DA21BB" w:rsidRPr="003E0C45" w:rsidRDefault="00DA21BB" w:rsidP="008A480A">
                  <w:pPr>
                    <w:tabs>
                      <w:tab w:val="left" w:pos="1972"/>
                    </w:tabs>
                  </w:pPr>
                  <w:r w:rsidRPr="003E0C45">
                    <w:tab/>
                    <w:t>KPI Indicator</w:t>
                  </w:r>
                </w:p>
              </w:tc>
              <w:tc>
                <w:tcPr>
                  <w:tcW w:w="2268" w:type="dxa"/>
                </w:tcPr>
                <w:p w:rsidR="00DA21BB" w:rsidRPr="003E0C45" w:rsidRDefault="00DA21BB" w:rsidP="008A480A">
                  <w:pPr>
                    <w:tabs>
                      <w:tab w:val="left" w:pos="1972"/>
                    </w:tabs>
                  </w:pPr>
                  <w:r>
                    <w:t>Benchmark Gap</w:t>
                  </w:r>
                </w:p>
              </w:tc>
            </w:tr>
            <w:tr w:rsidR="00DA21BB" w:rsidRPr="003E0C45" w:rsidTr="00DA21BB">
              <w:tc>
                <w:tcPr>
                  <w:tcW w:w="5495" w:type="dxa"/>
                </w:tcPr>
                <w:p w:rsidR="00DA21BB" w:rsidRPr="003E0C45" w:rsidRDefault="00DA21BB" w:rsidP="008A480A">
                  <w:r w:rsidRPr="003E0C45">
                    <w:t>KPI#4</w:t>
                  </w:r>
                  <w:r>
                    <w:t xml:space="preserve">: </w:t>
                  </w:r>
                  <w:r w:rsidRPr="003E0C45">
                    <w:t>Graduate Satisfaction</w:t>
                  </w:r>
                  <w:r>
                    <w:t xml:space="preserve">, </w:t>
                  </w:r>
                  <w:r w:rsidRPr="003E0C45">
                    <w:t xml:space="preserve">Learning Outcomes   </w:t>
                  </w:r>
                </w:p>
              </w:tc>
              <w:tc>
                <w:tcPr>
                  <w:tcW w:w="2268" w:type="dxa"/>
                </w:tcPr>
                <w:p w:rsidR="00DA21BB" w:rsidRPr="003E0C45" w:rsidRDefault="00DA21BB" w:rsidP="008A480A">
                  <w:pPr>
                    <w:jc w:val="center"/>
                  </w:pPr>
                  <w:r>
                    <w:t>+20.53</w:t>
                  </w:r>
                </w:p>
              </w:tc>
            </w:tr>
            <w:tr w:rsidR="00DA21BB" w:rsidRPr="003E0C45" w:rsidTr="00DA21BB">
              <w:tc>
                <w:tcPr>
                  <w:tcW w:w="5495" w:type="dxa"/>
                </w:tcPr>
                <w:p w:rsidR="00DA21BB" w:rsidRPr="003E0C45" w:rsidRDefault="00DA21BB" w:rsidP="008A480A">
                  <w:r w:rsidRPr="003E0C45">
                    <w:t>KPI#8</w:t>
                  </w:r>
                  <w:r>
                    <w:t xml:space="preserve">: Student Satisfaction, Learning Experience </w:t>
                  </w:r>
                </w:p>
              </w:tc>
              <w:tc>
                <w:tcPr>
                  <w:tcW w:w="2268" w:type="dxa"/>
                </w:tcPr>
                <w:p w:rsidR="00DA21BB" w:rsidRPr="003E0C45" w:rsidRDefault="00DA21BB" w:rsidP="008A480A">
                  <w:pPr>
                    <w:jc w:val="center"/>
                  </w:pPr>
                  <w:r>
                    <w:t>-15.93</w:t>
                  </w:r>
                </w:p>
              </w:tc>
            </w:tr>
            <w:tr w:rsidR="00DA21BB" w:rsidRPr="003E0C45" w:rsidTr="00DA21BB">
              <w:tc>
                <w:tcPr>
                  <w:tcW w:w="5495" w:type="dxa"/>
                </w:tcPr>
                <w:p w:rsidR="00DA21BB" w:rsidRPr="003E0C45" w:rsidRDefault="00DA21BB" w:rsidP="008A480A">
                  <w:r>
                    <w:t>KPI#9: Student Satisfaction, Teachers</w:t>
                  </w:r>
                </w:p>
              </w:tc>
              <w:tc>
                <w:tcPr>
                  <w:tcW w:w="2268" w:type="dxa"/>
                </w:tcPr>
                <w:p w:rsidR="00DA21BB" w:rsidRPr="003E0C45" w:rsidRDefault="00DA21BB" w:rsidP="008A480A">
                  <w:pPr>
                    <w:jc w:val="center"/>
                  </w:pPr>
                  <w:r>
                    <w:t>-2.20</w:t>
                  </w:r>
                </w:p>
              </w:tc>
            </w:tr>
            <w:tr w:rsidR="00DA21BB" w:rsidRPr="003E0C45" w:rsidTr="00DA21BB">
              <w:tc>
                <w:tcPr>
                  <w:tcW w:w="5495" w:type="dxa"/>
                </w:tcPr>
                <w:p w:rsidR="00DA21BB" w:rsidRPr="003E0C45" w:rsidRDefault="00DA21BB" w:rsidP="008A480A">
                  <w:r>
                    <w:t xml:space="preserve">KPI#11: Graduate Satisfaction, Program </w:t>
                  </w:r>
                </w:p>
              </w:tc>
              <w:tc>
                <w:tcPr>
                  <w:tcW w:w="2268" w:type="dxa"/>
                </w:tcPr>
                <w:p w:rsidR="00DA21BB" w:rsidRPr="003E0C45" w:rsidRDefault="00DA21BB" w:rsidP="008A480A">
                  <w:pPr>
                    <w:jc w:val="center"/>
                  </w:pPr>
                  <w:r>
                    <w:t>+2.02</w:t>
                  </w:r>
                </w:p>
              </w:tc>
            </w:tr>
          </w:tbl>
          <w:p w:rsidR="00DA21BB" w:rsidRPr="00EC0CF9" w:rsidRDefault="00DA21BB" w:rsidP="00DA21BB">
            <w:pPr>
              <w:ind w:left="569"/>
              <w:rPr>
                <w:i/>
                <w:sz w:val="16"/>
                <w:szCs w:val="16"/>
              </w:rPr>
            </w:pPr>
            <w:r w:rsidRPr="00EC0CF9">
              <w:rPr>
                <w:i/>
                <w:sz w:val="16"/>
                <w:szCs w:val="16"/>
              </w:rPr>
              <w:t>BENCHMARK GAP is Program Difference minus the College Difference. If the Benchmark Gap is positive, Fleming's program difference is above the college difference and the program does not have to increase its performance on this KPI. If the Benchmark Gap is negative, Fleming's program difference is below the college difference and the program needs to increase its performance on this KPI by the value of the Benchmark gap.</w:t>
            </w:r>
          </w:p>
          <w:p w:rsidR="00CB0288" w:rsidRDefault="00CB0288" w:rsidP="00373FD2">
            <w:pPr>
              <w:tabs>
                <w:tab w:val="left" w:pos="252"/>
                <w:tab w:val="left" w:pos="972"/>
              </w:tabs>
              <w:ind w:left="252" w:hanging="180"/>
              <w:rPr>
                <w:rFonts w:cs="Arial"/>
                <w:sz w:val="20"/>
              </w:rPr>
            </w:pPr>
          </w:p>
          <w:p w:rsidR="00373FD2" w:rsidRDefault="00373FD2" w:rsidP="00373FD2">
            <w:pPr>
              <w:tabs>
                <w:tab w:val="left" w:pos="252"/>
                <w:tab w:val="left" w:pos="972"/>
              </w:tabs>
              <w:ind w:left="252" w:hanging="180"/>
              <w:rPr>
                <w:rFonts w:cs="Arial"/>
                <w:sz w:val="20"/>
              </w:rPr>
            </w:pPr>
            <w:r>
              <w:rPr>
                <w:rFonts w:cs="Arial"/>
                <w:sz w:val="20"/>
              </w:rPr>
              <w:t>3.2     Review and discuss student retention on a semester by semester basis over the past year.</w:t>
            </w:r>
          </w:p>
          <w:p w:rsidR="00E42389" w:rsidRDefault="00E42389" w:rsidP="00373FD2">
            <w:pPr>
              <w:tabs>
                <w:tab w:val="left" w:pos="252"/>
                <w:tab w:val="left" w:pos="972"/>
              </w:tabs>
              <w:ind w:left="252" w:hanging="180"/>
              <w:rPr>
                <w:rFonts w:cs="Arial"/>
                <w:sz w:val="20"/>
              </w:rPr>
            </w:pPr>
          </w:p>
          <w:p w:rsidR="00A5532B" w:rsidRPr="00E81B27" w:rsidRDefault="00A5532B" w:rsidP="00A5532B">
            <w:pPr>
              <w:tabs>
                <w:tab w:val="left" w:pos="252"/>
                <w:tab w:val="left" w:pos="972"/>
              </w:tabs>
              <w:ind w:left="900" w:hanging="180"/>
              <w:rPr>
                <w:rFonts w:cs="Arial"/>
                <w:sz w:val="20"/>
              </w:rPr>
            </w:pPr>
            <w:r>
              <w:rPr>
                <w:rFonts w:cs="Arial"/>
                <w:color w:val="0000FF"/>
                <w:sz w:val="20"/>
              </w:rPr>
              <w:t>Fall to winter semester:  4 students left the program: 2 left to work, 2 switched to other programs; 2 students joined the program with advanced standing to finish the certificate.</w:t>
            </w: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Default="000E6197" w:rsidP="000E6197">
            <w:pPr>
              <w:rPr>
                <w:rFonts w:cs="Arial"/>
                <w:i/>
                <w:color w:val="0000FF"/>
                <w:sz w:val="20"/>
              </w:rPr>
            </w:pPr>
            <w:r w:rsidRPr="003D3E86">
              <w:rPr>
                <w:rFonts w:cs="Arial"/>
                <w:i/>
                <w:color w:val="0000FF"/>
                <w:sz w:val="20"/>
              </w:rPr>
              <w:t>(Update as appropriate based on discussions with teams)</w:t>
            </w:r>
          </w:p>
          <w:p w:rsidR="003D3E86" w:rsidRPr="003D3E86" w:rsidRDefault="003D3E86" w:rsidP="000E6197">
            <w:pPr>
              <w:rPr>
                <w:rFonts w:cs="Arial"/>
                <w:i/>
                <w:color w:val="0000FF"/>
                <w:sz w:val="20"/>
              </w:rPr>
            </w:pPr>
          </w:p>
          <w:p w:rsidR="000E6197" w:rsidRDefault="000E6197" w:rsidP="004C2936">
            <w:pPr>
              <w:numPr>
                <w:ilvl w:val="0"/>
                <w:numId w:val="2"/>
              </w:numPr>
              <w:rPr>
                <w:rFonts w:cs="Arial"/>
                <w:b/>
                <w:sz w:val="20"/>
              </w:rPr>
            </w:pPr>
            <w:r>
              <w:rPr>
                <w:rFonts w:cs="Arial"/>
                <w:b/>
                <w:sz w:val="20"/>
              </w:rPr>
              <w:t>Strengths:</w:t>
            </w:r>
          </w:p>
          <w:p w:rsidR="000E6197" w:rsidRDefault="000E6197" w:rsidP="000E6197">
            <w:pPr>
              <w:rPr>
                <w:rFonts w:cs="Arial"/>
                <w:b/>
                <w:sz w:val="20"/>
              </w:rPr>
            </w:pPr>
          </w:p>
          <w:p w:rsidR="00373FD2" w:rsidRDefault="000E6197" w:rsidP="000E6197">
            <w:pPr>
              <w:ind w:left="720"/>
              <w:rPr>
                <w:rFonts w:cs="Arial"/>
                <w:sz w:val="20"/>
              </w:rPr>
            </w:pPr>
            <w:r w:rsidRPr="000E6197">
              <w:rPr>
                <w:rFonts w:cs="Arial"/>
                <w:color w:val="0000FF"/>
                <w:sz w:val="20"/>
              </w:rPr>
              <w:t>Required 12U content complemented with pre-nursing/health care-related examples, assessment</w:t>
            </w:r>
            <w:r>
              <w:rPr>
                <w:rFonts w:cs="Arial"/>
                <w:color w:val="0000FF"/>
                <w:sz w:val="20"/>
              </w:rPr>
              <w:t>.</w:t>
            </w:r>
            <w:r w:rsidR="00373FD2" w:rsidRPr="000E6197">
              <w:rPr>
                <w:rFonts w:cs="Arial"/>
                <w:sz w:val="20"/>
              </w:rPr>
              <w:br/>
            </w:r>
          </w:p>
          <w:p w:rsidR="000E6197" w:rsidRPr="00FF0079" w:rsidRDefault="000E6197" w:rsidP="000E6197">
            <w:pPr>
              <w:ind w:left="720"/>
              <w:rPr>
                <w:rFonts w:cs="Arial"/>
                <w:color w:val="0000FF"/>
                <w:sz w:val="20"/>
              </w:rPr>
            </w:pPr>
            <w:r w:rsidRPr="00FF0079">
              <w:rPr>
                <w:rFonts w:cs="Arial"/>
                <w:color w:val="0000FF"/>
                <w:sz w:val="20"/>
              </w:rPr>
              <w:t xml:space="preserve">EE and transferable skills embedded in </w:t>
            </w:r>
            <w:r w:rsidR="00FF0079" w:rsidRPr="00FF0079">
              <w:rPr>
                <w:rFonts w:cs="Arial"/>
                <w:color w:val="0000FF"/>
                <w:sz w:val="20"/>
              </w:rPr>
              <w:t xml:space="preserve">core </w:t>
            </w:r>
            <w:r w:rsidRPr="00FF0079">
              <w:rPr>
                <w:rFonts w:cs="Arial"/>
                <w:color w:val="0000FF"/>
                <w:sz w:val="20"/>
              </w:rPr>
              <w:t>curriculum.</w:t>
            </w:r>
          </w:p>
          <w:p w:rsidR="000E6197" w:rsidRPr="000E6197" w:rsidRDefault="000E6197" w:rsidP="000E6197">
            <w:pPr>
              <w:ind w:left="720"/>
              <w:rPr>
                <w:rFonts w:cs="Arial"/>
                <w:sz w:val="20"/>
              </w:rPr>
            </w:pPr>
          </w:p>
          <w:p w:rsidR="000E6197" w:rsidRDefault="000E6197" w:rsidP="004C2936">
            <w:pPr>
              <w:numPr>
                <w:ilvl w:val="0"/>
                <w:numId w:val="2"/>
              </w:numPr>
              <w:rPr>
                <w:rFonts w:cs="Arial"/>
                <w:b/>
                <w:sz w:val="20"/>
              </w:rPr>
            </w:pPr>
            <w:r>
              <w:rPr>
                <w:rFonts w:cs="Arial"/>
                <w:b/>
                <w:sz w:val="20"/>
              </w:rPr>
              <w:t>Challenges:</w:t>
            </w:r>
          </w:p>
          <w:p w:rsidR="000E6197" w:rsidRDefault="000E6197" w:rsidP="000E6197">
            <w:pPr>
              <w:ind w:left="360"/>
              <w:rPr>
                <w:rFonts w:cs="Arial"/>
                <w:b/>
                <w:sz w:val="20"/>
              </w:rPr>
            </w:pPr>
          </w:p>
          <w:p w:rsidR="00373FD2" w:rsidRPr="000E6197" w:rsidRDefault="000E6197" w:rsidP="000E6197">
            <w:pPr>
              <w:ind w:left="720"/>
              <w:rPr>
                <w:rFonts w:cs="Arial"/>
                <w:color w:val="0000FF"/>
                <w:sz w:val="20"/>
              </w:rPr>
            </w:pPr>
            <w:r w:rsidRPr="000E6197">
              <w:rPr>
                <w:rFonts w:cs="Arial"/>
                <w:color w:val="0000FF"/>
                <w:sz w:val="20"/>
              </w:rPr>
              <w:t xml:space="preserve">Lack of dedicated (smaller) program team with established course leads </w:t>
            </w:r>
            <w:r w:rsidR="00FF0079">
              <w:rPr>
                <w:rFonts w:cs="Arial"/>
                <w:color w:val="0000FF"/>
                <w:sz w:val="20"/>
              </w:rPr>
              <w:t xml:space="preserve">makes </w:t>
            </w:r>
            <w:r w:rsidRPr="000E6197">
              <w:rPr>
                <w:rFonts w:cs="Arial"/>
                <w:color w:val="0000FF"/>
                <w:sz w:val="20"/>
              </w:rPr>
              <w:t xml:space="preserve">integration of content across core courses </w:t>
            </w:r>
            <w:r w:rsidR="00FF0079">
              <w:rPr>
                <w:rFonts w:cs="Arial"/>
                <w:color w:val="0000FF"/>
                <w:sz w:val="20"/>
              </w:rPr>
              <w:t xml:space="preserve">more difficult as well as </w:t>
            </w:r>
            <w:r w:rsidRPr="000E6197">
              <w:rPr>
                <w:rFonts w:cs="Arial"/>
                <w:color w:val="0000FF"/>
                <w:sz w:val="20"/>
              </w:rPr>
              <w:t>meetings</w:t>
            </w:r>
            <w:r w:rsidR="00FF0079">
              <w:rPr>
                <w:rFonts w:cs="Arial"/>
                <w:color w:val="0000FF"/>
                <w:sz w:val="20"/>
              </w:rPr>
              <w:t xml:space="preserve"> and </w:t>
            </w:r>
            <w:r w:rsidRPr="000E6197">
              <w:rPr>
                <w:rFonts w:cs="Arial"/>
                <w:color w:val="0000FF"/>
                <w:sz w:val="20"/>
              </w:rPr>
              <w:t>discussions re: student progress</w:t>
            </w:r>
            <w:r w:rsidR="00FF0079">
              <w:rPr>
                <w:rFonts w:cs="Arial"/>
                <w:color w:val="0000FF"/>
                <w:sz w:val="20"/>
              </w:rPr>
              <w:t>.</w:t>
            </w:r>
            <w:r w:rsidR="00373FD2" w:rsidRPr="000E6197">
              <w:rPr>
                <w:rFonts w:cs="Arial"/>
                <w:color w:val="0000FF"/>
                <w:sz w:val="20"/>
              </w:rPr>
              <w:br/>
            </w:r>
          </w:p>
          <w:p w:rsidR="00373FD2" w:rsidRDefault="000E6197" w:rsidP="000E6197">
            <w:pPr>
              <w:ind w:left="720"/>
              <w:rPr>
                <w:rFonts w:cs="Arial"/>
                <w:b/>
                <w:sz w:val="20"/>
              </w:rPr>
            </w:pPr>
            <w:r w:rsidRPr="000E6197">
              <w:rPr>
                <w:rFonts w:cs="Arial"/>
                <w:color w:val="0000FF"/>
              </w:rPr>
              <w:t>Lack of any real advising model used in GAS, lack of follow-up re: Week 4 reporting, etc.</w:t>
            </w:r>
            <w:r w:rsidR="00373FD2" w:rsidRPr="00356C80">
              <w:rPr>
                <w:rFonts w:cs="Arial"/>
              </w:rPr>
              <w:br/>
            </w:r>
          </w:p>
          <w:p w:rsidR="008A480A" w:rsidRPr="008A480A" w:rsidRDefault="008A480A" w:rsidP="000E6197">
            <w:pPr>
              <w:ind w:left="720"/>
              <w:rPr>
                <w:rFonts w:cs="Arial"/>
                <w:color w:val="0000FF"/>
                <w:sz w:val="20"/>
              </w:rPr>
            </w:pPr>
            <w:r w:rsidRPr="008A480A">
              <w:rPr>
                <w:rFonts w:cs="Arial"/>
                <w:color w:val="0000FF"/>
                <w:sz w:val="20"/>
              </w:rPr>
              <w:t>Lack of compensation for part-time faculty</w:t>
            </w:r>
            <w:r w:rsidR="007E2191">
              <w:rPr>
                <w:rFonts w:cs="Arial"/>
                <w:color w:val="0000FF"/>
                <w:sz w:val="20"/>
              </w:rPr>
              <w:t xml:space="preserve"> to act as advisors</w:t>
            </w:r>
          </w:p>
          <w:p w:rsidR="008A480A" w:rsidRPr="008A480A" w:rsidRDefault="008A480A" w:rsidP="000E6197">
            <w:pPr>
              <w:ind w:left="720"/>
              <w:rPr>
                <w:rFonts w:cs="Arial"/>
                <w:color w:val="0000FF"/>
                <w:sz w:val="20"/>
              </w:rPr>
            </w:pPr>
          </w:p>
          <w:p w:rsidR="008A480A" w:rsidRPr="00356C80" w:rsidRDefault="008A480A" w:rsidP="000E6197">
            <w:pPr>
              <w:ind w:left="720"/>
              <w:rPr>
                <w:rFonts w:cs="Arial"/>
                <w:b/>
                <w:sz w:val="20"/>
              </w:rPr>
            </w:pPr>
            <w:r w:rsidRPr="008A480A">
              <w:rPr>
                <w:rFonts w:cs="Arial"/>
                <w:color w:val="0000FF"/>
                <w:sz w:val="20"/>
              </w:rPr>
              <w:t>Many faculty also teach in the GHS program and are advising those students as well</w:t>
            </w: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lastRenderedPageBreak/>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FF0079" w:rsidRPr="00E42389" w:rsidRDefault="008A480A" w:rsidP="00FF0079">
            <w:pPr>
              <w:numPr>
                <w:ilvl w:val="0"/>
                <w:numId w:val="2"/>
              </w:numPr>
              <w:rPr>
                <w:rFonts w:cs="Arial"/>
                <w:color w:val="0000FF"/>
                <w:sz w:val="20"/>
              </w:rPr>
            </w:pPr>
            <w:r>
              <w:rPr>
                <w:rFonts w:cs="Arial"/>
                <w:color w:val="0000FF"/>
                <w:sz w:val="20"/>
              </w:rPr>
              <w:t xml:space="preserve">CONSIDER:  </w:t>
            </w:r>
            <w:r w:rsidR="00FF0079" w:rsidRPr="00E42389">
              <w:rPr>
                <w:rFonts w:cs="Arial"/>
                <w:color w:val="0000FF"/>
                <w:sz w:val="20"/>
              </w:rPr>
              <w:t xml:space="preserve">Add </w:t>
            </w:r>
            <w:r w:rsidR="003D3E86" w:rsidRPr="00E42389">
              <w:rPr>
                <w:rFonts w:cs="Arial"/>
                <w:color w:val="0000FF"/>
                <w:sz w:val="20"/>
              </w:rPr>
              <w:t xml:space="preserve">Introduction to </w:t>
            </w:r>
            <w:r w:rsidR="00FF0079" w:rsidRPr="00E42389">
              <w:rPr>
                <w:rFonts w:cs="Arial"/>
                <w:color w:val="0000FF"/>
                <w:sz w:val="20"/>
              </w:rPr>
              <w:t>Psych</w:t>
            </w:r>
            <w:r w:rsidR="003D3E86" w:rsidRPr="00E42389">
              <w:rPr>
                <w:rFonts w:cs="Arial"/>
                <w:color w:val="0000FF"/>
                <w:sz w:val="20"/>
              </w:rPr>
              <w:t>ology</w:t>
            </w:r>
            <w:r w:rsidR="00E42389" w:rsidRPr="00E42389">
              <w:rPr>
                <w:rFonts w:cs="Arial"/>
                <w:color w:val="0000FF"/>
                <w:sz w:val="20"/>
              </w:rPr>
              <w:t xml:space="preserve">, </w:t>
            </w:r>
            <w:r w:rsidR="003D3E86" w:rsidRPr="00E42389">
              <w:rPr>
                <w:rFonts w:cs="Arial"/>
                <w:color w:val="0000FF"/>
                <w:sz w:val="20"/>
              </w:rPr>
              <w:t>SOCI36</w:t>
            </w:r>
            <w:r w:rsidR="00E42389" w:rsidRPr="00E42389">
              <w:rPr>
                <w:rFonts w:cs="Arial"/>
                <w:color w:val="0000FF"/>
                <w:sz w:val="20"/>
              </w:rPr>
              <w:t xml:space="preserve"> (face-to face delivery)</w:t>
            </w:r>
            <w:r w:rsidR="003D3E86" w:rsidRPr="00E42389">
              <w:rPr>
                <w:rFonts w:cs="Arial"/>
                <w:color w:val="0000FF"/>
                <w:sz w:val="20"/>
              </w:rPr>
              <w:t xml:space="preserve"> </w:t>
            </w:r>
            <w:r w:rsidR="00FF0079" w:rsidRPr="00E42389">
              <w:rPr>
                <w:rFonts w:cs="Arial"/>
                <w:color w:val="0000FF"/>
                <w:sz w:val="20"/>
              </w:rPr>
              <w:t>as a required course in first semester. This allows smother transition into GHS if applicable and gives students only one choice in first semester (easier than current two choices)</w:t>
            </w:r>
          </w:p>
          <w:p w:rsidR="00373FD2" w:rsidRDefault="003D3E86" w:rsidP="004C2936">
            <w:pPr>
              <w:numPr>
                <w:ilvl w:val="0"/>
                <w:numId w:val="2"/>
              </w:numPr>
              <w:rPr>
                <w:rFonts w:cs="Arial"/>
                <w:color w:val="0000FF"/>
                <w:sz w:val="20"/>
              </w:rPr>
            </w:pPr>
            <w:r w:rsidRPr="00E42389">
              <w:rPr>
                <w:rFonts w:cs="Arial"/>
                <w:color w:val="0000FF"/>
                <w:sz w:val="20"/>
              </w:rPr>
              <w:t>Add Physics as a program elective choice for students wishing to move on to X-ray technician</w:t>
            </w:r>
            <w:r w:rsidR="008A480A">
              <w:rPr>
                <w:rFonts w:cs="Arial"/>
                <w:color w:val="0000FF"/>
                <w:sz w:val="20"/>
              </w:rPr>
              <w:t xml:space="preserve"> (discuss options with GHS program)</w:t>
            </w:r>
          </w:p>
          <w:p w:rsidR="007E2191" w:rsidRPr="00E42389" w:rsidRDefault="007E2191" w:rsidP="004C2936">
            <w:pPr>
              <w:numPr>
                <w:ilvl w:val="0"/>
                <w:numId w:val="2"/>
              </w:numPr>
              <w:rPr>
                <w:rFonts w:cs="Arial"/>
                <w:color w:val="0000FF"/>
                <w:sz w:val="20"/>
              </w:rPr>
            </w:pPr>
            <w:r>
              <w:rPr>
                <w:rFonts w:cs="Arial"/>
                <w:color w:val="0000FF"/>
                <w:sz w:val="20"/>
              </w:rPr>
              <w:t>Add practical science as a program elective in semester 1</w:t>
            </w:r>
          </w:p>
          <w:p w:rsidR="00373FD2" w:rsidRPr="00E42389" w:rsidRDefault="003D3E86" w:rsidP="004C2936">
            <w:pPr>
              <w:numPr>
                <w:ilvl w:val="0"/>
                <w:numId w:val="2"/>
              </w:numPr>
              <w:rPr>
                <w:rFonts w:cs="Arial"/>
                <w:color w:val="0000FF"/>
                <w:sz w:val="20"/>
              </w:rPr>
            </w:pPr>
            <w:r w:rsidRPr="00E42389">
              <w:rPr>
                <w:rFonts w:cs="Arial"/>
                <w:color w:val="0000FF"/>
                <w:sz w:val="20"/>
              </w:rPr>
              <w:t>Update alternate pathways for PHS students</w:t>
            </w:r>
            <w:r w:rsidR="00E42389" w:rsidRPr="00E42389">
              <w:rPr>
                <w:rFonts w:cs="Arial"/>
                <w:color w:val="0000FF"/>
                <w:sz w:val="20"/>
              </w:rPr>
              <w:t xml:space="preserve"> (i.e., check links, add info, etc.)</w:t>
            </w:r>
          </w:p>
          <w:p w:rsidR="00373FD2" w:rsidRPr="00E42389" w:rsidRDefault="00E42389" w:rsidP="004C2936">
            <w:pPr>
              <w:numPr>
                <w:ilvl w:val="0"/>
                <w:numId w:val="2"/>
              </w:numPr>
              <w:rPr>
                <w:rFonts w:cs="Arial"/>
                <w:color w:val="0000FF"/>
                <w:sz w:val="20"/>
              </w:rPr>
            </w:pPr>
            <w:r w:rsidRPr="00E42389">
              <w:rPr>
                <w:rFonts w:cs="Arial"/>
                <w:color w:val="0000FF"/>
                <w:sz w:val="20"/>
              </w:rPr>
              <w:t>Continue alignment of Math and English course to current 12U curriculum</w:t>
            </w:r>
          </w:p>
          <w:p w:rsidR="00373FD2" w:rsidRPr="00E42389" w:rsidRDefault="00E42389" w:rsidP="004C2936">
            <w:pPr>
              <w:numPr>
                <w:ilvl w:val="0"/>
                <w:numId w:val="2"/>
              </w:numPr>
              <w:rPr>
                <w:rFonts w:cs="Arial"/>
                <w:color w:val="0000FF"/>
                <w:sz w:val="20"/>
              </w:rPr>
            </w:pPr>
            <w:proofErr w:type="spellStart"/>
            <w:r w:rsidRPr="00E42389">
              <w:rPr>
                <w:rFonts w:cs="Arial"/>
                <w:color w:val="0000FF"/>
                <w:sz w:val="20"/>
              </w:rPr>
              <w:t>Analyse</w:t>
            </w:r>
            <w:proofErr w:type="spellEnd"/>
            <w:r w:rsidRPr="00E42389">
              <w:rPr>
                <w:rFonts w:cs="Arial"/>
                <w:color w:val="0000FF"/>
                <w:sz w:val="20"/>
              </w:rPr>
              <w:t xml:space="preserve"> previous </w:t>
            </w:r>
            <w:proofErr w:type="spellStart"/>
            <w:r w:rsidRPr="00E42389">
              <w:rPr>
                <w:rFonts w:cs="Arial"/>
                <w:color w:val="0000FF"/>
                <w:sz w:val="20"/>
              </w:rPr>
              <w:t>Accuplacer</w:t>
            </w:r>
            <w:proofErr w:type="spellEnd"/>
            <w:r w:rsidRPr="00E42389">
              <w:rPr>
                <w:rFonts w:cs="Arial"/>
                <w:color w:val="0000FF"/>
                <w:sz w:val="20"/>
              </w:rPr>
              <w:t xml:space="preserve"> results for PHS students (Math and </w:t>
            </w:r>
            <w:proofErr w:type="spellStart"/>
            <w:r w:rsidRPr="00E42389">
              <w:rPr>
                <w:rFonts w:cs="Arial"/>
                <w:color w:val="0000FF"/>
                <w:sz w:val="20"/>
              </w:rPr>
              <w:t>Comm</w:t>
            </w:r>
            <w:proofErr w:type="spellEnd"/>
            <w:r w:rsidRPr="00E42389">
              <w:rPr>
                <w:rFonts w:cs="Arial"/>
                <w:color w:val="0000FF"/>
                <w:sz w:val="20"/>
              </w:rPr>
              <w:t>)</w:t>
            </w:r>
          </w:p>
          <w:p w:rsidR="00E42389" w:rsidRDefault="00E42389" w:rsidP="004C2936">
            <w:pPr>
              <w:numPr>
                <w:ilvl w:val="0"/>
                <w:numId w:val="2"/>
              </w:numPr>
              <w:rPr>
                <w:rFonts w:cs="Arial"/>
                <w:color w:val="0000FF"/>
                <w:sz w:val="20"/>
              </w:rPr>
            </w:pPr>
            <w:r w:rsidRPr="00E42389">
              <w:rPr>
                <w:rFonts w:cs="Arial"/>
                <w:color w:val="0000FF"/>
                <w:sz w:val="20"/>
              </w:rPr>
              <w:t>Formalize articulation agreement with Trent</w:t>
            </w:r>
          </w:p>
          <w:p w:rsidR="00E7669A" w:rsidRPr="00E42389" w:rsidRDefault="00E7669A" w:rsidP="004C2936">
            <w:pPr>
              <w:numPr>
                <w:ilvl w:val="0"/>
                <w:numId w:val="2"/>
              </w:numPr>
              <w:rPr>
                <w:rFonts w:cs="Arial"/>
                <w:color w:val="0000FF"/>
                <w:sz w:val="20"/>
              </w:rPr>
            </w:pPr>
            <w:r>
              <w:rPr>
                <w:rFonts w:cs="Arial"/>
                <w:color w:val="0000FF"/>
                <w:sz w:val="20"/>
              </w:rPr>
              <w:t>Review hybridization pilot project from English II; revise sequencing in English I and II to accommodate changes</w:t>
            </w:r>
          </w:p>
          <w:p w:rsidR="00E42389" w:rsidRDefault="00E42389" w:rsidP="00E42389">
            <w:pPr>
              <w:rPr>
                <w:rFonts w:cs="Arial"/>
                <w:sz w:val="20"/>
              </w:rPr>
            </w:pPr>
          </w:p>
          <w:p w:rsidR="00E42389" w:rsidRPr="00E42389" w:rsidRDefault="00E42389" w:rsidP="00E42389">
            <w:pPr>
              <w:ind w:left="360"/>
              <w:rPr>
                <w:rFonts w:cs="Arial"/>
                <w:color w:val="0000FF"/>
                <w:sz w:val="20"/>
              </w:rPr>
            </w:pPr>
            <w:r w:rsidRPr="00E42389">
              <w:rPr>
                <w:rFonts w:cs="Arial"/>
                <w:color w:val="0000FF"/>
                <w:sz w:val="20"/>
              </w:rPr>
              <w:t>From section 1.5:</w:t>
            </w:r>
          </w:p>
          <w:p w:rsidR="00E42389" w:rsidRPr="00E42389" w:rsidRDefault="00E42389" w:rsidP="00E42389">
            <w:pPr>
              <w:pStyle w:val="ListParagraph"/>
              <w:rPr>
                <w:rFonts w:cs="Arial"/>
                <w:color w:val="0000FF"/>
                <w:sz w:val="20"/>
              </w:rPr>
            </w:pPr>
          </w:p>
          <w:p w:rsidR="00E42389" w:rsidRPr="00E42389" w:rsidRDefault="00E42389" w:rsidP="00E42389">
            <w:pPr>
              <w:numPr>
                <w:ilvl w:val="0"/>
                <w:numId w:val="2"/>
              </w:numPr>
              <w:rPr>
                <w:rFonts w:cs="Arial"/>
                <w:color w:val="0000FF"/>
                <w:sz w:val="20"/>
              </w:rPr>
            </w:pPr>
            <w:r w:rsidRPr="00E42389">
              <w:rPr>
                <w:rFonts w:cs="Arial"/>
                <w:color w:val="0000FF"/>
                <w:sz w:val="20"/>
              </w:rPr>
              <w:t xml:space="preserve">Connect with Molly Westland to for her take on what students need in terms of writing skills for </w:t>
            </w:r>
            <w:proofErr w:type="gramStart"/>
            <w:r w:rsidRPr="00E42389">
              <w:rPr>
                <w:rFonts w:cs="Arial"/>
                <w:color w:val="0000FF"/>
                <w:sz w:val="20"/>
              </w:rPr>
              <w:t>Trent,</w:t>
            </w:r>
            <w:proofErr w:type="gramEnd"/>
            <w:r w:rsidRPr="00E42389">
              <w:rPr>
                <w:rFonts w:cs="Arial"/>
                <w:color w:val="0000FF"/>
                <w:sz w:val="20"/>
              </w:rPr>
              <w:t xml:space="preserve"> connect with English I/II curriculum. Get info from Ron </w:t>
            </w:r>
            <w:proofErr w:type="spellStart"/>
            <w:r w:rsidRPr="00E42389">
              <w:rPr>
                <w:rFonts w:cs="Arial"/>
                <w:color w:val="0000FF"/>
                <w:sz w:val="20"/>
              </w:rPr>
              <w:t>Schepper’s</w:t>
            </w:r>
            <w:proofErr w:type="spellEnd"/>
            <w:r w:rsidRPr="00E42389">
              <w:rPr>
                <w:rFonts w:cs="Arial"/>
                <w:color w:val="0000FF"/>
                <w:sz w:val="20"/>
              </w:rPr>
              <w:t xml:space="preserve"> 2013 CBD project to connect with Trent Professors re: level of English/communications required (Lisa?).</w:t>
            </w:r>
          </w:p>
          <w:p w:rsidR="00E42389" w:rsidRPr="00E42389" w:rsidRDefault="00E42389" w:rsidP="00E42389">
            <w:pPr>
              <w:numPr>
                <w:ilvl w:val="0"/>
                <w:numId w:val="2"/>
              </w:numPr>
              <w:rPr>
                <w:rFonts w:cs="Arial"/>
                <w:color w:val="0000FF"/>
                <w:sz w:val="20"/>
              </w:rPr>
            </w:pPr>
            <w:r w:rsidRPr="00E42389">
              <w:rPr>
                <w:rFonts w:cs="Arial"/>
                <w:color w:val="0000FF"/>
                <w:sz w:val="20"/>
              </w:rPr>
              <w:t xml:space="preserve">Connect with Trent Nursing </w:t>
            </w:r>
            <w:proofErr w:type="gramStart"/>
            <w:r w:rsidRPr="00E42389">
              <w:rPr>
                <w:rFonts w:cs="Arial"/>
                <w:color w:val="0000FF"/>
                <w:sz w:val="20"/>
              </w:rPr>
              <w:t>faculty that teach</w:t>
            </w:r>
            <w:proofErr w:type="gramEnd"/>
            <w:r w:rsidRPr="00E42389">
              <w:rPr>
                <w:rFonts w:cs="Arial"/>
                <w:color w:val="0000FF"/>
                <w:sz w:val="20"/>
              </w:rPr>
              <w:t xml:space="preserve"> Math or Math-related topics to ask whether our PHS graduates are prepared. </w:t>
            </w:r>
          </w:p>
          <w:p w:rsidR="00373FD2" w:rsidRDefault="00373FD2" w:rsidP="00373FD2">
            <w:pPr>
              <w:pStyle w:val="Title"/>
              <w:jc w:val="left"/>
              <w:rPr>
                <w:rFonts w:ascii="Arial" w:hAnsi="Arial" w:cs="Arial"/>
                <w:b/>
                <w:sz w:val="20"/>
              </w:rPr>
            </w:pPr>
          </w:p>
          <w:p w:rsidR="00E7669A" w:rsidRPr="00356C80" w:rsidRDefault="00E7669A" w:rsidP="00373FD2">
            <w:pPr>
              <w:pStyle w:val="Title"/>
              <w:jc w:val="left"/>
              <w:rPr>
                <w:rFonts w:ascii="Arial" w:hAnsi="Arial" w:cs="Arial"/>
                <w:b/>
                <w:sz w:val="20"/>
              </w:rPr>
            </w:pPr>
            <w:r w:rsidRPr="00E7669A">
              <w:rPr>
                <w:rFonts w:ascii="Arial" w:hAnsi="Arial" w:cs="Arial"/>
                <w:b/>
                <w:color w:val="0070C0"/>
                <w:sz w:val="20"/>
              </w:rPr>
              <w:t>See CBD planning sheet for PHS</w:t>
            </w: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373FD2" w:rsidRPr="00356C80" w:rsidRDefault="00E42389" w:rsidP="004C2936">
            <w:pPr>
              <w:numPr>
                <w:ilvl w:val="0"/>
                <w:numId w:val="2"/>
              </w:numPr>
              <w:rPr>
                <w:rFonts w:cs="Arial"/>
                <w:b/>
                <w:sz w:val="20"/>
              </w:rPr>
            </w:pPr>
            <w:r w:rsidRPr="00E42389">
              <w:rPr>
                <w:rFonts w:cs="Arial"/>
                <w:color w:val="0000FF"/>
                <w:sz w:val="20"/>
              </w:rPr>
              <w:t>Communications with Trent re: Kinesiology program</w:t>
            </w:r>
            <w:r w:rsidR="00373FD2" w:rsidRPr="002550D0">
              <w:rPr>
                <w:rFonts w:cs="Arial"/>
                <w:b/>
                <w:sz w:val="20"/>
              </w:rPr>
              <w:br/>
            </w: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Default="00373FD2"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footerReference w:type="default" r:id="rId9"/>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80A" w:rsidRDefault="008A480A">
      <w:r>
        <w:separator/>
      </w:r>
    </w:p>
  </w:endnote>
  <w:endnote w:type="continuationSeparator" w:id="0">
    <w:p w:rsidR="008A480A" w:rsidRDefault="008A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491115"/>
      <w:docPartObj>
        <w:docPartGallery w:val="Page Numbers (Bottom of Page)"/>
        <w:docPartUnique/>
      </w:docPartObj>
    </w:sdtPr>
    <w:sdtEndPr>
      <w:rPr>
        <w:noProof/>
      </w:rPr>
    </w:sdtEndPr>
    <w:sdtContent>
      <w:p w:rsidR="008A480A" w:rsidRDefault="008A480A">
        <w:pPr>
          <w:pStyle w:val="Footer"/>
          <w:jc w:val="center"/>
        </w:pPr>
        <w:r>
          <w:fldChar w:fldCharType="begin"/>
        </w:r>
        <w:r>
          <w:instrText xml:space="preserve"> PAGE   \* MERGEFORMAT </w:instrText>
        </w:r>
        <w:r>
          <w:fldChar w:fldCharType="separate"/>
        </w:r>
        <w:r w:rsidR="00AE7476">
          <w:rPr>
            <w:noProof/>
          </w:rPr>
          <w:t>2</w:t>
        </w:r>
        <w:r>
          <w:rPr>
            <w:noProof/>
          </w:rPr>
          <w:fldChar w:fldCharType="end"/>
        </w:r>
      </w:p>
    </w:sdtContent>
  </w:sdt>
  <w:p w:rsidR="008A480A" w:rsidRDefault="008A4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80A" w:rsidRDefault="008A480A">
      <w:r>
        <w:separator/>
      </w:r>
    </w:p>
  </w:footnote>
  <w:footnote w:type="continuationSeparator" w:id="0">
    <w:p w:rsidR="008A480A" w:rsidRDefault="008A4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222F171E"/>
    <w:multiLevelType w:val="multilevel"/>
    <w:tmpl w:val="2D9E4E9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8B2304"/>
    <w:multiLevelType w:val="multilevel"/>
    <w:tmpl w:val="68E0B296"/>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2987597"/>
    <w:multiLevelType w:val="hybridMultilevel"/>
    <w:tmpl w:val="CC903AC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nsid w:val="50285B9D"/>
    <w:multiLevelType w:val="hybridMultilevel"/>
    <w:tmpl w:val="C9AC86CC"/>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5D7818B3"/>
    <w:multiLevelType w:val="hybridMultilevel"/>
    <w:tmpl w:val="0F9C191A"/>
    <w:lvl w:ilvl="0" w:tplc="57802C62">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2"/>
  </w:num>
  <w:num w:numId="4">
    <w:abstractNumId w:val="6"/>
  </w:num>
  <w:num w:numId="5">
    <w:abstractNumId w:val="1"/>
  </w:num>
  <w:num w:numId="6">
    <w:abstractNumId w:val="3"/>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1C49"/>
    <w:rsid w:val="00086F07"/>
    <w:rsid w:val="00087BAF"/>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197"/>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39CF"/>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C52"/>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E7A00"/>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0FF2"/>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95F65"/>
    <w:rsid w:val="003A1038"/>
    <w:rsid w:val="003A1190"/>
    <w:rsid w:val="003A494D"/>
    <w:rsid w:val="003A4F0C"/>
    <w:rsid w:val="003A57B7"/>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C69CB"/>
    <w:rsid w:val="003D338F"/>
    <w:rsid w:val="003D369D"/>
    <w:rsid w:val="003D3E86"/>
    <w:rsid w:val="003D5173"/>
    <w:rsid w:val="003D5BE2"/>
    <w:rsid w:val="003D77B2"/>
    <w:rsid w:val="003E378E"/>
    <w:rsid w:val="003F0E91"/>
    <w:rsid w:val="003F4613"/>
    <w:rsid w:val="003F4FA4"/>
    <w:rsid w:val="003F5BBA"/>
    <w:rsid w:val="004033FE"/>
    <w:rsid w:val="004116A2"/>
    <w:rsid w:val="00411CB1"/>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3058"/>
    <w:rsid w:val="00465020"/>
    <w:rsid w:val="0046782D"/>
    <w:rsid w:val="00467980"/>
    <w:rsid w:val="0047697E"/>
    <w:rsid w:val="0048084B"/>
    <w:rsid w:val="004814F3"/>
    <w:rsid w:val="00485284"/>
    <w:rsid w:val="0049190E"/>
    <w:rsid w:val="004927BF"/>
    <w:rsid w:val="00492C43"/>
    <w:rsid w:val="00493474"/>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550C"/>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47CCE"/>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35B8"/>
    <w:rsid w:val="00605D37"/>
    <w:rsid w:val="00606847"/>
    <w:rsid w:val="00612A0D"/>
    <w:rsid w:val="00612B6A"/>
    <w:rsid w:val="00614202"/>
    <w:rsid w:val="00614BAF"/>
    <w:rsid w:val="00615C29"/>
    <w:rsid w:val="00616901"/>
    <w:rsid w:val="00616A8A"/>
    <w:rsid w:val="006269C0"/>
    <w:rsid w:val="00626A11"/>
    <w:rsid w:val="0063096E"/>
    <w:rsid w:val="00631F2D"/>
    <w:rsid w:val="00632C56"/>
    <w:rsid w:val="006337F3"/>
    <w:rsid w:val="00636AF4"/>
    <w:rsid w:val="006413EA"/>
    <w:rsid w:val="00643F3E"/>
    <w:rsid w:val="00651B54"/>
    <w:rsid w:val="006548DC"/>
    <w:rsid w:val="00660B93"/>
    <w:rsid w:val="00660BDF"/>
    <w:rsid w:val="00661335"/>
    <w:rsid w:val="00662F69"/>
    <w:rsid w:val="00663368"/>
    <w:rsid w:val="00663E49"/>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24E"/>
    <w:rsid w:val="006D4E49"/>
    <w:rsid w:val="006D4F6B"/>
    <w:rsid w:val="006D7BCD"/>
    <w:rsid w:val="006D7CC9"/>
    <w:rsid w:val="006E0D0B"/>
    <w:rsid w:val="006E468A"/>
    <w:rsid w:val="006E5225"/>
    <w:rsid w:val="006E53EB"/>
    <w:rsid w:val="006E6936"/>
    <w:rsid w:val="006E6CB2"/>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513E"/>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18D5"/>
    <w:rsid w:val="007D40E4"/>
    <w:rsid w:val="007D6FD7"/>
    <w:rsid w:val="007E2191"/>
    <w:rsid w:val="007E3B38"/>
    <w:rsid w:val="007E3DE4"/>
    <w:rsid w:val="007E6E63"/>
    <w:rsid w:val="007F3211"/>
    <w:rsid w:val="007F3C8F"/>
    <w:rsid w:val="007F4F0D"/>
    <w:rsid w:val="007F5424"/>
    <w:rsid w:val="007F582D"/>
    <w:rsid w:val="007F6162"/>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82C"/>
    <w:rsid w:val="00896F7D"/>
    <w:rsid w:val="008A480A"/>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06C9"/>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0041"/>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4EF1"/>
    <w:rsid w:val="009B566F"/>
    <w:rsid w:val="009C3E78"/>
    <w:rsid w:val="009C41C5"/>
    <w:rsid w:val="009C520F"/>
    <w:rsid w:val="009C7303"/>
    <w:rsid w:val="009C74B0"/>
    <w:rsid w:val="009D095B"/>
    <w:rsid w:val="009D1AB0"/>
    <w:rsid w:val="009D1E1A"/>
    <w:rsid w:val="009D42BE"/>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5532B"/>
    <w:rsid w:val="00A60E31"/>
    <w:rsid w:val="00A64798"/>
    <w:rsid w:val="00A7123A"/>
    <w:rsid w:val="00A71E86"/>
    <w:rsid w:val="00A7345D"/>
    <w:rsid w:val="00A74BDD"/>
    <w:rsid w:val="00A75CDE"/>
    <w:rsid w:val="00A75F1F"/>
    <w:rsid w:val="00A80633"/>
    <w:rsid w:val="00A80BC4"/>
    <w:rsid w:val="00A822D9"/>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476"/>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B19"/>
    <w:rsid w:val="00C74C81"/>
    <w:rsid w:val="00C77E6D"/>
    <w:rsid w:val="00C8119B"/>
    <w:rsid w:val="00C8154C"/>
    <w:rsid w:val="00C826E4"/>
    <w:rsid w:val="00C84706"/>
    <w:rsid w:val="00C863CA"/>
    <w:rsid w:val="00C9334A"/>
    <w:rsid w:val="00C9457F"/>
    <w:rsid w:val="00C97489"/>
    <w:rsid w:val="00CA0F31"/>
    <w:rsid w:val="00CA1466"/>
    <w:rsid w:val="00CA3F0B"/>
    <w:rsid w:val="00CA49A8"/>
    <w:rsid w:val="00CA7FEF"/>
    <w:rsid w:val="00CB0288"/>
    <w:rsid w:val="00CB2527"/>
    <w:rsid w:val="00CB41C5"/>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092B"/>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21BB"/>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2108"/>
    <w:rsid w:val="00E0462A"/>
    <w:rsid w:val="00E0529A"/>
    <w:rsid w:val="00E077B7"/>
    <w:rsid w:val="00E12FD7"/>
    <w:rsid w:val="00E22A11"/>
    <w:rsid w:val="00E22FFA"/>
    <w:rsid w:val="00E23187"/>
    <w:rsid w:val="00E26E79"/>
    <w:rsid w:val="00E2758A"/>
    <w:rsid w:val="00E33F3C"/>
    <w:rsid w:val="00E35F13"/>
    <w:rsid w:val="00E40B63"/>
    <w:rsid w:val="00E42389"/>
    <w:rsid w:val="00E43338"/>
    <w:rsid w:val="00E43402"/>
    <w:rsid w:val="00E50569"/>
    <w:rsid w:val="00E50CDF"/>
    <w:rsid w:val="00E51205"/>
    <w:rsid w:val="00E53C88"/>
    <w:rsid w:val="00E567EB"/>
    <w:rsid w:val="00E65085"/>
    <w:rsid w:val="00E650FB"/>
    <w:rsid w:val="00E669CB"/>
    <w:rsid w:val="00E6763D"/>
    <w:rsid w:val="00E727F7"/>
    <w:rsid w:val="00E74185"/>
    <w:rsid w:val="00E75345"/>
    <w:rsid w:val="00E7669A"/>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02E0"/>
    <w:rsid w:val="00EE30D1"/>
    <w:rsid w:val="00EE5AB5"/>
    <w:rsid w:val="00EE659C"/>
    <w:rsid w:val="00EE6642"/>
    <w:rsid w:val="00EE6C74"/>
    <w:rsid w:val="00EE6DAF"/>
    <w:rsid w:val="00EF15D9"/>
    <w:rsid w:val="00EF3D85"/>
    <w:rsid w:val="00EF5764"/>
    <w:rsid w:val="00EF70FC"/>
    <w:rsid w:val="00EF798F"/>
    <w:rsid w:val="00F04945"/>
    <w:rsid w:val="00F0505A"/>
    <w:rsid w:val="00F057D5"/>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01D"/>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A37"/>
    <w:rsid w:val="00FE77AC"/>
    <w:rsid w:val="00FF0079"/>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link w:val="FooterChar"/>
    <w:uiPriority w:val="99"/>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 w:type="character" w:customStyle="1" w:styleId="FooterChar">
    <w:name w:val="Footer Char"/>
    <w:basedOn w:val="DefaultParagraphFont"/>
    <w:link w:val="Footer"/>
    <w:uiPriority w:val="99"/>
    <w:rsid w:val="007D18D5"/>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link w:val="FooterChar"/>
    <w:uiPriority w:val="99"/>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 w:type="character" w:customStyle="1" w:styleId="FooterChar">
    <w:name w:val="Footer Char"/>
    <w:basedOn w:val="DefaultParagraphFont"/>
    <w:link w:val="Footer"/>
    <w:uiPriority w:val="99"/>
    <w:rsid w:val="007D18D5"/>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414CF-0BFB-46DE-BC94-8868A0B0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CBD4D491</Template>
  <TotalTime>1</TotalTime>
  <Pages>5</Pages>
  <Words>1834</Words>
  <Characters>10459</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12269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Kari Draker-Fortis</cp:lastModifiedBy>
  <cp:revision>2</cp:revision>
  <cp:lastPrinted>2012-04-04T19:04:00Z</cp:lastPrinted>
  <dcterms:created xsi:type="dcterms:W3CDTF">2014-04-23T19:06:00Z</dcterms:created>
  <dcterms:modified xsi:type="dcterms:W3CDTF">2014-04-23T19:06:00Z</dcterms:modified>
</cp:coreProperties>
</file>