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CF7A97" w:rsidP="00373FD2">
            <w:pPr>
              <w:pStyle w:val="Header"/>
              <w:jc w:val="center"/>
              <w:rPr>
                <w:rFonts w:cs="Arial"/>
                <w:b/>
                <w:szCs w:val="22"/>
                <w:lang w:val="en-CA"/>
              </w:rPr>
            </w:pPr>
            <w:r>
              <w:rPr>
                <w:rFonts w:cs="Arial"/>
                <w:b/>
                <w:szCs w:val="22"/>
                <w:lang w:val="en-CA"/>
              </w:rPr>
              <w:t>Val Bolsterli</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CF7A97" w:rsidP="00373FD2">
            <w:pPr>
              <w:pStyle w:val="Header"/>
              <w:jc w:val="center"/>
              <w:rPr>
                <w:rFonts w:cs="Arial"/>
                <w:b/>
                <w:szCs w:val="22"/>
                <w:lang w:val="en-CA"/>
              </w:rPr>
            </w:pPr>
            <w:r>
              <w:rPr>
                <w:rFonts w:cs="Arial"/>
                <w:b/>
                <w:szCs w:val="22"/>
                <w:lang w:val="en-CA"/>
              </w:rPr>
              <w:t>STT</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CF7A97" w:rsidP="00373FD2">
            <w:pPr>
              <w:pStyle w:val="Header"/>
              <w:jc w:val="center"/>
              <w:rPr>
                <w:rFonts w:cs="Arial"/>
                <w:b/>
                <w:szCs w:val="22"/>
                <w:lang w:val="en-CA"/>
              </w:rPr>
            </w:pPr>
            <w:r>
              <w:rPr>
                <w:rFonts w:cs="Arial"/>
                <w:b/>
                <w:szCs w:val="22"/>
                <w:lang w:val="en-CA"/>
              </w:rPr>
              <w:t>MTCU 44900</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CF7A97" w:rsidP="00373FD2">
            <w:pPr>
              <w:pStyle w:val="Header"/>
              <w:jc w:val="center"/>
              <w:rPr>
                <w:rFonts w:cs="Arial"/>
                <w:b/>
                <w:szCs w:val="22"/>
                <w:lang w:val="en-CA"/>
              </w:rPr>
            </w:pPr>
            <w:r>
              <w:rPr>
                <w:rFonts w:cs="Arial"/>
                <w:b/>
                <w:szCs w:val="22"/>
                <w:lang w:val="en-CA"/>
              </w:rPr>
              <w:t>Winter 2015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CF7A97" w:rsidP="00373FD2">
            <w:pPr>
              <w:pStyle w:val="Header"/>
              <w:jc w:val="center"/>
              <w:rPr>
                <w:rFonts w:cs="Arial"/>
                <w:b/>
                <w:szCs w:val="22"/>
                <w:lang w:val="en-CA"/>
              </w:rPr>
            </w:pPr>
            <w:r>
              <w:rPr>
                <w:rFonts w:cs="Arial"/>
                <w:b/>
                <w:szCs w:val="22"/>
                <w:lang w:val="en-CA"/>
              </w:rPr>
              <w:t>Welding Techniques (WTQ)</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CF7A97">
              <w:rPr>
                <w:rFonts w:ascii="Arial" w:hAnsi="Arial" w:cs="Arial"/>
                <w:sz w:val="20"/>
                <w:highlight w:val="yellow"/>
              </w:rPr>
              <w:t xml:space="preserve">Note: data is </w:t>
            </w:r>
            <w:r w:rsidRPr="00CF7A97">
              <w:rPr>
                <w:rFonts w:ascii="Arial" w:hAnsi="Arial" w:cs="Arial"/>
                <w:b/>
                <w:sz w:val="20"/>
                <w:highlight w:val="yellow"/>
              </w:rPr>
              <w:t>not</w:t>
            </w:r>
            <w:r w:rsidRPr="00CF7A97">
              <w:rPr>
                <w:rFonts w:ascii="Arial" w:hAnsi="Arial" w:cs="Arial"/>
                <w:sz w:val="20"/>
                <w:highlight w:val="yellow"/>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rsidR="00CF7A97" w:rsidRDefault="00CF7A97" w:rsidP="00CF7A97">
            <w:pPr>
              <w:rPr>
                <w:rFonts w:cs="Arial"/>
                <w:sz w:val="20"/>
              </w:rPr>
            </w:pPr>
          </w:p>
          <w:p w:rsidR="00CF7A97" w:rsidRDefault="00CF7A97" w:rsidP="00CF7A97">
            <w:pPr>
              <w:ind w:left="720"/>
              <w:rPr>
                <w:rFonts w:cs="Arial"/>
                <w:sz w:val="20"/>
              </w:rPr>
            </w:pPr>
            <w:r>
              <w:rPr>
                <w:rFonts w:cs="Arial"/>
                <w:sz w:val="20"/>
              </w:rPr>
              <w:t>CWB has plans to nationalize apprenticeships and this will have an impact on curriculum.</w:t>
            </w: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rsidR="00373FD2" w:rsidRDefault="00373FD2" w:rsidP="00373FD2">
            <w:pPr>
              <w:pStyle w:val="ListParagraph"/>
              <w:ind w:left="0"/>
              <w:rPr>
                <w:rFonts w:cs="Arial"/>
                <w:sz w:val="20"/>
              </w:rPr>
            </w:pPr>
          </w:p>
          <w:p w:rsidR="00CF7A97" w:rsidRDefault="00CF7A97" w:rsidP="00CF7A97">
            <w:pPr>
              <w:pStyle w:val="ListParagraph"/>
              <w:rPr>
                <w:rFonts w:cs="Arial"/>
                <w:sz w:val="20"/>
              </w:rPr>
            </w:pPr>
            <w:r>
              <w:rPr>
                <w:rFonts w:cs="Arial"/>
                <w:sz w:val="20"/>
              </w:rPr>
              <w:t>WTQ PAC meeting scheduled for Feb. 2015.</w:t>
            </w:r>
          </w:p>
          <w:p w:rsidR="00CF7A97" w:rsidRDefault="00CF7A97"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rsidR="00373FD2" w:rsidRDefault="00373FD2" w:rsidP="00CF7A97">
            <w:pPr>
              <w:ind w:left="720"/>
              <w:rPr>
                <w:rFonts w:cs="Arial"/>
                <w:sz w:val="20"/>
              </w:rPr>
            </w:pPr>
          </w:p>
          <w:p w:rsidR="00CF7A97" w:rsidRDefault="00CF7A97" w:rsidP="00CF7A97">
            <w:pPr>
              <w:ind w:left="720"/>
              <w:rPr>
                <w:rFonts w:cs="Arial"/>
                <w:sz w:val="20"/>
              </w:rPr>
            </w:pPr>
            <w:r>
              <w:rPr>
                <w:rFonts w:cs="Arial"/>
                <w:sz w:val="20"/>
              </w:rPr>
              <w:t>Coordinator hopes to attend CWB conference in 2015.</w:t>
            </w:r>
          </w:p>
          <w:p w:rsidR="00CF7A97" w:rsidRDefault="00CF7A97" w:rsidP="00CF7A97">
            <w:pPr>
              <w:ind w:left="720"/>
              <w:rPr>
                <w:rFonts w:cs="Arial"/>
                <w:sz w:val="20"/>
              </w:rPr>
            </w:pPr>
          </w:p>
          <w:p w:rsidR="00CF7A97" w:rsidRDefault="00CF7A97" w:rsidP="00CF7A97">
            <w:pPr>
              <w:ind w:left="720"/>
              <w:rPr>
                <w:rFonts w:cs="Arial"/>
                <w:sz w:val="20"/>
              </w:rPr>
            </w:pPr>
            <w:r>
              <w:rPr>
                <w:rFonts w:cs="Arial"/>
                <w:sz w:val="20"/>
              </w:rPr>
              <w:t>CWA: Fleming now has on-line space that summarizes WTQ and future WFT programs. AWS also has summary of Flemings welding program.</w:t>
            </w:r>
          </w:p>
          <w:p w:rsidR="00CF7A97" w:rsidRDefault="00CF7A97" w:rsidP="00CF7A97">
            <w:pPr>
              <w:ind w:left="720"/>
              <w:rPr>
                <w:rFonts w:cs="Arial"/>
                <w:sz w:val="20"/>
              </w:rPr>
            </w:pPr>
          </w:p>
          <w:p w:rsidR="00CF7A97" w:rsidRDefault="00CF7A97" w:rsidP="00CF7A97">
            <w:pPr>
              <w:ind w:left="720"/>
              <w:rPr>
                <w:rFonts w:cs="Arial"/>
                <w:sz w:val="20"/>
              </w:rPr>
            </w:pPr>
            <w:r>
              <w:rPr>
                <w:rFonts w:cs="Arial"/>
                <w:sz w:val="20"/>
              </w:rPr>
              <w:t xml:space="preserve">Statement of physical demands for WTQ program description was not approved by management. </w:t>
            </w: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r w:rsidR="001D5863">
              <w:rPr>
                <w:rFonts w:cs="Arial"/>
                <w:sz w:val="20"/>
              </w:rPr>
              <w:t xml:space="preserve">  </w:t>
            </w:r>
          </w:p>
          <w:p w:rsidR="00CF7A97" w:rsidRDefault="00CF7A97" w:rsidP="00CF7A97">
            <w:pPr>
              <w:tabs>
                <w:tab w:val="left" w:pos="681"/>
                <w:tab w:val="left" w:pos="972"/>
              </w:tabs>
              <w:rPr>
                <w:rFonts w:cs="Arial"/>
                <w:sz w:val="20"/>
              </w:rPr>
            </w:pPr>
          </w:p>
          <w:p w:rsidR="00CF7A97" w:rsidRDefault="00CF7A97" w:rsidP="00CF7A97">
            <w:pPr>
              <w:tabs>
                <w:tab w:val="left" w:pos="681"/>
                <w:tab w:val="left" w:pos="972"/>
              </w:tabs>
              <w:ind w:left="720"/>
              <w:rPr>
                <w:rFonts w:cs="Arial"/>
                <w:sz w:val="20"/>
              </w:rPr>
            </w:pPr>
            <w:r>
              <w:rPr>
                <w:rFonts w:cs="Arial"/>
                <w:sz w:val="20"/>
              </w:rPr>
              <w:t>MECH253 and MECH254 are now combined to deliver revised MECH254 to students.</w:t>
            </w:r>
          </w:p>
          <w:p w:rsidR="00CF7A97" w:rsidRDefault="00CF7A97" w:rsidP="00214490">
            <w:pPr>
              <w:tabs>
                <w:tab w:val="left" w:pos="681"/>
                <w:tab w:val="left" w:pos="972"/>
              </w:tabs>
              <w:ind w:left="972"/>
              <w:rPr>
                <w:rFonts w:cs="Arial"/>
                <w:sz w:val="20"/>
              </w:rPr>
            </w:pPr>
          </w:p>
          <w:p w:rsidR="00EF15D9" w:rsidRDefault="001D5C52" w:rsidP="004C2936">
            <w:pPr>
              <w:numPr>
                <w:ilvl w:val="1"/>
                <w:numId w:val="4"/>
              </w:numPr>
              <w:tabs>
                <w:tab w:val="left" w:pos="681"/>
                <w:tab w:val="left" w:pos="972"/>
              </w:tabs>
              <w:rPr>
                <w:rFonts w:cs="Arial"/>
                <w:sz w:val="20"/>
              </w:rPr>
            </w:pPr>
            <w:bookmarkStart w:id="0" w:name="_GoBack"/>
            <w:bookmarkEnd w:id="0"/>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p>
          <w:p w:rsidR="00214490" w:rsidRDefault="00214490" w:rsidP="00214490">
            <w:pPr>
              <w:tabs>
                <w:tab w:val="left" w:pos="681"/>
                <w:tab w:val="left" w:pos="972"/>
              </w:tabs>
              <w:rPr>
                <w:rFonts w:cs="Arial"/>
                <w:sz w:val="20"/>
              </w:rPr>
            </w:pPr>
          </w:p>
          <w:p w:rsidR="00214490" w:rsidRDefault="00214490" w:rsidP="00214490">
            <w:pPr>
              <w:tabs>
                <w:tab w:val="left" w:pos="681"/>
                <w:tab w:val="left" w:pos="972"/>
              </w:tabs>
              <w:ind w:left="681"/>
              <w:rPr>
                <w:rFonts w:cs="Arial"/>
                <w:sz w:val="20"/>
              </w:rPr>
            </w:pPr>
            <w:r>
              <w:rPr>
                <w:rFonts w:cs="Arial"/>
                <w:sz w:val="20"/>
              </w:rPr>
              <w:t xml:space="preserve">Ongoing efforts to use D2L platform in classroom and lab-based courses. </w:t>
            </w:r>
            <w:r w:rsidR="001A60E5">
              <w:rPr>
                <w:rFonts w:cs="Arial"/>
                <w:sz w:val="20"/>
              </w:rPr>
              <w:t>CNST159 is a blended course.</w:t>
            </w:r>
          </w:p>
          <w:p w:rsidR="00214490" w:rsidRDefault="00214490" w:rsidP="00214490">
            <w:pPr>
              <w:tabs>
                <w:tab w:val="left" w:pos="681"/>
                <w:tab w:val="left" w:pos="972"/>
              </w:tabs>
              <w:ind w:left="681"/>
              <w:rPr>
                <w:rFonts w:cs="Arial"/>
                <w:sz w:val="20"/>
              </w:rPr>
            </w:pPr>
          </w:p>
          <w:p w:rsidR="002247EA" w:rsidRDefault="002247EA" w:rsidP="005C63D5">
            <w:pPr>
              <w:pStyle w:val="ListParagraph"/>
              <w:rPr>
                <w:rFonts w:cs="Arial"/>
                <w:sz w:val="20"/>
              </w:rPr>
            </w:pPr>
          </w:p>
          <w:p w:rsidR="00F12BDC" w:rsidRPr="00214490" w:rsidRDefault="00F12BDC" w:rsidP="00592674">
            <w:pPr>
              <w:numPr>
                <w:ilvl w:val="1"/>
                <w:numId w:val="4"/>
              </w:numPr>
              <w:tabs>
                <w:tab w:val="left" w:pos="681"/>
                <w:tab w:val="left" w:pos="972"/>
              </w:tabs>
              <w:rPr>
                <w:rFonts w:cs="Arial"/>
                <w:sz w:val="20"/>
              </w:rPr>
            </w:pPr>
            <w:r w:rsidRPr="00F12BDC">
              <w:rPr>
                <w:rFonts w:cs="Arial"/>
                <w:sz w:val="20"/>
              </w:rPr>
              <w:lastRenderedPageBreak/>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p>
          <w:p w:rsidR="00214490" w:rsidRDefault="00214490" w:rsidP="00214490">
            <w:pPr>
              <w:tabs>
                <w:tab w:val="left" w:pos="681"/>
                <w:tab w:val="left" w:pos="972"/>
              </w:tabs>
              <w:rPr>
                <w:rFonts w:cs="Arial"/>
                <w:iCs/>
                <w:sz w:val="20"/>
              </w:rPr>
            </w:pPr>
          </w:p>
          <w:p w:rsidR="00214490" w:rsidRPr="001A60E5" w:rsidRDefault="001A60E5" w:rsidP="001A60E5">
            <w:pPr>
              <w:tabs>
                <w:tab w:val="left" w:pos="681"/>
                <w:tab w:val="left" w:pos="972"/>
              </w:tabs>
              <w:ind w:left="681"/>
              <w:rPr>
                <w:rFonts w:cs="Arial"/>
                <w:sz w:val="20"/>
              </w:rPr>
            </w:pPr>
            <w:r>
              <w:rPr>
                <w:rFonts w:cs="Arial"/>
                <w:sz w:val="20"/>
              </w:rPr>
              <w:t>A WTQ program outcome is to “</w:t>
            </w:r>
            <w:r w:rsidRPr="001A60E5">
              <w:rPr>
                <w:rFonts w:cs="Arial"/>
                <w:sz w:val="20"/>
              </w:rPr>
              <w:t>Apply sustainable practices in the welding industry</w:t>
            </w:r>
            <w:r>
              <w:rPr>
                <w:rFonts w:cs="Arial"/>
                <w:sz w:val="20"/>
              </w:rPr>
              <w:t>”. Refer to the program map in the shared CLT file to identify which courses satisfy this outcome.</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rsidR="00373FD2" w:rsidRDefault="00373FD2" w:rsidP="00373FD2">
            <w:pPr>
              <w:tabs>
                <w:tab w:val="left" w:pos="432"/>
                <w:tab w:val="left" w:pos="972"/>
              </w:tabs>
              <w:ind w:left="432" w:hanging="360"/>
              <w:rPr>
                <w:rFonts w:cs="Arial"/>
                <w:sz w:val="20"/>
              </w:rPr>
            </w:pPr>
          </w:p>
          <w:p w:rsidR="0094654F" w:rsidRDefault="0094654F" w:rsidP="0094654F">
            <w:pPr>
              <w:ind w:left="731" w:hanging="18"/>
              <w:rPr>
                <w:rFonts w:cs="Arial"/>
                <w:sz w:val="20"/>
              </w:rPr>
            </w:pPr>
            <w:r>
              <w:rPr>
                <w:rFonts w:cs="Arial"/>
                <w:sz w:val="20"/>
              </w:rPr>
              <w:t>MECH254 is offered as a dual credit but there are issues because the hours are much less than 60 hrs. for high school students. Is the dual credit course really the same as the college-delivered MECH254?</w:t>
            </w:r>
          </w:p>
          <w:p w:rsidR="0094654F" w:rsidRDefault="0094654F" w:rsidP="0094654F">
            <w:pPr>
              <w:ind w:left="731" w:hanging="18"/>
              <w:rPr>
                <w:rFonts w:cs="Arial"/>
                <w:sz w:val="20"/>
              </w:rPr>
            </w:pPr>
          </w:p>
          <w:p w:rsidR="0094654F" w:rsidRDefault="0094654F" w:rsidP="0094654F">
            <w:pPr>
              <w:ind w:left="731" w:hanging="18"/>
              <w:rPr>
                <w:rFonts w:cs="Arial"/>
                <w:sz w:val="20"/>
              </w:rPr>
            </w:pPr>
            <w:r>
              <w:rPr>
                <w:rFonts w:cs="Arial"/>
                <w:sz w:val="20"/>
              </w:rPr>
              <w:t xml:space="preserve">Welding courses were offered off-site last academic year on a local reserve. </w:t>
            </w:r>
          </w:p>
          <w:p w:rsidR="0094654F" w:rsidRPr="00356C80" w:rsidRDefault="0094654F"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rsidR="00373FD2" w:rsidRDefault="00373FD2" w:rsidP="00373FD2">
            <w:pPr>
              <w:tabs>
                <w:tab w:val="left" w:pos="252"/>
                <w:tab w:val="left" w:pos="972"/>
              </w:tabs>
              <w:ind w:left="72"/>
              <w:rPr>
                <w:rFonts w:cs="Arial"/>
                <w:sz w:val="20"/>
              </w:rPr>
            </w:pPr>
          </w:p>
          <w:p w:rsidR="0094654F" w:rsidRDefault="001921F5" w:rsidP="0094654F">
            <w:pPr>
              <w:tabs>
                <w:tab w:val="left" w:pos="252"/>
                <w:tab w:val="left" w:pos="972"/>
              </w:tabs>
              <w:ind w:left="720"/>
              <w:rPr>
                <w:rFonts w:cs="Arial"/>
                <w:sz w:val="20"/>
              </w:rPr>
            </w:pPr>
            <w:r>
              <w:rPr>
                <w:rFonts w:cs="Arial"/>
                <w:sz w:val="20"/>
              </w:rPr>
              <w:t>No new welding programs were launched in 2014.</w:t>
            </w:r>
          </w:p>
          <w:p w:rsidR="0094654F" w:rsidRPr="00356C80" w:rsidRDefault="0094654F" w:rsidP="00373FD2">
            <w:pPr>
              <w:tabs>
                <w:tab w:val="left" w:pos="252"/>
                <w:tab w:val="left" w:pos="972"/>
              </w:tabs>
              <w:ind w:left="72"/>
              <w:rPr>
                <w:rFonts w:cs="Arial"/>
                <w:sz w:val="20"/>
              </w:rPr>
            </w:pPr>
          </w:p>
          <w:p w:rsidR="001D5C52" w:rsidRPr="00F12BDC" w:rsidRDefault="001D5C52" w:rsidP="00F433C0">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p>
          <w:p w:rsidR="000673C8" w:rsidRDefault="000673C8" w:rsidP="000673C8">
            <w:pPr>
              <w:pStyle w:val="ListParagraph"/>
              <w:rPr>
                <w:rFonts w:cs="Arial"/>
                <w:sz w:val="20"/>
              </w:rPr>
            </w:pPr>
          </w:p>
          <w:p w:rsidR="000673C8" w:rsidRPr="001D5C52" w:rsidRDefault="001921F5" w:rsidP="000673C8">
            <w:pPr>
              <w:tabs>
                <w:tab w:val="left" w:pos="681"/>
                <w:tab w:val="left" w:pos="972"/>
              </w:tabs>
              <w:ind w:left="720"/>
              <w:rPr>
                <w:rFonts w:cs="Arial"/>
                <w:sz w:val="20"/>
              </w:rPr>
            </w:pPr>
            <w:r>
              <w:rPr>
                <w:rFonts w:cs="Arial"/>
                <w:sz w:val="20"/>
              </w:rPr>
              <w:t>Potential for national accreditation for welders.</w:t>
            </w: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_</w:t>
            </w:r>
            <w:r w:rsidR="001921F5">
              <w:rPr>
                <w:rFonts w:cs="Arial"/>
                <w:sz w:val="20"/>
              </w:rPr>
              <w:t>X</w:t>
            </w:r>
            <w:r>
              <w:rPr>
                <w:rFonts w:cs="Arial"/>
                <w:sz w:val="20"/>
              </w:rPr>
              <w:t xml:space="preserve">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1921F5" w:rsidP="005C63D5">
            <w:pPr>
              <w:tabs>
                <w:tab w:val="left" w:pos="252"/>
                <w:tab w:val="left" w:pos="681"/>
              </w:tabs>
              <w:ind w:left="792"/>
              <w:rPr>
                <w:rFonts w:cs="Arial"/>
                <w:sz w:val="20"/>
              </w:rPr>
            </w:pPr>
            <w:r>
              <w:rPr>
                <w:rFonts w:cs="Arial"/>
                <w:sz w:val="20"/>
              </w:rPr>
              <w:t>GMAW I (MECH260) and Applied reading for welders (CNST162) has an applied project chared between the two courses.</w:t>
            </w:r>
            <w:r w:rsidR="003D338F">
              <w:rPr>
                <w:rFonts w:cs="Arial"/>
                <w:sz w:val="20"/>
              </w:rPr>
              <w:t xml:space="preserve"> </w:t>
            </w:r>
          </w:p>
          <w:p w:rsidR="001921F5" w:rsidRDefault="001921F5" w:rsidP="005C63D5">
            <w:pPr>
              <w:tabs>
                <w:tab w:val="left" w:pos="252"/>
                <w:tab w:val="left" w:pos="681"/>
              </w:tabs>
              <w:ind w:left="792"/>
              <w:rPr>
                <w:rFonts w:cs="Arial"/>
                <w:sz w:val="20"/>
              </w:rPr>
            </w:pP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BF7A03" w:rsidRPr="001D5C52" w:rsidRDefault="00BF7A03" w:rsidP="00BF7A03">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373FD2" w:rsidRDefault="00373FD2" w:rsidP="00373FD2">
            <w:pPr>
              <w:tabs>
                <w:tab w:val="left" w:pos="681"/>
              </w:tabs>
              <w:ind w:left="681" w:hanging="609"/>
              <w:rPr>
                <w:rFonts w:cs="Arial"/>
                <w:sz w:val="20"/>
              </w:rPr>
            </w:pPr>
          </w:p>
          <w:p w:rsidR="001921F5" w:rsidRPr="003E0C45" w:rsidRDefault="001921F5" w:rsidP="001921F5">
            <w:pPr>
              <w:ind w:left="681"/>
            </w:pPr>
            <w:r>
              <w:t>WTQ</w:t>
            </w:r>
            <w:r w:rsidRPr="003E0C45">
              <w:t xml:space="preserve"> KPI analysis for 201</w:t>
            </w:r>
            <w:r>
              <w:t>4</w:t>
            </w:r>
            <w:r w:rsidRPr="003E0C45">
              <w:t xml:space="preserve"> Reporting Year</w:t>
            </w:r>
          </w:p>
          <w:tbl>
            <w:tblPr>
              <w:tblStyle w:val="TableGrid"/>
              <w:tblW w:w="7763" w:type="dxa"/>
              <w:tblInd w:w="607" w:type="dxa"/>
              <w:tblLayout w:type="fixed"/>
              <w:tblLook w:val="04A0" w:firstRow="1" w:lastRow="0" w:firstColumn="1" w:lastColumn="0" w:noHBand="0" w:noVBand="1"/>
            </w:tblPr>
            <w:tblGrid>
              <w:gridCol w:w="5495"/>
              <w:gridCol w:w="2268"/>
            </w:tblGrid>
            <w:tr w:rsidR="001921F5" w:rsidRPr="003E0C45" w:rsidTr="004D79FC">
              <w:tc>
                <w:tcPr>
                  <w:tcW w:w="5495" w:type="dxa"/>
                </w:tcPr>
                <w:p w:rsidR="001921F5" w:rsidRPr="003E0C45" w:rsidRDefault="001921F5" w:rsidP="001921F5">
                  <w:pPr>
                    <w:tabs>
                      <w:tab w:val="left" w:pos="1972"/>
                    </w:tabs>
                  </w:pPr>
                  <w:r w:rsidRPr="003E0C45">
                    <w:tab/>
                    <w:t>KPI Indicator</w:t>
                  </w:r>
                </w:p>
              </w:tc>
              <w:tc>
                <w:tcPr>
                  <w:tcW w:w="2268" w:type="dxa"/>
                </w:tcPr>
                <w:p w:rsidR="001921F5" w:rsidRPr="003E0C45" w:rsidRDefault="001921F5" w:rsidP="001921F5">
                  <w:pPr>
                    <w:tabs>
                      <w:tab w:val="left" w:pos="1972"/>
                    </w:tabs>
                  </w:pPr>
                  <w:r>
                    <w:t>Benchmark Gap</w:t>
                  </w:r>
                </w:p>
              </w:tc>
            </w:tr>
            <w:tr w:rsidR="001921F5" w:rsidRPr="003E0C45" w:rsidTr="004D79FC">
              <w:tc>
                <w:tcPr>
                  <w:tcW w:w="5495" w:type="dxa"/>
                </w:tcPr>
                <w:p w:rsidR="001921F5" w:rsidRPr="003E0C45" w:rsidRDefault="001921F5" w:rsidP="001921F5">
                  <w:r w:rsidRPr="003E0C45">
                    <w:t>KPI#4</w:t>
                  </w:r>
                  <w:r>
                    <w:t xml:space="preserve">: </w:t>
                  </w:r>
                  <w:r w:rsidRPr="003E0C45">
                    <w:t>Graduate Satisfaction</w:t>
                  </w:r>
                  <w:r>
                    <w:t xml:space="preserve">, </w:t>
                  </w:r>
                  <w:r w:rsidRPr="003E0C45">
                    <w:t xml:space="preserve">Learning Outcomes   </w:t>
                  </w:r>
                </w:p>
              </w:tc>
              <w:tc>
                <w:tcPr>
                  <w:tcW w:w="2268" w:type="dxa"/>
                </w:tcPr>
                <w:p w:rsidR="001921F5" w:rsidRPr="003E0C45" w:rsidRDefault="001921F5" w:rsidP="00FD45FE">
                  <w:pPr>
                    <w:jc w:val="center"/>
                  </w:pPr>
                  <w:r>
                    <w:t>-</w:t>
                  </w:r>
                  <w:r w:rsidR="00FD45FE">
                    <w:t>6.66</w:t>
                  </w:r>
                </w:p>
              </w:tc>
            </w:tr>
            <w:tr w:rsidR="001921F5" w:rsidRPr="003E0C45" w:rsidTr="004D79FC">
              <w:tc>
                <w:tcPr>
                  <w:tcW w:w="5495" w:type="dxa"/>
                </w:tcPr>
                <w:p w:rsidR="001921F5" w:rsidRPr="003E0C45" w:rsidRDefault="001921F5" w:rsidP="001921F5">
                  <w:r w:rsidRPr="003E0C45">
                    <w:t>KPI#8</w:t>
                  </w:r>
                  <w:r>
                    <w:t xml:space="preserve">: Student Satisfaction, Learning Experience </w:t>
                  </w:r>
                </w:p>
              </w:tc>
              <w:tc>
                <w:tcPr>
                  <w:tcW w:w="2268" w:type="dxa"/>
                </w:tcPr>
                <w:p w:rsidR="001921F5" w:rsidRPr="003E0C45" w:rsidRDefault="001921F5" w:rsidP="00FD45FE">
                  <w:pPr>
                    <w:jc w:val="center"/>
                  </w:pPr>
                  <w:r>
                    <w:t>-</w:t>
                  </w:r>
                  <w:r w:rsidR="00FD45FE">
                    <w:t>13.02</w:t>
                  </w:r>
                </w:p>
              </w:tc>
            </w:tr>
            <w:tr w:rsidR="001921F5" w:rsidRPr="003E0C45" w:rsidTr="004D79FC">
              <w:tc>
                <w:tcPr>
                  <w:tcW w:w="5495" w:type="dxa"/>
                </w:tcPr>
                <w:p w:rsidR="001921F5" w:rsidRPr="003E0C45" w:rsidRDefault="001921F5" w:rsidP="001921F5">
                  <w:r>
                    <w:t>KPI#9: Student Satisfaction, Teachers</w:t>
                  </w:r>
                </w:p>
              </w:tc>
              <w:tc>
                <w:tcPr>
                  <w:tcW w:w="2268" w:type="dxa"/>
                </w:tcPr>
                <w:p w:rsidR="001921F5" w:rsidRPr="003E0C45" w:rsidRDefault="001921F5" w:rsidP="00FD45FE">
                  <w:pPr>
                    <w:jc w:val="center"/>
                  </w:pPr>
                  <w:r>
                    <w:t>-</w:t>
                  </w:r>
                  <w:r w:rsidR="00FD45FE">
                    <w:t>11.89</w:t>
                  </w:r>
                </w:p>
              </w:tc>
            </w:tr>
            <w:tr w:rsidR="001921F5" w:rsidRPr="003E0C45" w:rsidTr="004D79FC">
              <w:tc>
                <w:tcPr>
                  <w:tcW w:w="5495" w:type="dxa"/>
                </w:tcPr>
                <w:p w:rsidR="001921F5" w:rsidRPr="003E0C45" w:rsidRDefault="001921F5" w:rsidP="001921F5">
                  <w:r>
                    <w:t xml:space="preserve">KPI#11: Graduate Satisfaction, Program </w:t>
                  </w:r>
                </w:p>
              </w:tc>
              <w:tc>
                <w:tcPr>
                  <w:tcW w:w="2268" w:type="dxa"/>
                </w:tcPr>
                <w:p w:rsidR="001921F5" w:rsidRPr="003E0C45" w:rsidRDefault="001921F5" w:rsidP="00FD45FE">
                  <w:pPr>
                    <w:jc w:val="center"/>
                  </w:pPr>
                  <w:r>
                    <w:t>-</w:t>
                  </w:r>
                  <w:r w:rsidR="00FD45FE">
                    <w:t>16.19</w:t>
                  </w:r>
                </w:p>
              </w:tc>
            </w:tr>
          </w:tbl>
          <w:p w:rsidR="001921F5" w:rsidRPr="00EC0CF9" w:rsidRDefault="001921F5" w:rsidP="001921F5">
            <w:pPr>
              <w:ind w:left="72"/>
              <w:rPr>
                <w:i/>
                <w:sz w:val="16"/>
                <w:szCs w:val="16"/>
              </w:rPr>
            </w:pPr>
            <w:r w:rsidRPr="00EC0CF9">
              <w:rPr>
                <w:i/>
                <w:sz w:val="16"/>
                <w:szCs w:val="16"/>
              </w:rPr>
              <w:lastRenderedPageBreak/>
              <w:t>BENCHMARK GAP is Program Difference minus the College Difference. If the Benchmark Gap is positive, Fleming's program difference is 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rsidR="001921F5" w:rsidRDefault="001921F5" w:rsidP="00373FD2">
            <w:pPr>
              <w:tabs>
                <w:tab w:val="left" w:pos="681"/>
              </w:tabs>
              <w:ind w:left="681" w:hanging="609"/>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BF7A03" w:rsidRDefault="00BF7A03" w:rsidP="00373FD2">
            <w:pPr>
              <w:tabs>
                <w:tab w:val="left" w:pos="252"/>
                <w:tab w:val="left" w:pos="972"/>
              </w:tabs>
              <w:ind w:left="252" w:hanging="180"/>
              <w:rPr>
                <w:rFonts w:cs="Arial"/>
                <w:sz w:val="20"/>
              </w:rPr>
            </w:pPr>
          </w:p>
          <w:p w:rsidR="00373FD2" w:rsidRPr="00E81B27" w:rsidRDefault="00FD45FE" w:rsidP="00FD45FE">
            <w:pPr>
              <w:tabs>
                <w:tab w:val="left" w:pos="252"/>
                <w:tab w:val="left" w:pos="972"/>
              </w:tabs>
              <w:ind w:left="900" w:hanging="180"/>
              <w:rPr>
                <w:rFonts w:cs="Arial"/>
                <w:sz w:val="20"/>
              </w:rPr>
            </w:pPr>
            <w:r>
              <w:rPr>
                <w:rFonts w:cs="Arial"/>
                <w:sz w:val="20"/>
              </w:rPr>
              <w:t>~ 64 students in SEM1; 10% dropped program at start of semester; 5-10% were unsuccessful in SEM1.</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FD45FE" w:rsidRPr="003A5D52" w:rsidRDefault="00FD45FE" w:rsidP="00FD45FE">
            <w:pPr>
              <w:pStyle w:val="Title"/>
              <w:jc w:val="left"/>
              <w:rPr>
                <w:rFonts w:ascii="Arial" w:hAnsi="Arial" w:cs="Arial"/>
                <w:b/>
                <w:i/>
                <w:sz w:val="20"/>
              </w:rPr>
            </w:pPr>
            <w:r w:rsidRPr="003A5D52">
              <w:rPr>
                <w:rFonts w:ascii="Arial" w:hAnsi="Arial" w:cs="Arial"/>
                <w:b/>
                <w:i/>
                <w:sz w:val="20"/>
              </w:rPr>
              <w:t>(update</w:t>
            </w:r>
            <w:r>
              <w:rPr>
                <w:rFonts w:ascii="Arial" w:hAnsi="Arial" w:cs="Arial"/>
                <w:b/>
                <w:i/>
                <w:sz w:val="20"/>
              </w:rPr>
              <w:t xml:space="preserve"> </w:t>
            </w:r>
            <w:r w:rsidRPr="003A5D52">
              <w:rPr>
                <w:rFonts w:ascii="Arial" w:hAnsi="Arial" w:cs="Arial"/>
                <w:b/>
                <w:i/>
                <w:sz w:val="20"/>
              </w:rPr>
              <w:t>as appropriate based on discussions with teaching team)</w:t>
            </w:r>
          </w:p>
          <w:p w:rsidR="00FD45FE" w:rsidRPr="00356C80" w:rsidRDefault="00FD45FE" w:rsidP="00FD45FE">
            <w:pPr>
              <w:rPr>
                <w:rFonts w:cs="Arial"/>
                <w:b/>
                <w:sz w:val="20"/>
              </w:rPr>
            </w:pPr>
          </w:p>
          <w:p w:rsidR="00FD45FE" w:rsidRPr="00356C80" w:rsidRDefault="00FD45FE" w:rsidP="00FD45FE">
            <w:pPr>
              <w:ind w:left="360"/>
              <w:rPr>
                <w:rFonts w:cs="Arial"/>
                <w:b/>
                <w:sz w:val="20"/>
              </w:rPr>
            </w:pPr>
            <w:r>
              <w:rPr>
                <w:rFonts w:cs="Arial"/>
                <w:b/>
                <w:sz w:val="20"/>
              </w:rPr>
              <w:t>Strengths:</w:t>
            </w:r>
            <w:r w:rsidRPr="00356C80">
              <w:rPr>
                <w:rFonts w:cs="Arial"/>
                <w:b/>
                <w:sz w:val="20"/>
              </w:rPr>
              <w:br/>
            </w:r>
          </w:p>
          <w:p w:rsidR="00FD45FE" w:rsidRPr="00822F44" w:rsidRDefault="00FD45FE" w:rsidP="00FD45FE">
            <w:pPr>
              <w:numPr>
                <w:ilvl w:val="0"/>
                <w:numId w:val="2"/>
              </w:numPr>
              <w:rPr>
                <w:rFonts w:cs="Arial"/>
                <w:b/>
                <w:sz w:val="20"/>
              </w:rPr>
            </w:pPr>
            <w:r w:rsidRPr="00822F44">
              <w:rPr>
                <w:rFonts w:cs="Arial"/>
                <w:sz w:val="20"/>
              </w:rPr>
              <w:t>Curriculum aligns with both</w:t>
            </w:r>
            <w:r w:rsidRPr="00822F44">
              <w:rPr>
                <w:rFonts w:cs="Arial"/>
                <w:b/>
                <w:sz w:val="20"/>
              </w:rPr>
              <w:t xml:space="preserve"> </w:t>
            </w:r>
            <w:r w:rsidRPr="00822F44">
              <w:rPr>
                <w:rFonts w:cs="Arial"/>
                <w:sz w:val="20"/>
              </w:rPr>
              <w:t>MTCU program standards</w:t>
            </w:r>
            <w:r w:rsidRPr="00822F44">
              <w:rPr>
                <w:rFonts w:cs="Arial"/>
                <w:b/>
                <w:sz w:val="20"/>
              </w:rPr>
              <w:t xml:space="preserve">  </w:t>
            </w:r>
            <w:r w:rsidRPr="00822F44">
              <w:rPr>
                <w:rFonts w:cs="Arial"/>
                <w:sz w:val="20"/>
              </w:rPr>
              <w:t>and Level I apprenticeship outcomes</w:t>
            </w:r>
          </w:p>
          <w:p w:rsidR="00FD45FE" w:rsidRDefault="00FD45FE" w:rsidP="00FD45FE">
            <w:pPr>
              <w:numPr>
                <w:ilvl w:val="0"/>
                <w:numId w:val="2"/>
              </w:numPr>
              <w:rPr>
                <w:rFonts w:cs="Arial"/>
                <w:sz w:val="20"/>
              </w:rPr>
            </w:pPr>
            <w:r w:rsidRPr="00822F44">
              <w:rPr>
                <w:rFonts w:cs="Arial"/>
                <w:sz w:val="20"/>
              </w:rPr>
              <w:t>Full-time program coordinator to oversee program and communicate with contract faculty teaching team</w:t>
            </w:r>
          </w:p>
          <w:p w:rsidR="00FD45FE" w:rsidRPr="00822F44" w:rsidRDefault="00FD45FE" w:rsidP="00FD45FE">
            <w:pPr>
              <w:numPr>
                <w:ilvl w:val="0"/>
                <w:numId w:val="2"/>
              </w:numPr>
              <w:rPr>
                <w:rFonts w:cs="Arial"/>
                <w:sz w:val="20"/>
              </w:rPr>
            </w:pPr>
            <w:r>
              <w:rPr>
                <w:rFonts w:cs="Arial"/>
                <w:sz w:val="20"/>
              </w:rPr>
              <w:t>Year one WTQ program ladders into year two WFT diploma program</w:t>
            </w:r>
            <w:r w:rsidRPr="00822F44">
              <w:rPr>
                <w:rFonts w:cs="Arial"/>
                <w:sz w:val="20"/>
              </w:rPr>
              <w:t xml:space="preserve"> </w:t>
            </w:r>
          </w:p>
          <w:p w:rsidR="00FD45FE" w:rsidRPr="00C4372C" w:rsidRDefault="00FD45FE" w:rsidP="00FD45FE">
            <w:pPr>
              <w:rPr>
                <w:rFonts w:cs="Arial"/>
                <w:b/>
                <w:sz w:val="20"/>
              </w:rPr>
            </w:pPr>
          </w:p>
          <w:p w:rsidR="00FD45FE" w:rsidRDefault="00FD45FE" w:rsidP="00FD45FE">
            <w:pPr>
              <w:ind w:left="360"/>
              <w:rPr>
                <w:rFonts w:cs="Arial"/>
                <w:b/>
                <w:sz w:val="20"/>
              </w:rPr>
            </w:pPr>
            <w:r>
              <w:rPr>
                <w:rFonts w:cs="Arial"/>
                <w:b/>
                <w:sz w:val="20"/>
              </w:rPr>
              <w:t>Challenges:</w:t>
            </w:r>
          </w:p>
          <w:p w:rsidR="00FD45FE" w:rsidRPr="000673C8" w:rsidRDefault="00FD45FE" w:rsidP="00FD45FE">
            <w:pPr>
              <w:ind w:left="360"/>
              <w:rPr>
                <w:rFonts w:cs="Arial"/>
                <w:b/>
                <w:sz w:val="20"/>
              </w:rPr>
            </w:pPr>
          </w:p>
          <w:p w:rsidR="00FD45FE" w:rsidRPr="00C4372C" w:rsidRDefault="00FD45FE" w:rsidP="00FD45FE">
            <w:pPr>
              <w:numPr>
                <w:ilvl w:val="0"/>
                <w:numId w:val="2"/>
              </w:numPr>
              <w:rPr>
                <w:rFonts w:cs="Arial"/>
                <w:b/>
                <w:sz w:val="20"/>
              </w:rPr>
            </w:pPr>
            <w:r>
              <w:rPr>
                <w:rFonts w:cs="Arial"/>
                <w:sz w:val="20"/>
              </w:rPr>
              <w:t>Curriculum needs to be developed for entire second year WFT diploma program</w:t>
            </w:r>
          </w:p>
          <w:p w:rsidR="00FD45FE" w:rsidRPr="00822F44" w:rsidRDefault="00FD45FE" w:rsidP="00FD45FE">
            <w:pPr>
              <w:numPr>
                <w:ilvl w:val="0"/>
                <w:numId w:val="2"/>
              </w:numPr>
              <w:rPr>
                <w:rFonts w:cs="Arial"/>
                <w:sz w:val="20"/>
              </w:rPr>
            </w:pPr>
            <w:r>
              <w:rPr>
                <w:rFonts w:cs="Arial"/>
                <w:sz w:val="20"/>
              </w:rPr>
              <w:t>T</w:t>
            </w:r>
            <w:r w:rsidRPr="00822F44">
              <w:rPr>
                <w:rFonts w:cs="Arial"/>
                <w:sz w:val="20"/>
              </w:rPr>
              <w:t xml:space="preserve">eaching team </w:t>
            </w:r>
            <w:r>
              <w:rPr>
                <w:rFonts w:cs="Arial"/>
                <w:sz w:val="20"/>
              </w:rPr>
              <w:t xml:space="preserve">changes from term to term with late </w:t>
            </w:r>
            <w:r w:rsidRPr="00822F44">
              <w:rPr>
                <w:rFonts w:cs="Arial"/>
                <w:sz w:val="20"/>
              </w:rPr>
              <w:t>contract hires for both delivery and development of curriculum</w:t>
            </w:r>
          </w:p>
          <w:p w:rsidR="00373FD2" w:rsidRPr="00356C80" w:rsidRDefault="00373FD2" w:rsidP="00FD45FE">
            <w:pPr>
              <w:ind w:left="360"/>
              <w:rPr>
                <w:rFonts w:cs="Arial"/>
                <w:b/>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FD45FE" w:rsidRPr="003A5D52" w:rsidRDefault="00FD45FE" w:rsidP="00FD45FE">
            <w:pPr>
              <w:pStyle w:val="Title"/>
              <w:jc w:val="left"/>
              <w:rPr>
                <w:rFonts w:ascii="Arial" w:hAnsi="Arial" w:cs="Arial"/>
                <w:b/>
                <w:i/>
                <w:sz w:val="20"/>
              </w:rPr>
            </w:pPr>
            <w:r w:rsidRPr="003A5D52">
              <w:rPr>
                <w:rFonts w:ascii="Arial" w:hAnsi="Arial" w:cs="Arial"/>
                <w:b/>
                <w:i/>
                <w:sz w:val="20"/>
              </w:rPr>
              <w:t>(update as appropriate based on discussions with teaching team)</w:t>
            </w:r>
          </w:p>
          <w:p w:rsidR="00FD45FE" w:rsidRPr="00356C80" w:rsidRDefault="00FD45FE" w:rsidP="00FD45FE">
            <w:pPr>
              <w:rPr>
                <w:rFonts w:cs="Arial"/>
                <w:b/>
                <w:sz w:val="20"/>
              </w:rPr>
            </w:pPr>
          </w:p>
          <w:p w:rsidR="00FD45FE" w:rsidRDefault="00FD45FE" w:rsidP="00FD45FE">
            <w:pPr>
              <w:numPr>
                <w:ilvl w:val="0"/>
                <w:numId w:val="2"/>
              </w:numPr>
              <w:rPr>
                <w:rFonts w:cs="Arial"/>
                <w:b/>
                <w:sz w:val="20"/>
              </w:rPr>
            </w:pPr>
            <w:r w:rsidRPr="003A5D52">
              <w:rPr>
                <w:rFonts w:cs="Arial"/>
                <w:b/>
                <w:sz w:val="20"/>
              </w:rPr>
              <w:t>course binders (hard copy or electronic) for WTQ curriculum</w:t>
            </w:r>
            <w:r>
              <w:rPr>
                <w:rFonts w:cs="Arial"/>
                <w:b/>
                <w:sz w:val="20"/>
              </w:rPr>
              <w:t xml:space="preserve"> exists on SKTR shared folder on S drive (2013 action item complete).</w:t>
            </w:r>
          </w:p>
          <w:p w:rsidR="00FD45FE" w:rsidRPr="003A5D52" w:rsidRDefault="00FD45FE" w:rsidP="00FD45FE">
            <w:pPr>
              <w:ind w:left="360"/>
              <w:rPr>
                <w:rFonts w:cs="Arial"/>
                <w:b/>
                <w:sz w:val="20"/>
              </w:rPr>
            </w:pPr>
          </w:p>
          <w:p w:rsidR="00FD45FE" w:rsidRDefault="00FD45FE" w:rsidP="00FD45FE">
            <w:pPr>
              <w:numPr>
                <w:ilvl w:val="0"/>
                <w:numId w:val="2"/>
              </w:numPr>
              <w:rPr>
                <w:rFonts w:cs="Arial"/>
                <w:b/>
                <w:sz w:val="20"/>
              </w:rPr>
            </w:pPr>
            <w:r>
              <w:rPr>
                <w:rFonts w:cs="Arial"/>
                <w:b/>
                <w:sz w:val="20"/>
              </w:rPr>
              <w:t xml:space="preserve">ongoing </w:t>
            </w:r>
            <w:r w:rsidRPr="003A5D52">
              <w:rPr>
                <w:rFonts w:cs="Arial"/>
                <w:b/>
                <w:sz w:val="20"/>
              </w:rPr>
              <w:t xml:space="preserve">review of first year WTQ curriculum; revisions to </w:t>
            </w:r>
            <w:r>
              <w:rPr>
                <w:rFonts w:cs="Arial"/>
                <w:b/>
                <w:sz w:val="20"/>
              </w:rPr>
              <w:t xml:space="preserve">current </w:t>
            </w:r>
            <w:r w:rsidRPr="003A5D52">
              <w:rPr>
                <w:rFonts w:cs="Arial"/>
                <w:b/>
                <w:sz w:val="20"/>
              </w:rPr>
              <w:t xml:space="preserve">assessments, </w:t>
            </w:r>
            <w:r>
              <w:rPr>
                <w:rFonts w:cs="Arial"/>
                <w:b/>
                <w:sz w:val="20"/>
              </w:rPr>
              <w:t xml:space="preserve">creation of multiple choice questions for D2L quizzes, </w:t>
            </w:r>
            <w:r w:rsidRPr="003A5D52">
              <w:rPr>
                <w:rFonts w:cs="Arial"/>
                <w:b/>
                <w:sz w:val="20"/>
              </w:rPr>
              <w:t xml:space="preserve">addition of e-learning resources; increased use of D2L; assess AODA compliance for all course materials </w:t>
            </w:r>
          </w:p>
          <w:p w:rsidR="00FD45FE" w:rsidRDefault="00FD45FE" w:rsidP="00FD45FE">
            <w:pPr>
              <w:rPr>
                <w:rFonts w:cs="Arial"/>
                <w:b/>
                <w:sz w:val="20"/>
              </w:rPr>
            </w:pPr>
          </w:p>
          <w:p w:rsidR="00FD45FE" w:rsidRDefault="00FD45FE" w:rsidP="00FD45FE">
            <w:pPr>
              <w:numPr>
                <w:ilvl w:val="0"/>
                <w:numId w:val="2"/>
              </w:numPr>
              <w:rPr>
                <w:rFonts w:cs="Arial"/>
                <w:b/>
                <w:sz w:val="20"/>
              </w:rPr>
            </w:pPr>
            <w:r>
              <w:rPr>
                <w:rFonts w:cs="Arial"/>
                <w:b/>
                <w:sz w:val="20"/>
              </w:rPr>
              <w:t xml:space="preserve">PRIORITY: </w:t>
            </w:r>
            <w:r w:rsidRPr="003A5D52">
              <w:rPr>
                <w:rFonts w:cs="Arial"/>
                <w:b/>
                <w:sz w:val="20"/>
              </w:rPr>
              <w:t xml:space="preserve">development of </w:t>
            </w:r>
            <w:r>
              <w:rPr>
                <w:rFonts w:cs="Arial"/>
                <w:b/>
                <w:sz w:val="20"/>
              </w:rPr>
              <w:t>second year WFT courses</w:t>
            </w:r>
          </w:p>
          <w:p w:rsidR="00FD45FE" w:rsidRDefault="00FD45FE" w:rsidP="00FD45FE">
            <w:pPr>
              <w:rPr>
                <w:rFonts w:cs="Arial"/>
                <w:b/>
                <w:sz w:val="20"/>
              </w:rPr>
            </w:pPr>
          </w:p>
          <w:p w:rsidR="00FD45FE" w:rsidRPr="00065B4C" w:rsidRDefault="00FD45FE" w:rsidP="00FD45FE">
            <w:pPr>
              <w:pStyle w:val="ListParagraph"/>
              <w:numPr>
                <w:ilvl w:val="0"/>
                <w:numId w:val="2"/>
              </w:numPr>
              <w:rPr>
                <w:rFonts w:cs="Arial"/>
                <w:b/>
                <w:sz w:val="20"/>
              </w:rPr>
            </w:pPr>
            <w:r>
              <w:rPr>
                <w:rFonts w:cs="Arial"/>
                <w:b/>
                <w:sz w:val="20"/>
              </w:rPr>
              <w:t>Ongoing efforts to g</w:t>
            </w:r>
            <w:r>
              <w:rPr>
                <w:rFonts w:cs="Arial"/>
                <w:b/>
                <w:sz w:val="20"/>
              </w:rPr>
              <w:t>enerate a “roadmap” to align second year curriculum and learning outcomes to MTCU standards and Level II and III apprenticeship outcomes</w:t>
            </w:r>
          </w:p>
          <w:p w:rsidR="00FD45FE" w:rsidRDefault="00FD45FE" w:rsidP="00FD45FE">
            <w:pPr>
              <w:rPr>
                <w:rFonts w:cs="Arial"/>
                <w:b/>
                <w:sz w:val="20"/>
              </w:rPr>
            </w:pPr>
          </w:p>
          <w:p w:rsidR="00FD45FE" w:rsidRDefault="00FD45FE" w:rsidP="00FD45FE">
            <w:pPr>
              <w:pStyle w:val="ListParagraph"/>
              <w:numPr>
                <w:ilvl w:val="0"/>
                <w:numId w:val="2"/>
              </w:numPr>
              <w:rPr>
                <w:rFonts w:cs="Arial"/>
                <w:b/>
                <w:sz w:val="20"/>
              </w:rPr>
            </w:pPr>
            <w:r>
              <w:rPr>
                <w:rFonts w:cs="Arial"/>
                <w:b/>
                <w:sz w:val="20"/>
              </w:rPr>
              <w:t xml:space="preserve">Work with IT/Admin. to make sure that AUTOCAD is installed in computer labs and workshops (if applicable) in KTTC; AUTCAD </w:t>
            </w:r>
            <w:r>
              <w:rPr>
                <w:rFonts w:cs="Arial"/>
                <w:b/>
                <w:sz w:val="20"/>
              </w:rPr>
              <w:t xml:space="preserve">is on </w:t>
            </w:r>
            <w:r>
              <w:rPr>
                <w:rFonts w:cs="Arial"/>
                <w:b/>
                <w:sz w:val="20"/>
              </w:rPr>
              <w:t>faculty computers to generate assessments and make teaching materials look more professional.</w:t>
            </w:r>
          </w:p>
          <w:p w:rsidR="00FD45FE" w:rsidRPr="005B02FA" w:rsidRDefault="00FD45FE" w:rsidP="00FD45FE">
            <w:pPr>
              <w:pStyle w:val="ListParagraph"/>
              <w:rPr>
                <w:rFonts w:cs="Arial"/>
                <w:b/>
                <w:sz w:val="20"/>
              </w:rPr>
            </w:pPr>
          </w:p>
          <w:p w:rsidR="00E51CA2" w:rsidRPr="00FD45FE" w:rsidRDefault="00FD45FE" w:rsidP="0010640B">
            <w:pPr>
              <w:pStyle w:val="ListParagraph"/>
              <w:numPr>
                <w:ilvl w:val="0"/>
                <w:numId w:val="2"/>
              </w:numPr>
              <w:rPr>
                <w:rFonts w:cs="Arial"/>
                <w:b/>
                <w:sz w:val="20"/>
              </w:rPr>
            </w:pPr>
            <w:r w:rsidRPr="00FD45FE">
              <w:rPr>
                <w:rFonts w:cs="Arial"/>
                <w:b/>
                <w:sz w:val="20"/>
              </w:rPr>
              <w:t>Suppliers to follow-up re: e</w:t>
            </w:r>
            <w:r w:rsidRPr="00FD45FE">
              <w:rPr>
                <w:rFonts w:cs="Arial"/>
                <w:b/>
                <w:sz w:val="20"/>
              </w:rPr>
              <w:t xml:space="preserve">quipment training for CNC (computerized numerical control) robotics in KTTC; </w:t>
            </w:r>
            <w:r w:rsidRPr="00FD45FE">
              <w:rPr>
                <w:rFonts w:cs="Arial"/>
                <w:b/>
                <w:sz w:val="20"/>
              </w:rPr>
              <w:t>building issues noted.</w:t>
            </w: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685C78" w:rsidP="004C2936">
            <w:pPr>
              <w:numPr>
                <w:ilvl w:val="0"/>
                <w:numId w:val="2"/>
              </w:numPr>
              <w:rPr>
                <w:rFonts w:cs="Arial"/>
                <w:b/>
                <w:sz w:val="20"/>
              </w:rPr>
            </w:pPr>
            <w:r>
              <w:rPr>
                <w:rFonts w:cs="Arial"/>
                <w:b/>
                <w:sz w:val="20"/>
              </w:rPr>
              <w:t>Welding space needed for fabrication. Where will this go in KTTC?</w:t>
            </w:r>
            <w:r w:rsidR="00373FD2"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9FC" w:rsidRDefault="00EF59FC">
      <w:r>
        <w:separator/>
      </w:r>
    </w:p>
  </w:endnote>
  <w:endnote w:type="continuationSeparator" w:id="0">
    <w:p w:rsidR="00EF59FC" w:rsidRDefault="00EF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9FC" w:rsidRDefault="00EF59FC">
      <w:r>
        <w:separator/>
      </w:r>
    </w:p>
  </w:footnote>
  <w:footnote w:type="continuationSeparator" w:id="0">
    <w:p w:rsidR="00EF59FC" w:rsidRDefault="00EF5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9A41401"/>
    <w:multiLevelType w:val="hybridMultilevel"/>
    <w:tmpl w:val="35544A2A"/>
    <w:lvl w:ilvl="0" w:tplc="A028D120">
      <w:numFmt w:val="bullet"/>
      <w:lvlText w:val="•"/>
      <w:lvlJc w:val="left"/>
      <w:pPr>
        <w:ind w:left="1041" w:hanging="360"/>
      </w:pPr>
      <w:rPr>
        <w:rFonts w:ascii="Arial" w:eastAsia="Times New Roman" w:hAnsi="Arial" w:cs="Arial" w:hint="default"/>
      </w:rPr>
    </w:lvl>
    <w:lvl w:ilvl="1" w:tplc="10090003" w:tentative="1">
      <w:start w:val="1"/>
      <w:numFmt w:val="bullet"/>
      <w:lvlText w:val="o"/>
      <w:lvlJc w:val="left"/>
      <w:pPr>
        <w:ind w:left="1761" w:hanging="360"/>
      </w:pPr>
      <w:rPr>
        <w:rFonts w:ascii="Courier New" w:hAnsi="Courier New" w:cs="Courier New" w:hint="default"/>
      </w:rPr>
    </w:lvl>
    <w:lvl w:ilvl="2" w:tplc="10090005" w:tentative="1">
      <w:start w:val="1"/>
      <w:numFmt w:val="bullet"/>
      <w:lvlText w:val=""/>
      <w:lvlJc w:val="left"/>
      <w:pPr>
        <w:ind w:left="2481" w:hanging="360"/>
      </w:pPr>
      <w:rPr>
        <w:rFonts w:ascii="Wingdings" w:hAnsi="Wingdings" w:hint="default"/>
      </w:rPr>
    </w:lvl>
    <w:lvl w:ilvl="3" w:tplc="10090001" w:tentative="1">
      <w:start w:val="1"/>
      <w:numFmt w:val="bullet"/>
      <w:lvlText w:val=""/>
      <w:lvlJc w:val="left"/>
      <w:pPr>
        <w:ind w:left="3201" w:hanging="360"/>
      </w:pPr>
      <w:rPr>
        <w:rFonts w:ascii="Symbol" w:hAnsi="Symbol" w:hint="default"/>
      </w:rPr>
    </w:lvl>
    <w:lvl w:ilvl="4" w:tplc="10090003" w:tentative="1">
      <w:start w:val="1"/>
      <w:numFmt w:val="bullet"/>
      <w:lvlText w:val="o"/>
      <w:lvlJc w:val="left"/>
      <w:pPr>
        <w:ind w:left="3921" w:hanging="360"/>
      </w:pPr>
      <w:rPr>
        <w:rFonts w:ascii="Courier New" w:hAnsi="Courier New" w:cs="Courier New" w:hint="default"/>
      </w:rPr>
    </w:lvl>
    <w:lvl w:ilvl="5" w:tplc="10090005" w:tentative="1">
      <w:start w:val="1"/>
      <w:numFmt w:val="bullet"/>
      <w:lvlText w:val=""/>
      <w:lvlJc w:val="left"/>
      <w:pPr>
        <w:ind w:left="4641" w:hanging="360"/>
      </w:pPr>
      <w:rPr>
        <w:rFonts w:ascii="Wingdings" w:hAnsi="Wingdings" w:hint="default"/>
      </w:rPr>
    </w:lvl>
    <w:lvl w:ilvl="6" w:tplc="10090001" w:tentative="1">
      <w:start w:val="1"/>
      <w:numFmt w:val="bullet"/>
      <w:lvlText w:val=""/>
      <w:lvlJc w:val="left"/>
      <w:pPr>
        <w:ind w:left="5361" w:hanging="360"/>
      </w:pPr>
      <w:rPr>
        <w:rFonts w:ascii="Symbol" w:hAnsi="Symbol" w:hint="default"/>
      </w:rPr>
    </w:lvl>
    <w:lvl w:ilvl="7" w:tplc="10090003" w:tentative="1">
      <w:start w:val="1"/>
      <w:numFmt w:val="bullet"/>
      <w:lvlText w:val="o"/>
      <w:lvlJc w:val="left"/>
      <w:pPr>
        <w:ind w:left="6081" w:hanging="360"/>
      </w:pPr>
      <w:rPr>
        <w:rFonts w:ascii="Courier New" w:hAnsi="Courier New" w:cs="Courier New" w:hint="default"/>
      </w:rPr>
    </w:lvl>
    <w:lvl w:ilvl="8" w:tplc="10090005" w:tentative="1">
      <w:start w:val="1"/>
      <w:numFmt w:val="bullet"/>
      <w:lvlText w:val=""/>
      <w:lvlJc w:val="left"/>
      <w:pPr>
        <w:ind w:left="6801" w:hanging="360"/>
      </w:pPr>
      <w:rPr>
        <w:rFonts w:ascii="Wingdings" w:hAnsi="Wingdings" w:hint="default"/>
      </w:rPr>
    </w:lvl>
  </w:abstractNum>
  <w:abstractNum w:abstractNumId="4">
    <w:nsid w:val="474C7C86"/>
    <w:multiLevelType w:val="hybridMultilevel"/>
    <w:tmpl w:val="CCA459A4"/>
    <w:lvl w:ilvl="0" w:tplc="10090001">
      <w:start w:val="1"/>
      <w:numFmt w:val="bullet"/>
      <w:lvlText w:val=""/>
      <w:lvlJc w:val="left"/>
      <w:pPr>
        <w:ind w:left="1401" w:hanging="360"/>
      </w:pPr>
      <w:rPr>
        <w:rFonts w:ascii="Symbol" w:hAnsi="Symbol" w:hint="default"/>
      </w:rPr>
    </w:lvl>
    <w:lvl w:ilvl="1" w:tplc="10090003" w:tentative="1">
      <w:start w:val="1"/>
      <w:numFmt w:val="bullet"/>
      <w:lvlText w:val="o"/>
      <w:lvlJc w:val="left"/>
      <w:pPr>
        <w:ind w:left="2121" w:hanging="360"/>
      </w:pPr>
      <w:rPr>
        <w:rFonts w:ascii="Courier New" w:hAnsi="Courier New" w:cs="Courier New" w:hint="default"/>
      </w:rPr>
    </w:lvl>
    <w:lvl w:ilvl="2" w:tplc="10090005" w:tentative="1">
      <w:start w:val="1"/>
      <w:numFmt w:val="bullet"/>
      <w:lvlText w:val=""/>
      <w:lvlJc w:val="left"/>
      <w:pPr>
        <w:ind w:left="2841" w:hanging="360"/>
      </w:pPr>
      <w:rPr>
        <w:rFonts w:ascii="Wingdings" w:hAnsi="Wingdings" w:hint="default"/>
      </w:rPr>
    </w:lvl>
    <w:lvl w:ilvl="3" w:tplc="10090001" w:tentative="1">
      <w:start w:val="1"/>
      <w:numFmt w:val="bullet"/>
      <w:lvlText w:val=""/>
      <w:lvlJc w:val="left"/>
      <w:pPr>
        <w:ind w:left="3561" w:hanging="360"/>
      </w:pPr>
      <w:rPr>
        <w:rFonts w:ascii="Symbol" w:hAnsi="Symbol" w:hint="default"/>
      </w:rPr>
    </w:lvl>
    <w:lvl w:ilvl="4" w:tplc="10090003" w:tentative="1">
      <w:start w:val="1"/>
      <w:numFmt w:val="bullet"/>
      <w:lvlText w:val="o"/>
      <w:lvlJc w:val="left"/>
      <w:pPr>
        <w:ind w:left="4281" w:hanging="360"/>
      </w:pPr>
      <w:rPr>
        <w:rFonts w:ascii="Courier New" w:hAnsi="Courier New" w:cs="Courier New" w:hint="default"/>
      </w:rPr>
    </w:lvl>
    <w:lvl w:ilvl="5" w:tplc="10090005" w:tentative="1">
      <w:start w:val="1"/>
      <w:numFmt w:val="bullet"/>
      <w:lvlText w:val=""/>
      <w:lvlJc w:val="left"/>
      <w:pPr>
        <w:ind w:left="5001" w:hanging="360"/>
      </w:pPr>
      <w:rPr>
        <w:rFonts w:ascii="Wingdings" w:hAnsi="Wingdings" w:hint="default"/>
      </w:rPr>
    </w:lvl>
    <w:lvl w:ilvl="6" w:tplc="10090001" w:tentative="1">
      <w:start w:val="1"/>
      <w:numFmt w:val="bullet"/>
      <w:lvlText w:val=""/>
      <w:lvlJc w:val="left"/>
      <w:pPr>
        <w:ind w:left="5721" w:hanging="360"/>
      </w:pPr>
      <w:rPr>
        <w:rFonts w:ascii="Symbol" w:hAnsi="Symbol" w:hint="default"/>
      </w:rPr>
    </w:lvl>
    <w:lvl w:ilvl="7" w:tplc="10090003" w:tentative="1">
      <w:start w:val="1"/>
      <w:numFmt w:val="bullet"/>
      <w:lvlText w:val="o"/>
      <w:lvlJc w:val="left"/>
      <w:pPr>
        <w:ind w:left="6441" w:hanging="360"/>
      </w:pPr>
      <w:rPr>
        <w:rFonts w:ascii="Courier New" w:hAnsi="Courier New" w:cs="Courier New" w:hint="default"/>
      </w:rPr>
    </w:lvl>
    <w:lvl w:ilvl="8" w:tplc="10090005" w:tentative="1">
      <w:start w:val="1"/>
      <w:numFmt w:val="bullet"/>
      <w:lvlText w:val=""/>
      <w:lvlJc w:val="left"/>
      <w:pPr>
        <w:ind w:left="7161" w:hanging="360"/>
      </w:pPr>
      <w:rPr>
        <w:rFonts w:ascii="Wingdings" w:hAnsi="Wingdings" w:hint="default"/>
      </w:rPr>
    </w:lvl>
  </w:abstractNum>
  <w:abstractNum w:abstractNumId="5">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21F5"/>
    <w:rsid w:val="00193487"/>
    <w:rsid w:val="00196F25"/>
    <w:rsid w:val="001976EA"/>
    <w:rsid w:val="001A28A1"/>
    <w:rsid w:val="001A60E5"/>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14490"/>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6334"/>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5C78"/>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654F"/>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A97"/>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5FE"/>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C555C44-4E59-4E5F-A15E-74611CFC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C2C2-AC91-45AD-A88B-2E9D559A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7D33BA79</Template>
  <TotalTime>0</TotalTime>
  <Pages>4</Pages>
  <Words>1081</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Kari Draker-Fortis</cp:lastModifiedBy>
  <cp:revision>2</cp:revision>
  <cp:lastPrinted>2014-09-23T20:40:00Z</cp:lastPrinted>
  <dcterms:created xsi:type="dcterms:W3CDTF">2015-01-12T19:56:00Z</dcterms:created>
  <dcterms:modified xsi:type="dcterms:W3CDTF">2015-01-12T19:56:00Z</dcterms:modified>
</cp:coreProperties>
</file>