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18F2" w:rsidRDefault="002818F2" w:rsidP="00373D5B">
      <w:pPr>
        <w:tabs>
          <w:tab w:val="center" w:pos="4680"/>
        </w:tabs>
        <w:jc w:val="right"/>
        <w:rPr>
          <w:rFonts w:ascii="Segoe UI" w:hAnsi="Segoe UI" w:cs="Segoe UI"/>
          <w:smallCaps/>
        </w:rPr>
      </w:pPr>
    </w:p>
    <w:p w:rsidR="002818F2" w:rsidRDefault="007A4706" w:rsidP="00373D5B">
      <w:pPr>
        <w:tabs>
          <w:tab w:val="center" w:pos="4680"/>
        </w:tabs>
        <w:jc w:val="right"/>
        <w:rPr>
          <w:rFonts w:ascii="Segoe UI" w:hAnsi="Segoe UI" w:cs="Segoe UI"/>
          <w:smallCaps/>
        </w:rPr>
      </w:pPr>
      <w:r w:rsidRPr="008D5860">
        <w:rPr>
          <w:rFonts w:ascii="Segoe UI" w:hAnsi="Segoe UI" w:cs="Segoe UI"/>
          <w:noProof/>
          <w:lang w:eastAsia="en-CA"/>
        </w:rPr>
        <w:drawing>
          <wp:anchor distT="0" distB="0" distL="114300" distR="114300" simplePos="0" relativeHeight="251658240" behindDoc="1" locked="0" layoutInCell="1" allowOverlap="1" wp14:anchorId="2E41920C" wp14:editId="248CAF00">
            <wp:simplePos x="0" y="0"/>
            <wp:positionH relativeFrom="column">
              <wp:posOffset>5356018</wp:posOffset>
            </wp:positionH>
            <wp:positionV relativeFrom="paragraph">
              <wp:posOffset>15240</wp:posOffset>
            </wp:positionV>
            <wp:extent cx="1565274" cy="542243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7999"/>
                    <a:stretch/>
                  </pic:blipFill>
                  <pic:spPr bwMode="auto">
                    <a:xfrm>
                      <a:off x="0" y="0"/>
                      <a:ext cx="1565274" cy="5422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818F2" w:rsidRDefault="002818F2" w:rsidP="00373D5B">
      <w:pPr>
        <w:tabs>
          <w:tab w:val="center" w:pos="4680"/>
        </w:tabs>
        <w:jc w:val="right"/>
        <w:rPr>
          <w:rFonts w:ascii="Segoe UI" w:hAnsi="Segoe UI" w:cs="Segoe UI"/>
          <w:smallCaps/>
        </w:rPr>
      </w:pPr>
    </w:p>
    <w:p w:rsidR="00233A93" w:rsidRPr="008D5860" w:rsidRDefault="00233A93" w:rsidP="00373D5B">
      <w:pPr>
        <w:tabs>
          <w:tab w:val="center" w:pos="4680"/>
        </w:tabs>
        <w:jc w:val="right"/>
        <w:rPr>
          <w:rFonts w:ascii="Segoe UI" w:hAnsi="Segoe UI" w:cs="Segoe UI"/>
          <w:smallCaps/>
        </w:rPr>
      </w:pPr>
    </w:p>
    <w:p w:rsidR="00494111" w:rsidRPr="00A04BC6" w:rsidRDefault="00494111" w:rsidP="00494111">
      <w:pPr>
        <w:tabs>
          <w:tab w:val="center" w:pos="4680"/>
        </w:tabs>
        <w:rPr>
          <w:rFonts w:ascii="Tw Cen MT" w:hAnsi="Tw Cen MT" w:cs="Segoe UI"/>
          <w:smallCaps/>
          <w:sz w:val="12"/>
          <w:szCs w:val="12"/>
        </w:rPr>
      </w:pPr>
    </w:p>
    <w:p w:rsidR="000D2749" w:rsidRPr="008D5860" w:rsidRDefault="00233A93" w:rsidP="002205AA">
      <w:pPr>
        <w:pBdr>
          <w:bottom w:val="single" w:sz="18" w:space="1" w:color="auto"/>
        </w:pBdr>
        <w:shd w:val="clear" w:color="auto" w:fill="C2DBD9" w:themeFill="accent3" w:themeFillShade="E6"/>
        <w:tabs>
          <w:tab w:val="center" w:pos="4680"/>
        </w:tabs>
        <w:rPr>
          <w:rFonts w:ascii="Tw Cen MT" w:hAnsi="Tw Cen MT" w:cs="Segoe UI"/>
          <w:smallCaps/>
          <w:sz w:val="36"/>
          <w:szCs w:val="36"/>
        </w:rPr>
      </w:pPr>
      <w:r w:rsidRPr="008D5860">
        <w:rPr>
          <w:rFonts w:ascii="Tw Cen MT" w:hAnsi="Tw Cen MT" w:cs="Segoe UI"/>
          <w:smallCaps/>
          <w:sz w:val="36"/>
          <w:szCs w:val="36"/>
        </w:rPr>
        <w:t>EXECUTIVE SUMMARY FOR PROGRAM REVIEW</w:t>
      </w:r>
    </w:p>
    <w:p w:rsidR="008D5860" w:rsidRPr="007A4706" w:rsidRDefault="008D5860" w:rsidP="00233A93">
      <w:pPr>
        <w:rPr>
          <w:rFonts w:ascii="Segoe UI" w:hAnsi="Segoe UI" w:cs="Segoe UI"/>
          <w:i/>
          <w:sz w:val="16"/>
          <w:szCs w:val="16"/>
        </w:rPr>
      </w:pPr>
    </w:p>
    <w:p w:rsidR="000D2749" w:rsidRDefault="00233A93" w:rsidP="00C84D56">
      <w:pPr>
        <w:pBdr>
          <w:bottom w:val="single" w:sz="6" w:space="1" w:color="auto"/>
        </w:pBdr>
        <w:shd w:val="clear" w:color="auto" w:fill="F2F2F2" w:themeFill="background1" w:themeFillShade="F2"/>
        <w:rPr>
          <w:rFonts w:ascii="Segoe UI" w:hAnsi="Segoe UI" w:cs="Segoe UI"/>
          <w:i/>
          <w:sz w:val="22"/>
          <w:szCs w:val="22"/>
        </w:rPr>
      </w:pPr>
      <w:r w:rsidRPr="008D5860">
        <w:rPr>
          <w:rFonts w:ascii="Segoe UI" w:hAnsi="Segoe UI" w:cs="Segoe UI"/>
          <w:i/>
          <w:sz w:val="22"/>
          <w:szCs w:val="22"/>
        </w:rPr>
        <w:t xml:space="preserve">The Executive Summary will be presented to </w:t>
      </w:r>
      <w:r w:rsidR="00494111" w:rsidRPr="008D5860">
        <w:rPr>
          <w:rFonts w:ascii="Segoe UI" w:hAnsi="Segoe UI" w:cs="Segoe UI"/>
          <w:i/>
          <w:sz w:val="22"/>
          <w:szCs w:val="22"/>
        </w:rPr>
        <w:t>Fleming College’s</w:t>
      </w:r>
      <w:r w:rsidRPr="008D5860">
        <w:rPr>
          <w:rFonts w:ascii="Segoe UI" w:hAnsi="Segoe UI" w:cs="Segoe UI"/>
          <w:i/>
          <w:sz w:val="22"/>
          <w:szCs w:val="22"/>
        </w:rPr>
        <w:t xml:space="preserve"> </w:t>
      </w:r>
      <w:r w:rsidR="00494111" w:rsidRPr="008D5860">
        <w:rPr>
          <w:rFonts w:ascii="Segoe UI" w:hAnsi="Segoe UI" w:cs="Segoe UI"/>
          <w:i/>
          <w:sz w:val="22"/>
          <w:szCs w:val="22"/>
        </w:rPr>
        <w:t>Academic Council</w:t>
      </w:r>
      <w:r w:rsidR="00502B70" w:rsidRPr="008D5860">
        <w:rPr>
          <w:rFonts w:ascii="Segoe UI" w:hAnsi="Segoe UI" w:cs="Segoe UI"/>
          <w:i/>
          <w:sz w:val="22"/>
          <w:szCs w:val="22"/>
        </w:rPr>
        <w:t xml:space="preserve"> and Executive Leadership Team</w:t>
      </w:r>
      <w:r w:rsidR="00494111" w:rsidRPr="008D5860">
        <w:rPr>
          <w:rFonts w:ascii="Segoe UI" w:hAnsi="Segoe UI" w:cs="Segoe UI"/>
          <w:i/>
          <w:sz w:val="22"/>
          <w:szCs w:val="22"/>
        </w:rPr>
        <w:t xml:space="preserve"> </w:t>
      </w:r>
      <w:r w:rsidRPr="008D5860">
        <w:rPr>
          <w:rFonts w:ascii="Segoe UI" w:hAnsi="Segoe UI" w:cs="Segoe UI"/>
          <w:i/>
          <w:sz w:val="22"/>
          <w:szCs w:val="22"/>
        </w:rPr>
        <w:t>for information and feedback.</w:t>
      </w:r>
      <w:r w:rsidR="00494111" w:rsidRPr="008D5860">
        <w:rPr>
          <w:rFonts w:ascii="Segoe UI" w:hAnsi="Segoe UI" w:cs="Segoe UI"/>
          <w:i/>
          <w:sz w:val="22"/>
          <w:szCs w:val="22"/>
        </w:rPr>
        <w:t xml:space="preserve"> The Executive Summary will also be provided</w:t>
      </w:r>
      <w:r w:rsidR="00F076E3">
        <w:rPr>
          <w:rFonts w:ascii="Segoe UI" w:hAnsi="Segoe UI" w:cs="Segoe UI"/>
          <w:i/>
          <w:sz w:val="22"/>
          <w:szCs w:val="22"/>
        </w:rPr>
        <w:t xml:space="preserve"> </w:t>
      </w:r>
      <w:r w:rsidR="00494111" w:rsidRPr="008D5860">
        <w:rPr>
          <w:rFonts w:ascii="Segoe UI" w:hAnsi="Segoe UI" w:cs="Segoe UI"/>
          <w:i/>
          <w:sz w:val="22"/>
          <w:szCs w:val="22"/>
        </w:rPr>
        <w:t xml:space="preserve">to Fleming College’s Board of Governors. </w:t>
      </w:r>
    </w:p>
    <w:p w:rsidR="000D2749" w:rsidRDefault="000D2749" w:rsidP="000D2749">
      <w:pPr>
        <w:tabs>
          <w:tab w:val="center" w:pos="4680"/>
        </w:tabs>
        <w:rPr>
          <w:rFonts w:ascii="Segoe UI" w:hAnsi="Segoe UI" w:cs="Segoe UI"/>
          <w:i/>
          <w:sz w:val="22"/>
          <w:szCs w:val="22"/>
        </w:rPr>
      </w:pPr>
    </w:p>
    <w:p w:rsidR="005243B5" w:rsidRPr="008D5860" w:rsidRDefault="005243B5" w:rsidP="000D2749">
      <w:pPr>
        <w:tabs>
          <w:tab w:val="center" w:pos="4680"/>
        </w:tabs>
        <w:rPr>
          <w:rFonts w:ascii="Segoe UI" w:hAnsi="Segoe UI" w:cs="Segoe UI"/>
          <w:sz w:val="16"/>
          <w:szCs w:val="16"/>
        </w:rPr>
      </w:pP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977"/>
        <w:gridCol w:w="8791"/>
      </w:tblGrid>
      <w:tr w:rsidR="008D5860" w:rsidRPr="008D5860" w:rsidTr="005243B5">
        <w:trPr>
          <w:trHeight w:val="311"/>
        </w:trPr>
        <w:tc>
          <w:tcPr>
            <w:tcW w:w="1977" w:type="dxa"/>
          </w:tcPr>
          <w:p w:rsidR="008D5860" w:rsidRPr="008D5860" w:rsidRDefault="008D5860" w:rsidP="00233A93">
            <w:pPr>
              <w:tabs>
                <w:tab w:val="center" w:pos="4680"/>
              </w:tabs>
              <w:rPr>
                <w:rFonts w:ascii="Segoe UI" w:hAnsi="Segoe UI" w:cs="Segoe UI"/>
                <w:sz w:val="22"/>
                <w:szCs w:val="22"/>
              </w:rPr>
            </w:pPr>
            <w:r w:rsidRPr="008D5860">
              <w:rPr>
                <w:rFonts w:ascii="Segoe UI" w:hAnsi="Segoe UI" w:cs="Segoe UI"/>
                <w:sz w:val="22"/>
                <w:szCs w:val="22"/>
              </w:rPr>
              <w:t>Subject:</w:t>
            </w:r>
          </w:p>
        </w:tc>
        <w:tc>
          <w:tcPr>
            <w:tcW w:w="8791" w:type="dxa"/>
          </w:tcPr>
          <w:p w:rsidR="008D5860" w:rsidRPr="005243B5" w:rsidRDefault="00FB6221" w:rsidP="00233A93">
            <w:pPr>
              <w:tabs>
                <w:tab w:val="center" w:pos="4680"/>
              </w:tabs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School of Environmental &amp; Natural Resource Sciences</w:t>
            </w:r>
            <w:r w:rsidR="005243B5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="008D5860" w:rsidRPr="005243B5">
              <w:rPr>
                <w:rFonts w:ascii="Segoe UI" w:hAnsi="Segoe UI" w:cs="Segoe UI"/>
                <w:sz w:val="22"/>
                <w:szCs w:val="22"/>
              </w:rPr>
              <w:t xml:space="preserve">Program Review Report </w:t>
            </w:r>
          </w:p>
        </w:tc>
      </w:tr>
      <w:tr w:rsidR="000D2749" w:rsidRPr="008D5860" w:rsidTr="005243B5">
        <w:tc>
          <w:tcPr>
            <w:tcW w:w="1977" w:type="dxa"/>
          </w:tcPr>
          <w:p w:rsidR="000D2749" w:rsidRPr="008D5860" w:rsidRDefault="005243B5" w:rsidP="00233A93">
            <w:pPr>
              <w:tabs>
                <w:tab w:val="center" w:pos="4680"/>
              </w:tabs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Program Name:</w:t>
            </w:r>
          </w:p>
        </w:tc>
        <w:tc>
          <w:tcPr>
            <w:tcW w:w="8791" w:type="dxa"/>
          </w:tcPr>
          <w:p w:rsidR="000D2749" w:rsidRPr="008D5860" w:rsidRDefault="00FB6221" w:rsidP="005243B5">
            <w:pPr>
              <w:tabs>
                <w:tab w:val="center" w:pos="4680"/>
              </w:tabs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Blasting Techniques</w:t>
            </w:r>
            <w:r w:rsidR="007077F2">
              <w:rPr>
                <w:rFonts w:ascii="Segoe UI" w:hAnsi="Segoe UI" w:cs="Segoe UI"/>
                <w:sz w:val="22"/>
                <w:szCs w:val="22"/>
              </w:rPr>
              <w:t xml:space="preserve"> Certificate</w:t>
            </w:r>
          </w:p>
        </w:tc>
      </w:tr>
      <w:tr w:rsidR="005243B5" w:rsidRPr="008D5860" w:rsidTr="005243B5">
        <w:tc>
          <w:tcPr>
            <w:tcW w:w="1977" w:type="dxa"/>
          </w:tcPr>
          <w:p w:rsidR="005243B5" w:rsidRPr="008D5860" w:rsidRDefault="005243B5" w:rsidP="00233A93">
            <w:pPr>
              <w:tabs>
                <w:tab w:val="center" w:pos="4680"/>
              </w:tabs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Presented By:</w:t>
            </w:r>
          </w:p>
        </w:tc>
        <w:tc>
          <w:tcPr>
            <w:tcW w:w="8791" w:type="dxa"/>
          </w:tcPr>
          <w:p w:rsidR="005243B5" w:rsidRPr="008D5860" w:rsidRDefault="00FB6221" w:rsidP="00233A93">
            <w:pPr>
              <w:tabs>
                <w:tab w:val="center" w:pos="4680"/>
              </w:tabs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Linda Skilton</w:t>
            </w:r>
            <w:bookmarkStart w:id="0" w:name="_GoBack"/>
            <w:bookmarkEnd w:id="0"/>
          </w:p>
        </w:tc>
      </w:tr>
      <w:tr w:rsidR="000D2749" w:rsidRPr="008D5860" w:rsidTr="005243B5">
        <w:tc>
          <w:tcPr>
            <w:tcW w:w="1977" w:type="dxa"/>
          </w:tcPr>
          <w:p w:rsidR="000D2749" w:rsidRPr="008D5860" w:rsidRDefault="000D2749" w:rsidP="00233A93">
            <w:pPr>
              <w:tabs>
                <w:tab w:val="center" w:pos="4680"/>
              </w:tabs>
              <w:rPr>
                <w:rFonts w:ascii="Segoe UI" w:hAnsi="Segoe UI" w:cs="Segoe UI"/>
                <w:sz w:val="22"/>
                <w:szCs w:val="22"/>
              </w:rPr>
            </w:pPr>
            <w:r w:rsidRPr="008D5860">
              <w:rPr>
                <w:rFonts w:ascii="Segoe UI" w:hAnsi="Segoe UI" w:cs="Segoe UI"/>
                <w:sz w:val="22"/>
                <w:szCs w:val="22"/>
              </w:rPr>
              <w:t>Action:</w:t>
            </w:r>
          </w:p>
        </w:tc>
        <w:tc>
          <w:tcPr>
            <w:tcW w:w="8791" w:type="dxa"/>
          </w:tcPr>
          <w:p w:rsidR="000D2749" w:rsidRPr="008D5860" w:rsidRDefault="000D2749" w:rsidP="00233A93">
            <w:pPr>
              <w:tabs>
                <w:tab w:val="center" w:pos="4680"/>
              </w:tabs>
              <w:rPr>
                <w:rFonts w:ascii="Segoe UI" w:hAnsi="Segoe UI" w:cs="Segoe UI"/>
                <w:smallCaps/>
                <w:sz w:val="22"/>
                <w:szCs w:val="22"/>
              </w:rPr>
            </w:pPr>
            <w:r w:rsidRPr="008D5860">
              <w:rPr>
                <w:rFonts w:ascii="Segoe UI" w:hAnsi="Segoe UI" w:cs="Segoe UI"/>
                <w:sz w:val="22"/>
                <w:szCs w:val="22"/>
              </w:rPr>
              <w:t xml:space="preserve">For Discussion / Information  </w:t>
            </w:r>
          </w:p>
        </w:tc>
      </w:tr>
    </w:tbl>
    <w:p w:rsidR="008D5860" w:rsidRPr="008D5860" w:rsidRDefault="008D5860" w:rsidP="000D2749">
      <w:pPr>
        <w:tabs>
          <w:tab w:val="left" w:pos="-1440"/>
        </w:tabs>
        <w:rPr>
          <w:rFonts w:ascii="Segoe UI" w:hAnsi="Segoe UI" w:cs="Segoe UI"/>
          <w:sz w:val="22"/>
          <w:szCs w:val="22"/>
        </w:rPr>
      </w:pPr>
    </w:p>
    <w:p w:rsidR="000D2749" w:rsidRPr="008D5860" w:rsidRDefault="000D2749" w:rsidP="007861A9">
      <w:pPr>
        <w:shd w:val="pct10" w:color="auto" w:fill="auto"/>
        <w:tabs>
          <w:tab w:val="left" w:pos="-1440"/>
        </w:tabs>
        <w:rPr>
          <w:rFonts w:ascii="Segoe UI" w:hAnsi="Segoe UI" w:cs="Segoe UI"/>
          <w:sz w:val="22"/>
          <w:szCs w:val="22"/>
        </w:rPr>
      </w:pPr>
      <w:r w:rsidRPr="008D5860">
        <w:rPr>
          <w:rFonts w:ascii="Segoe UI" w:hAnsi="Segoe UI" w:cs="Segoe UI"/>
          <w:sz w:val="22"/>
          <w:szCs w:val="22"/>
        </w:rPr>
        <w:t>SOURCE</w:t>
      </w:r>
    </w:p>
    <w:p w:rsidR="00C84D56" w:rsidRDefault="00C84D56" w:rsidP="00C84D56">
      <w:pPr>
        <w:pStyle w:val="ListParagraph"/>
        <w:numPr>
          <w:ilvl w:val="0"/>
          <w:numId w:val="5"/>
        </w:numPr>
        <w:tabs>
          <w:tab w:val="left" w:pos="-1440"/>
          <w:tab w:val="left" w:pos="18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Fleming College’s </w:t>
      </w:r>
      <w:r w:rsidRPr="00C84D56">
        <w:rPr>
          <w:rFonts w:ascii="Segoe UI" w:hAnsi="Segoe UI" w:cs="Segoe UI"/>
          <w:sz w:val="22"/>
          <w:szCs w:val="22"/>
        </w:rPr>
        <w:t>Curriculum Renewal and Program Review</w:t>
      </w:r>
      <w:r>
        <w:rPr>
          <w:rFonts w:ascii="Segoe UI" w:hAnsi="Segoe UI" w:cs="Segoe UI"/>
          <w:sz w:val="22"/>
          <w:szCs w:val="22"/>
        </w:rPr>
        <w:t xml:space="preserve"> (College Policy 2-207)</w:t>
      </w:r>
    </w:p>
    <w:p w:rsidR="00C84D56" w:rsidRPr="00C84D56" w:rsidRDefault="00C84D56" w:rsidP="00C84D56">
      <w:pPr>
        <w:pStyle w:val="ListParagraph"/>
        <w:numPr>
          <w:ilvl w:val="0"/>
          <w:numId w:val="5"/>
        </w:numPr>
        <w:tabs>
          <w:tab w:val="left" w:pos="-1440"/>
          <w:tab w:val="left" w:pos="18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Fleming College’s</w:t>
      </w:r>
      <w:r w:rsidRPr="008D5860">
        <w:rPr>
          <w:rFonts w:ascii="Segoe UI" w:hAnsi="Segoe UI" w:cs="Segoe UI"/>
          <w:sz w:val="22"/>
          <w:szCs w:val="22"/>
        </w:rPr>
        <w:t xml:space="preserve"> Quality Assura</w:t>
      </w:r>
      <w:r>
        <w:rPr>
          <w:rFonts w:ascii="Segoe UI" w:hAnsi="Segoe UI" w:cs="Segoe UI"/>
          <w:sz w:val="22"/>
          <w:szCs w:val="22"/>
        </w:rPr>
        <w:t>nce Policy (College Policy 2-213</w:t>
      </w:r>
      <w:r w:rsidRPr="008D5860">
        <w:rPr>
          <w:rFonts w:ascii="Segoe UI" w:hAnsi="Segoe UI" w:cs="Segoe UI"/>
          <w:sz w:val="22"/>
          <w:szCs w:val="22"/>
        </w:rPr>
        <w:t>)</w:t>
      </w:r>
    </w:p>
    <w:p w:rsidR="000D2749" w:rsidRDefault="00502B70" w:rsidP="00B570B5">
      <w:pPr>
        <w:pStyle w:val="ListParagraph"/>
        <w:numPr>
          <w:ilvl w:val="0"/>
          <w:numId w:val="5"/>
        </w:numPr>
        <w:tabs>
          <w:tab w:val="left" w:pos="-1440"/>
          <w:tab w:val="left" w:pos="180"/>
        </w:tabs>
        <w:rPr>
          <w:rFonts w:ascii="Segoe UI" w:hAnsi="Segoe UI" w:cs="Segoe UI"/>
          <w:sz w:val="22"/>
          <w:szCs w:val="22"/>
        </w:rPr>
      </w:pPr>
      <w:r w:rsidRPr="008D5860">
        <w:rPr>
          <w:rFonts w:ascii="Segoe UI" w:hAnsi="Segoe UI" w:cs="Segoe UI"/>
          <w:sz w:val="22"/>
          <w:szCs w:val="22"/>
        </w:rPr>
        <w:t>Board of Gove</w:t>
      </w:r>
      <w:r w:rsidR="008D5860" w:rsidRPr="008D5860">
        <w:rPr>
          <w:rFonts w:ascii="Segoe UI" w:hAnsi="Segoe UI" w:cs="Segoe UI"/>
          <w:sz w:val="22"/>
          <w:szCs w:val="22"/>
        </w:rPr>
        <w:t>rnors By</w:t>
      </w:r>
      <w:r w:rsidR="008D5860">
        <w:rPr>
          <w:rFonts w:ascii="Segoe UI" w:hAnsi="Segoe UI" w:cs="Segoe UI"/>
          <w:sz w:val="22"/>
          <w:szCs w:val="22"/>
        </w:rPr>
        <w:t>-</w:t>
      </w:r>
      <w:r w:rsidR="00C84D56">
        <w:rPr>
          <w:rFonts w:ascii="Segoe UI" w:hAnsi="Segoe UI" w:cs="Segoe UI"/>
          <w:sz w:val="22"/>
          <w:szCs w:val="22"/>
        </w:rPr>
        <w:t>law (1-102 - reference section 39.6</w:t>
      </w:r>
      <w:r w:rsidR="008D5860" w:rsidRPr="008D5860">
        <w:rPr>
          <w:rFonts w:ascii="Segoe UI" w:hAnsi="Segoe UI" w:cs="Segoe UI"/>
          <w:sz w:val="22"/>
          <w:szCs w:val="22"/>
        </w:rPr>
        <w:t>)</w:t>
      </w:r>
    </w:p>
    <w:p w:rsidR="008D5860" w:rsidRPr="008D5860" w:rsidRDefault="008D5860" w:rsidP="008D5860">
      <w:pPr>
        <w:pStyle w:val="ListParagraph"/>
        <w:numPr>
          <w:ilvl w:val="0"/>
          <w:numId w:val="5"/>
        </w:numPr>
        <w:tabs>
          <w:tab w:val="left" w:pos="-1440"/>
          <w:tab w:val="left" w:pos="180"/>
        </w:tabs>
        <w:rPr>
          <w:rFonts w:ascii="Segoe UI" w:hAnsi="Segoe UI" w:cs="Segoe UI"/>
          <w:sz w:val="22"/>
          <w:szCs w:val="22"/>
        </w:rPr>
      </w:pPr>
      <w:r w:rsidRPr="008D5860">
        <w:rPr>
          <w:rFonts w:ascii="Segoe UI" w:hAnsi="Segoe UI" w:cs="Segoe UI"/>
          <w:sz w:val="22"/>
          <w:szCs w:val="22"/>
        </w:rPr>
        <w:t xml:space="preserve">Academic Council Terms of Reference </w:t>
      </w:r>
      <w:r>
        <w:rPr>
          <w:rFonts w:ascii="Segoe UI" w:hAnsi="Segoe UI" w:cs="Segoe UI"/>
          <w:sz w:val="22"/>
          <w:szCs w:val="22"/>
        </w:rPr>
        <w:t>(</w:t>
      </w:r>
      <w:r w:rsidRPr="008D5860">
        <w:rPr>
          <w:rFonts w:ascii="Segoe UI" w:hAnsi="Segoe UI" w:cs="Segoe UI"/>
          <w:sz w:val="22"/>
          <w:szCs w:val="22"/>
        </w:rPr>
        <w:t>https://department.flemingcollege.ca/vpa/academic-council/terms-of-reference/</w:t>
      </w:r>
      <w:r>
        <w:rPr>
          <w:rFonts w:ascii="Segoe UI" w:hAnsi="Segoe UI" w:cs="Segoe UI"/>
          <w:sz w:val="22"/>
          <w:szCs w:val="22"/>
        </w:rPr>
        <w:t>)</w:t>
      </w:r>
    </w:p>
    <w:p w:rsidR="008D5860" w:rsidRPr="008D5860" w:rsidRDefault="008D5860" w:rsidP="008D5860">
      <w:pPr>
        <w:tabs>
          <w:tab w:val="left" w:pos="-1440"/>
          <w:tab w:val="left" w:pos="180"/>
        </w:tabs>
        <w:rPr>
          <w:rFonts w:ascii="Segoe UI" w:hAnsi="Segoe UI" w:cs="Segoe UI"/>
          <w:sz w:val="22"/>
          <w:szCs w:val="22"/>
        </w:rPr>
      </w:pPr>
    </w:p>
    <w:p w:rsidR="008D5860" w:rsidRPr="008D5860" w:rsidRDefault="008D5860" w:rsidP="008D5860">
      <w:pPr>
        <w:tabs>
          <w:tab w:val="left" w:pos="-1440"/>
          <w:tab w:val="left" w:pos="18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Reference </w:t>
      </w:r>
      <w:r w:rsidRPr="008D5860">
        <w:rPr>
          <w:rFonts w:ascii="Segoe UI" w:hAnsi="Segoe UI" w:cs="Segoe UI"/>
          <w:sz w:val="22"/>
          <w:szCs w:val="22"/>
        </w:rPr>
        <w:t>Documents</w:t>
      </w:r>
    </w:p>
    <w:p w:rsidR="008D5860" w:rsidRPr="008D5860" w:rsidRDefault="008D5860" w:rsidP="008D5860">
      <w:pPr>
        <w:pStyle w:val="ListParagraph"/>
        <w:numPr>
          <w:ilvl w:val="0"/>
          <w:numId w:val="6"/>
        </w:numPr>
        <w:tabs>
          <w:tab w:val="left" w:pos="-1440"/>
          <w:tab w:val="left" w:pos="180"/>
        </w:tabs>
        <w:rPr>
          <w:rFonts w:ascii="Segoe UI" w:hAnsi="Segoe UI" w:cs="Segoe UI"/>
          <w:sz w:val="22"/>
          <w:szCs w:val="22"/>
        </w:rPr>
      </w:pPr>
      <w:r w:rsidRPr="008D5860">
        <w:rPr>
          <w:rFonts w:ascii="Segoe UI" w:hAnsi="Segoe UI" w:cs="Segoe UI"/>
          <w:sz w:val="22"/>
          <w:szCs w:val="22"/>
        </w:rPr>
        <w:t>Ministry of Training Colleges and Universities: Minister’s Binding Policy Directive, Framework for</w:t>
      </w:r>
    </w:p>
    <w:p w:rsidR="008D5860" w:rsidRPr="008D5860" w:rsidRDefault="008D5860" w:rsidP="008D5860">
      <w:pPr>
        <w:pStyle w:val="ListParagraph"/>
        <w:tabs>
          <w:tab w:val="left" w:pos="-1440"/>
          <w:tab w:val="left" w:pos="180"/>
        </w:tabs>
        <w:rPr>
          <w:rFonts w:ascii="Segoe UI" w:hAnsi="Segoe UI" w:cs="Segoe UI"/>
          <w:sz w:val="22"/>
          <w:szCs w:val="22"/>
        </w:rPr>
      </w:pPr>
      <w:r w:rsidRPr="008D5860">
        <w:rPr>
          <w:rFonts w:ascii="Segoe UI" w:hAnsi="Segoe UI" w:cs="Segoe UI"/>
          <w:sz w:val="22"/>
          <w:szCs w:val="22"/>
        </w:rPr>
        <w:t>Programs of Instruction http://www.accc.ca/ftp/es-ce/MTCUCollegeFramework.pdf</w:t>
      </w:r>
    </w:p>
    <w:p w:rsidR="008D5860" w:rsidRPr="008D5860" w:rsidRDefault="008D5860" w:rsidP="008D5860">
      <w:pPr>
        <w:pStyle w:val="ListParagraph"/>
        <w:numPr>
          <w:ilvl w:val="0"/>
          <w:numId w:val="6"/>
        </w:numPr>
        <w:tabs>
          <w:tab w:val="left" w:pos="-1440"/>
          <w:tab w:val="left" w:pos="180"/>
        </w:tabs>
        <w:rPr>
          <w:rFonts w:ascii="Segoe UI" w:hAnsi="Segoe UI" w:cs="Segoe UI"/>
          <w:sz w:val="22"/>
          <w:szCs w:val="22"/>
        </w:rPr>
      </w:pPr>
      <w:r w:rsidRPr="008D5860">
        <w:rPr>
          <w:rFonts w:ascii="Segoe UI" w:hAnsi="Segoe UI" w:cs="Segoe UI"/>
          <w:sz w:val="22"/>
          <w:szCs w:val="22"/>
        </w:rPr>
        <w:t>Guidelines for the Program Review and Curriculum Renewal process and templates are located on the Centre for Learning and Teaching Website. http://flemingclt.ca</w:t>
      </w:r>
    </w:p>
    <w:p w:rsidR="008D5860" w:rsidRPr="008D5860" w:rsidRDefault="008D5860" w:rsidP="008D5860">
      <w:pPr>
        <w:pStyle w:val="ListParagraph"/>
        <w:numPr>
          <w:ilvl w:val="0"/>
          <w:numId w:val="6"/>
        </w:numPr>
        <w:tabs>
          <w:tab w:val="left" w:pos="-1440"/>
          <w:tab w:val="left" w:pos="180"/>
        </w:tabs>
        <w:rPr>
          <w:rFonts w:ascii="Segoe UI" w:hAnsi="Segoe UI" w:cs="Segoe UI"/>
          <w:sz w:val="22"/>
          <w:szCs w:val="22"/>
        </w:rPr>
      </w:pPr>
      <w:r w:rsidRPr="008D5860">
        <w:rPr>
          <w:rFonts w:ascii="Segoe UI" w:hAnsi="Segoe UI" w:cs="Segoe UI"/>
          <w:sz w:val="22"/>
          <w:szCs w:val="22"/>
        </w:rPr>
        <w:t>Ontario College Quality Assurance Service - http://www.ocqas.org</w:t>
      </w:r>
      <w:r w:rsidRPr="008D5860">
        <w:rPr>
          <w:rFonts w:ascii="Segoe UI" w:hAnsi="Segoe UI" w:cs="Segoe UI"/>
          <w:sz w:val="22"/>
          <w:szCs w:val="22"/>
        </w:rPr>
        <w:cr/>
      </w:r>
    </w:p>
    <w:p w:rsidR="008D5860" w:rsidRPr="008D5860" w:rsidRDefault="008D5860" w:rsidP="008D5860">
      <w:pPr>
        <w:tabs>
          <w:tab w:val="left" w:pos="-1440"/>
          <w:tab w:val="left" w:pos="180"/>
        </w:tabs>
        <w:rPr>
          <w:rFonts w:ascii="Segoe UI" w:hAnsi="Segoe UI" w:cs="Segoe UI"/>
          <w:sz w:val="22"/>
          <w:szCs w:val="22"/>
        </w:rPr>
      </w:pPr>
    </w:p>
    <w:p w:rsidR="000D2749" w:rsidRPr="008D5860" w:rsidRDefault="000D2749" w:rsidP="007861A9">
      <w:pPr>
        <w:shd w:val="pct10" w:color="auto" w:fill="auto"/>
        <w:tabs>
          <w:tab w:val="left" w:pos="-1440"/>
        </w:tabs>
        <w:rPr>
          <w:rFonts w:ascii="Segoe UI" w:hAnsi="Segoe UI" w:cs="Segoe UI"/>
          <w:sz w:val="22"/>
          <w:szCs w:val="22"/>
        </w:rPr>
      </w:pPr>
      <w:r w:rsidRPr="008D5860">
        <w:rPr>
          <w:rFonts w:ascii="Segoe UI" w:hAnsi="Segoe UI" w:cs="Segoe UI"/>
          <w:sz w:val="22"/>
          <w:szCs w:val="22"/>
        </w:rPr>
        <w:t xml:space="preserve">BACKGROUND </w:t>
      </w:r>
    </w:p>
    <w:p w:rsidR="000D2749" w:rsidRPr="008D5860" w:rsidRDefault="000D2749" w:rsidP="000D2749">
      <w:pPr>
        <w:tabs>
          <w:tab w:val="left" w:pos="-1440"/>
        </w:tabs>
        <w:rPr>
          <w:rFonts w:ascii="Segoe UI" w:hAnsi="Segoe UI" w:cs="Segoe UI"/>
          <w:sz w:val="22"/>
          <w:szCs w:val="22"/>
        </w:rPr>
      </w:pPr>
      <w:r w:rsidRPr="008D5860">
        <w:rPr>
          <w:rFonts w:ascii="Segoe UI" w:hAnsi="Segoe UI" w:cs="Segoe UI"/>
          <w:sz w:val="22"/>
          <w:szCs w:val="22"/>
        </w:rPr>
        <w:t>Flemin</w:t>
      </w:r>
      <w:r w:rsidR="00233A93" w:rsidRPr="008D5860">
        <w:rPr>
          <w:rFonts w:ascii="Segoe UI" w:hAnsi="Segoe UI" w:cs="Segoe UI"/>
          <w:sz w:val="22"/>
          <w:szCs w:val="22"/>
        </w:rPr>
        <w:t>g’s quality assurance process includes a two-staged process that includes</w:t>
      </w:r>
      <w:r w:rsidRPr="008D5860">
        <w:rPr>
          <w:rFonts w:ascii="Segoe UI" w:hAnsi="Segoe UI" w:cs="Segoe UI"/>
          <w:sz w:val="22"/>
          <w:szCs w:val="22"/>
        </w:rPr>
        <w:t>:  Curriculum Renewal (</w:t>
      </w:r>
      <w:r w:rsidR="00233A93" w:rsidRPr="008D5860">
        <w:rPr>
          <w:rFonts w:ascii="Segoe UI" w:hAnsi="Segoe UI" w:cs="Segoe UI"/>
          <w:sz w:val="22"/>
          <w:szCs w:val="22"/>
        </w:rPr>
        <w:t xml:space="preserve">conducted </w:t>
      </w:r>
      <w:r w:rsidRPr="008D5860">
        <w:rPr>
          <w:rFonts w:ascii="Segoe UI" w:hAnsi="Segoe UI" w:cs="Segoe UI"/>
          <w:sz w:val="22"/>
          <w:szCs w:val="22"/>
        </w:rPr>
        <w:t>annual</w:t>
      </w:r>
      <w:r w:rsidR="00233A93" w:rsidRPr="008D5860">
        <w:rPr>
          <w:rFonts w:ascii="Segoe UI" w:hAnsi="Segoe UI" w:cs="Segoe UI"/>
          <w:sz w:val="22"/>
          <w:szCs w:val="22"/>
        </w:rPr>
        <w:t>ly</w:t>
      </w:r>
      <w:r w:rsidRPr="008D5860">
        <w:rPr>
          <w:rFonts w:ascii="Segoe UI" w:hAnsi="Segoe UI" w:cs="Segoe UI"/>
          <w:sz w:val="22"/>
          <w:szCs w:val="22"/>
        </w:rPr>
        <w:t>) and Program Review (</w:t>
      </w:r>
      <w:r w:rsidR="00233A93" w:rsidRPr="008D5860">
        <w:rPr>
          <w:rFonts w:ascii="Segoe UI" w:hAnsi="Segoe UI" w:cs="Segoe UI"/>
          <w:sz w:val="22"/>
          <w:szCs w:val="22"/>
        </w:rPr>
        <w:t xml:space="preserve">conducted </w:t>
      </w:r>
      <w:r w:rsidRPr="008D5860">
        <w:rPr>
          <w:rFonts w:ascii="Segoe UI" w:hAnsi="Segoe UI" w:cs="Segoe UI"/>
          <w:sz w:val="22"/>
          <w:szCs w:val="22"/>
        </w:rPr>
        <w:t>every five years)</w:t>
      </w:r>
      <w:r w:rsidR="00233A93" w:rsidRPr="008D5860">
        <w:rPr>
          <w:rFonts w:ascii="Segoe UI" w:hAnsi="Segoe UI" w:cs="Segoe UI"/>
          <w:sz w:val="22"/>
          <w:szCs w:val="22"/>
        </w:rPr>
        <w:t>.  T</w:t>
      </w:r>
      <w:r w:rsidRPr="008D5860">
        <w:rPr>
          <w:rFonts w:ascii="Segoe UI" w:hAnsi="Segoe UI" w:cs="Segoe UI"/>
          <w:sz w:val="22"/>
          <w:szCs w:val="22"/>
        </w:rPr>
        <w:t xml:space="preserve">hese two internal processes are integrated so there is an </w:t>
      </w:r>
      <w:r w:rsidRPr="008D5860">
        <w:rPr>
          <w:rFonts w:ascii="Segoe UI" w:hAnsi="Segoe UI" w:cs="Segoe UI"/>
          <w:i/>
          <w:sz w:val="22"/>
          <w:szCs w:val="22"/>
        </w:rPr>
        <w:t>ongoing</w:t>
      </w:r>
      <w:r w:rsidRPr="008D5860">
        <w:rPr>
          <w:rFonts w:ascii="Segoe UI" w:hAnsi="Segoe UI" w:cs="Segoe UI"/>
          <w:sz w:val="22"/>
          <w:szCs w:val="22"/>
        </w:rPr>
        <w:t xml:space="preserve"> focus on curriculum quality.</w:t>
      </w:r>
    </w:p>
    <w:p w:rsidR="000D2749" w:rsidRPr="008D5860" w:rsidRDefault="000D2749" w:rsidP="000D2749">
      <w:pPr>
        <w:tabs>
          <w:tab w:val="left" w:pos="-1440"/>
        </w:tabs>
        <w:rPr>
          <w:rFonts w:ascii="Segoe UI" w:hAnsi="Segoe UI" w:cs="Segoe UI"/>
          <w:sz w:val="22"/>
          <w:szCs w:val="22"/>
        </w:rPr>
      </w:pPr>
    </w:p>
    <w:p w:rsidR="000D2749" w:rsidRPr="008D5860" w:rsidRDefault="000D2749" w:rsidP="000D2749">
      <w:pPr>
        <w:tabs>
          <w:tab w:val="left" w:pos="-1440"/>
        </w:tabs>
        <w:rPr>
          <w:rFonts w:ascii="Segoe UI" w:hAnsi="Segoe UI" w:cs="Segoe UI"/>
          <w:sz w:val="22"/>
          <w:szCs w:val="22"/>
        </w:rPr>
      </w:pPr>
      <w:r w:rsidRPr="008D5860">
        <w:rPr>
          <w:rFonts w:ascii="Segoe UI" w:hAnsi="Segoe UI" w:cs="Segoe UI"/>
          <w:sz w:val="22"/>
          <w:szCs w:val="22"/>
        </w:rPr>
        <w:t xml:space="preserve">The Program Review process is characterized by both depth and breadth of analysis.  </w:t>
      </w:r>
      <w:r w:rsidR="00233A93" w:rsidRPr="008D5860">
        <w:rPr>
          <w:rFonts w:ascii="Segoe UI" w:hAnsi="Segoe UI" w:cs="Segoe UI"/>
          <w:sz w:val="22"/>
          <w:szCs w:val="22"/>
        </w:rPr>
        <w:t>Program da</w:t>
      </w:r>
      <w:r w:rsidRPr="008D5860">
        <w:rPr>
          <w:rFonts w:ascii="Segoe UI" w:hAnsi="Segoe UI" w:cs="Segoe UI"/>
          <w:sz w:val="22"/>
          <w:szCs w:val="22"/>
        </w:rPr>
        <w:t xml:space="preserve">ta is collated, reviewed and assessed against given criteria, providing a measure of both the vitality and viability of each program.  </w:t>
      </w:r>
      <w:r w:rsidR="00DF00A7" w:rsidRPr="008D5860">
        <w:rPr>
          <w:rFonts w:ascii="Segoe UI" w:hAnsi="Segoe UI" w:cs="Segoe UI"/>
          <w:sz w:val="22"/>
          <w:szCs w:val="22"/>
        </w:rPr>
        <w:t>Based on this analysis, l</w:t>
      </w:r>
      <w:r w:rsidRPr="008D5860">
        <w:rPr>
          <w:rFonts w:ascii="Segoe UI" w:hAnsi="Segoe UI" w:cs="Segoe UI"/>
          <w:sz w:val="22"/>
          <w:szCs w:val="22"/>
        </w:rPr>
        <w:t>ong-term plans are then created to guide continuous curriculum improvement and build on the cumulative outcomes of annual curriculum renewal.  At the end of this process, a Program Review Panel (convened by the Dean) is charged with the responsibility of making recommendations concerning program viability as well as suggesting program/curriculum revisions.</w:t>
      </w:r>
    </w:p>
    <w:p w:rsidR="00DF00A7" w:rsidRPr="008D5860" w:rsidRDefault="00DF00A7" w:rsidP="000D2749">
      <w:pPr>
        <w:tabs>
          <w:tab w:val="left" w:pos="-1440"/>
        </w:tabs>
        <w:rPr>
          <w:rFonts w:ascii="Segoe UI" w:hAnsi="Segoe UI" w:cs="Segoe UI"/>
          <w:sz w:val="22"/>
          <w:szCs w:val="22"/>
        </w:rPr>
      </w:pPr>
    </w:p>
    <w:p w:rsidR="00DF00A7" w:rsidRPr="008D5860" w:rsidRDefault="00DF00A7" w:rsidP="000D2749">
      <w:pPr>
        <w:tabs>
          <w:tab w:val="left" w:pos="-1440"/>
        </w:tabs>
        <w:rPr>
          <w:rFonts w:ascii="Segoe UI" w:hAnsi="Segoe UI" w:cs="Segoe UI"/>
          <w:sz w:val="22"/>
          <w:szCs w:val="22"/>
        </w:rPr>
      </w:pPr>
      <w:r w:rsidRPr="008D5860">
        <w:rPr>
          <w:rFonts w:ascii="Segoe UI" w:hAnsi="Segoe UI" w:cs="Segoe UI"/>
          <w:sz w:val="22"/>
          <w:szCs w:val="22"/>
        </w:rPr>
        <w:t xml:space="preserve">In adhering to the mandate of the </w:t>
      </w:r>
      <w:r w:rsidR="00494111" w:rsidRPr="008D5860">
        <w:rPr>
          <w:rFonts w:ascii="Segoe UI" w:hAnsi="Segoe UI" w:cs="Segoe UI"/>
          <w:sz w:val="22"/>
          <w:szCs w:val="22"/>
        </w:rPr>
        <w:t xml:space="preserve">Academic Council </w:t>
      </w:r>
      <w:r w:rsidRPr="008D5860">
        <w:rPr>
          <w:rFonts w:ascii="Segoe UI" w:hAnsi="Segoe UI" w:cs="Segoe UI"/>
          <w:sz w:val="22"/>
          <w:szCs w:val="22"/>
        </w:rPr>
        <w:t xml:space="preserve">to receive reviews of existing programs of instruction, the Executive Summary </w:t>
      </w:r>
      <w:r w:rsidR="00373D5B" w:rsidRPr="008D5860">
        <w:rPr>
          <w:rFonts w:ascii="Segoe UI" w:hAnsi="Segoe UI" w:cs="Segoe UI"/>
          <w:sz w:val="22"/>
          <w:szCs w:val="22"/>
        </w:rPr>
        <w:t>for</w:t>
      </w:r>
      <w:r w:rsidR="00513C50">
        <w:rPr>
          <w:rFonts w:ascii="Segoe UI" w:hAnsi="Segoe UI" w:cs="Segoe UI"/>
          <w:sz w:val="22"/>
          <w:szCs w:val="22"/>
        </w:rPr>
        <w:t xml:space="preserve"> the School of </w:t>
      </w:r>
      <w:r w:rsidR="00FB6221" w:rsidRPr="00FB6221">
        <w:rPr>
          <w:rFonts w:ascii="Segoe UI" w:hAnsi="Segoe UI" w:cs="Segoe UI"/>
          <w:sz w:val="22"/>
          <w:szCs w:val="22"/>
        </w:rPr>
        <w:t xml:space="preserve">Environmental &amp; Natural Resource Sciences </w:t>
      </w:r>
      <w:r w:rsidRPr="008D5860">
        <w:rPr>
          <w:rFonts w:ascii="Segoe UI" w:hAnsi="Segoe UI" w:cs="Segoe UI"/>
          <w:sz w:val="22"/>
          <w:szCs w:val="22"/>
        </w:rPr>
        <w:t xml:space="preserve">is hereby provided, for the </w:t>
      </w:r>
      <w:r w:rsidR="00494111" w:rsidRPr="008D5860">
        <w:rPr>
          <w:rFonts w:ascii="Segoe UI" w:hAnsi="Segoe UI" w:cs="Segoe UI"/>
          <w:sz w:val="22"/>
          <w:szCs w:val="22"/>
        </w:rPr>
        <w:t>Council’s</w:t>
      </w:r>
      <w:r w:rsidRPr="008D5860">
        <w:rPr>
          <w:rFonts w:ascii="Segoe UI" w:hAnsi="Segoe UI" w:cs="Segoe UI"/>
          <w:sz w:val="22"/>
          <w:szCs w:val="22"/>
        </w:rPr>
        <w:t xml:space="preserve"> information.</w:t>
      </w:r>
    </w:p>
    <w:p w:rsidR="008D5860" w:rsidRPr="008D5860" w:rsidRDefault="008D5860" w:rsidP="000D2749">
      <w:pPr>
        <w:tabs>
          <w:tab w:val="left" w:pos="-1440"/>
        </w:tabs>
        <w:rPr>
          <w:rFonts w:ascii="Segoe UI" w:hAnsi="Segoe UI" w:cs="Segoe UI"/>
          <w:sz w:val="22"/>
          <w:szCs w:val="22"/>
        </w:rPr>
      </w:pPr>
    </w:p>
    <w:p w:rsidR="000D2749" w:rsidRPr="008D5860" w:rsidRDefault="00233A93" w:rsidP="007861A9">
      <w:pPr>
        <w:shd w:val="pct10" w:color="auto" w:fill="auto"/>
        <w:tabs>
          <w:tab w:val="left" w:pos="-1440"/>
        </w:tabs>
        <w:rPr>
          <w:rFonts w:ascii="Segoe UI" w:hAnsi="Segoe UI" w:cs="Segoe UI"/>
          <w:sz w:val="22"/>
          <w:szCs w:val="22"/>
        </w:rPr>
      </w:pPr>
      <w:r w:rsidRPr="008D5860">
        <w:rPr>
          <w:rFonts w:ascii="Segoe UI" w:hAnsi="Segoe UI" w:cs="Segoe UI"/>
          <w:sz w:val="22"/>
          <w:szCs w:val="22"/>
        </w:rPr>
        <w:t>PROGRAM STRENGTHS</w:t>
      </w:r>
    </w:p>
    <w:p w:rsidR="00555B74" w:rsidRDefault="00E17720" w:rsidP="000D2749">
      <w:pPr>
        <w:tabs>
          <w:tab w:val="left" w:pos="-1440"/>
        </w:tabs>
        <w:rPr>
          <w:rFonts w:ascii="Segoe UI" w:hAnsi="Segoe UI" w:cs="Segoe UI"/>
          <w:sz w:val="22"/>
          <w:szCs w:val="22"/>
        </w:rPr>
      </w:pPr>
      <w:r w:rsidRPr="00E17720">
        <w:rPr>
          <w:rFonts w:ascii="Segoe UI" w:hAnsi="Segoe UI" w:cs="Segoe UI"/>
          <w:sz w:val="22"/>
          <w:szCs w:val="22"/>
        </w:rPr>
        <w:t>Fleming's Blasting Techniques</w:t>
      </w:r>
      <w:r>
        <w:rPr>
          <w:rFonts w:ascii="Segoe UI" w:hAnsi="Segoe UI" w:cs="Segoe UI"/>
          <w:sz w:val="22"/>
          <w:szCs w:val="22"/>
        </w:rPr>
        <w:t xml:space="preserve"> </w:t>
      </w:r>
      <w:r w:rsidRPr="00E17720">
        <w:rPr>
          <w:rFonts w:ascii="Segoe UI" w:hAnsi="Segoe UI" w:cs="Segoe UI"/>
          <w:sz w:val="22"/>
          <w:szCs w:val="22"/>
        </w:rPr>
        <w:t xml:space="preserve">certificate </w:t>
      </w:r>
      <w:r>
        <w:rPr>
          <w:rFonts w:ascii="Segoe UI" w:hAnsi="Segoe UI" w:cs="Segoe UI"/>
          <w:sz w:val="22"/>
          <w:szCs w:val="22"/>
        </w:rPr>
        <w:t xml:space="preserve">program provides graduates with several </w:t>
      </w:r>
      <w:r w:rsidRPr="00E17720">
        <w:rPr>
          <w:rFonts w:ascii="Segoe UI" w:hAnsi="Segoe UI" w:cs="Segoe UI"/>
          <w:sz w:val="22"/>
          <w:szCs w:val="22"/>
        </w:rPr>
        <w:t xml:space="preserve">advantages </w:t>
      </w:r>
      <w:r>
        <w:rPr>
          <w:rFonts w:ascii="Segoe UI" w:hAnsi="Segoe UI" w:cs="Segoe UI"/>
          <w:sz w:val="22"/>
          <w:szCs w:val="22"/>
        </w:rPr>
        <w:t>including common core training as required by the Ministry of Labo</w:t>
      </w:r>
      <w:r w:rsidR="00555B74">
        <w:rPr>
          <w:rFonts w:ascii="Segoe UI" w:hAnsi="Segoe UI" w:cs="Segoe UI"/>
          <w:sz w:val="22"/>
          <w:szCs w:val="22"/>
        </w:rPr>
        <w:t xml:space="preserve">ur to enter most blasting sites and an option to </w:t>
      </w:r>
      <w:r>
        <w:rPr>
          <w:rFonts w:ascii="Segoe UI" w:hAnsi="Segoe UI" w:cs="Segoe UI"/>
          <w:sz w:val="22"/>
          <w:szCs w:val="22"/>
        </w:rPr>
        <w:t xml:space="preserve">certify with the </w:t>
      </w:r>
      <w:r w:rsidRPr="00E17720">
        <w:rPr>
          <w:rFonts w:ascii="Segoe UI" w:hAnsi="Segoe UI" w:cs="Segoe UI"/>
          <w:sz w:val="22"/>
          <w:szCs w:val="22"/>
        </w:rPr>
        <w:t>International Society of Explosives Engineers (ISEE) in Quarrying, Basic Construction Blasting, and the Fundamentals of Blasting (Level One).</w:t>
      </w:r>
      <w:r w:rsidR="00555B74">
        <w:rPr>
          <w:rFonts w:ascii="Segoe UI" w:hAnsi="Segoe UI" w:cs="Segoe UI"/>
          <w:sz w:val="22"/>
          <w:szCs w:val="22"/>
        </w:rPr>
        <w:t xml:space="preserve"> </w:t>
      </w:r>
      <w:r>
        <w:rPr>
          <w:rFonts w:ascii="Segoe UI" w:hAnsi="Segoe UI" w:cs="Segoe UI"/>
          <w:sz w:val="22"/>
          <w:szCs w:val="22"/>
        </w:rPr>
        <w:t xml:space="preserve">Graduates can also </w:t>
      </w:r>
      <w:r w:rsidRPr="00E17720">
        <w:rPr>
          <w:rFonts w:ascii="Segoe UI" w:hAnsi="Segoe UI" w:cs="Segoe UI"/>
          <w:sz w:val="22"/>
          <w:szCs w:val="22"/>
        </w:rPr>
        <w:t xml:space="preserve">expand </w:t>
      </w:r>
      <w:r>
        <w:rPr>
          <w:rFonts w:ascii="Segoe UI" w:hAnsi="Segoe UI" w:cs="Segoe UI"/>
          <w:sz w:val="22"/>
          <w:szCs w:val="22"/>
        </w:rPr>
        <w:t xml:space="preserve">their </w:t>
      </w:r>
      <w:r w:rsidRPr="00E17720">
        <w:rPr>
          <w:rFonts w:ascii="Segoe UI" w:hAnsi="Segoe UI" w:cs="Segoe UI"/>
          <w:sz w:val="22"/>
          <w:szCs w:val="22"/>
        </w:rPr>
        <w:t xml:space="preserve">career and job opportunities by continuing </w:t>
      </w:r>
      <w:r w:rsidR="00555B74">
        <w:rPr>
          <w:rFonts w:ascii="Segoe UI" w:hAnsi="Segoe UI" w:cs="Segoe UI"/>
          <w:sz w:val="22"/>
          <w:szCs w:val="22"/>
        </w:rPr>
        <w:t>in</w:t>
      </w:r>
      <w:r w:rsidRPr="00E17720">
        <w:rPr>
          <w:rFonts w:ascii="Segoe UI" w:hAnsi="Segoe UI" w:cs="Segoe UI"/>
          <w:sz w:val="22"/>
          <w:szCs w:val="22"/>
        </w:rPr>
        <w:t xml:space="preserve"> </w:t>
      </w:r>
      <w:r w:rsidR="00555B74">
        <w:rPr>
          <w:rFonts w:ascii="Segoe UI" w:hAnsi="Segoe UI" w:cs="Segoe UI"/>
          <w:sz w:val="22"/>
          <w:szCs w:val="22"/>
        </w:rPr>
        <w:t>Fleming’s</w:t>
      </w:r>
      <w:r w:rsidRPr="00E17720">
        <w:rPr>
          <w:rFonts w:ascii="Segoe UI" w:hAnsi="Segoe UI" w:cs="Segoe UI"/>
          <w:sz w:val="22"/>
          <w:szCs w:val="22"/>
        </w:rPr>
        <w:t xml:space="preserve"> Resources Drilling and Blasting Technician diploma program</w:t>
      </w:r>
      <w:r w:rsidR="00555B74">
        <w:rPr>
          <w:rFonts w:ascii="Segoe UI" w:hAnsi="Segoe UI" w:cs="Segoe UI"/>
          <w:sz w:val="22"/>
          <w:szCs w:val="22"/>
        </w:rPr>
        <w:t xml:space="preserve"> through </w:t>
      </w:r>
      <w:r w:rsidRPr="00E17720">
        <w:rPr>
          <w:rFonts w:ascii="Segoe UI" w:hAnsi="Segoe UI" w:cs="Segoe UI"/>
          <w:sz w:val="22"/>
          <w:szCs w:val="22"/>
        </w:rPr>
        <w:t>direct entry into the program's second semester.</w:t>
      </w:r>
      <w:r w:rsidR="00555B74">
        <w:rPr>
          <w:rFonts w:ascii="Segoe UI" w:hAnsi="Segoe UI" w:cs="Segoe UI"/>
          <w:sz w:val="22"/>
          <w:szCs w:val="22"/>
        </w:rPr>
        <w:t xml:space="preserve"> </w:t>
      </w:r>
    </w:p>
    <w:p w:rsidR="00555B74" w:rsidRDefault="00555B74" w:rsidP="000D2749">
      <w:pPr>
        <w:tabs>
          <w:tab w:val="left" w:pos="-1440"/>
        </w:tabs>
        <w:rPr>
          <w:rFonts w:ascii="Segoe UI" w:hAnsi="Segoe UI" w:cs="Segoe UI"/>
          <w:sz w:val="22"/>
          <w:szCs w:val="22"/>
        </w:rPr>
      </w:pPr>
    </w:p>
    <w:p w:rsidR="00CA19B8" w:rsidRDefault="00555B74" w:rsidP="000D2749">
      <w:pPr>
        <w:tabs>
          <w:tab w:val="left" w:pos="-1440"/>
        </w:tabs>
        <w:rPr>
          <w:rFonts w:ascii="Segoe UI" w:hAnsi="Segoe UI" w:cs="Segoe UI"/>
          <w:sz w:val="22"/>
          <w:szCs w:val="22"/>
        </w:rPr>
      </w:pPr>
      <w:r w:rsidRPr="00555B74">
        <w:rPr>
          <w:rFonts w:ascii="Segoe UI" w:hAnsi="Segoe UI" w:cs="Segoe UI"/>
          <w:sz w:val="22"/>
          <w:szCs w:val="22"/>
        </w:rPr>
        <w:t>Job opportunities are very good across many sectors and several provinces,</w:t>
      </w:r>
      <w:r>
        <w:rPr>
          <w:rFonts w:ascii="Segoe UI" w:hAnsi="Segoe UI" w:cs="Segoe UI"/>
          <w:sz w:val="22"/>
          <w:szCs w:val="22"/>
        </w:rPr>
        <w:t xml:space="preserve"> including Ontario and the program benefits from </w:t>
      </w:r>
      <w:r w:rsidR="00CA19B8" w:rsidRPr="00CA19B8">
        <w:rPr>
          <w:rFonts w:ascii="Segoe UI" w:hAnsi="Segoe UI" w:cs="Segoe UI"/>
          <w:sz w:val="22"/>
          <w:szCs w:val="22"/>
        </w:rPr>
        <w:t xml:space="preserve">good relations with </w:t>
      </w:r>
      <w:r>
        <w:rPr>
          <w:rFonts w:ascii="Segoe UI" w:hAnsi="Segoe UI" w:cs="Segoe UI"/>
          <w:sz w:val="22"/>
          <w:szCs w:val="22"/>
        </w:rPr>
        <w:t>industry i</w:t>
      </w:r>
      <w:r w:rsidR="00CA19B8" w:rsidRPr="00CA19B8">
        <w:rPr>
          <w:rFonts w:ascii="Segoe UI" w:hAnsi="Segoe UI" w:cs="Segoe UI"/>
          <w:sz w:val="22"/>
          <w:szCs w:val="22"/>
        </w:rPr>
        <w:t xml:space="preserve">ncluding </w:t>
      </w:r>
      <w:r>
        <w:rPr>
          <w:rFonts w:ascii="Segoe UI" w:hAnsi="Segoe UI" w:cs="Segoe UI"/>
          <w:sz w:val="22"/>
          <w:szCs w:val="22"/>
        </w:rPr>
        <w:t xml:space="preserve">companies such as </w:t>
      </w:r>
      <w:r w:rsidR="00CA19B8" w:rsidRPr="00CA19B8">
        <w:rPr>
          <w:rFonts w:ascii="Segoe UI" w:hAnsi="Segoe UI" w:cs="Segoe UI"/>
          <w:sz w:val="22"/>
          <w:szCs w:val="22"/>
        </w:rPr>
        <w:t>La</w:t>
      </w:r>
      <w:r>
        <w:rPr>
          <w:rFonts w:ascii="Segoe UI" w:hAnsi="Segoe UI" w:cs="Segoe UI"/>
          <w:sz w:val="22"/>
          <w:szCs w:val="22"/>
        </w:rPr>
        <w:t>f</w:t>
      </w:r>
      <w:r w:rsidR="00CA19B8" w:rsidRPr="00CA19B8">
        <w:rPr>
          <w:rFonts w:ascii="Segoe UI" w:hAnsi="Segoe UI" w:cs="Segoe UI"/>
          <w:sz w:val="22"/>
          <w:szCs w:val="22"/>
        </w:rPr>
        <w:t>arge</w:t>
      </w:r>
      <w:r w:rsidR="00731756">
        <w:rPr>
          <w:rFonts w:ascii="Segoe UI" w:hAnsi="Segoe UI" w:cs="Segoe UI"/>
          <w:sz w:val="22"/>
          <w:szCs w:val="22"/>
        </w:rPr>
        <w:t>, CBM, Orica</w:t>
      </w:r>
      <w:r w:rsidR="00CA19B8" w:rsidRPr="00CA19B8">
        <w:rPr>
          <w:rFonts w:ascii="Segoe UI" w:hAnsi="Segoe UI" w:cs="Segoe UI"/>
          <w:sz w:val="22"/>
          <w:szCs w:val="22"/>
        </w:rPr>
        <w:t xml:space="preserve"> and </w:t>
      </w:r>
      <w:r w:rsidR="00731756">
        <w:rPr>
          <w:rFonts w:ascii="Segoe UI" w:hAnsi="Segoe UI" w:cs="Segoe UI"/>
          <w:sz w:val="22"/>
          <w:szCs w:val="22"/>
        </w:rPr>
        <w:t>Austin Powder</w:t>
      </w:r>
      <w:r w:rsidR="00CA19B8" w:rsidRPr="00CA19B8">
        <w:rPr>
          <w:rFonts w:ascii="Segoe UI" w:hAnsi="Segoe UI" w:cs="Segoe UI"/>
          <w:sz w:val="22"/>
          <w:szCs w:val="22"/>
        </w:rPr>
        <w:t xml:space="preserve">. </w:t>
      </w:r>
      <w:r>
        <w:rPr>
          <w:rFonts w:ascii="Segoe UI" w:hAnsi="Segoe UI" w:cs="Segoe UI"/>
          <w:sz w:val="22"/>
          <w:szCs w:val="22"/>
        </w:rPr>
        <w:t>And students that pursu</w:t>
      </w:r>
      <w:r w:rsidR="00384306">
        <w:rPr>
          <w:rFonts w:ascii="Segoe UI" w:hAnsi="Segoe UI" w:cs="Segoe UI"/>
          <w:sz w:val="22"/>
          <w:szCs w:val="22"/>
        </w:rPr>
        <w:t>e both the Blasting Techniques C</w:t>
      </w:r>
      <w:r>
        <w:rPr>
          <w:rFonts w:ascii="Segoe UI" w:hAnsi="Segoe UI" w:cs="Segoe UI"/>
          <w:sz w:val="22"/>
          <w:szCs w:val="22"/>
        </w:rPr>
        <w:t>ertificate and the Resource Drilling and Blasting Diploma become highly desirable to potential employers in the industry.</w:t>
      </w:r>
    </w:p>
    <w:p w:rsidR="00555B74" w:rsidRDefault="00555B74" w:rsidP="000D2749">
      <w:pPr>
        <w:tabs>
          <w:tab w:val="left" w:pos="-1440"/>
        </w:tabs>
        <w:rPr>
          <w:rFonts w:ascii="Segoe UI" w:hAnsi="Segoe UI" w:cs="Segoe UI"/>
          <w:sz w:val="22"/>
          <w:szCs w:val="22"/>
        </w:rPr>
      </w:pPr>
    </w:p>
    <w:p w:rsidR="00555B74" w:rsidRDefault="00555B74" w:rsidP="000D2749">
      <w:pPr>
        <w:tabs>
          <w:tab w:val="left" w:pos="-1440"/>
        </w:tabs>
        <w:rPr>
          <w:rFonts w:ascii="Segoe UI" w:hAnsi="Segoe UI" w:cs="Segoe UI"/>
          <w:sz w:val="22"/>
          <w:szCs w:val="22"/>
        </w:rPr>
      </w:pPr>
      <w:r w:rsidRPr="00555B74">
        <w:rPr>
          <w:rFonts w:ascii="Segoe UI" w:hAnsi="Segoe UI" w:cs="Segoe UI"/>
          <w:sz w:val="22"/>
          <w:szCs w:val="22"/>
        </w:rPr>
        <w:t>This program is very learner-centred with its applied programming and smaller student numbers in field labs. There is approximately two hours of field work for every hour of in-class time.  For example, the courses Blasting Applications Field Camps I (APST 80) and II (APST</w:t>
      </w:r>
      <w:r w:rsidR="0080734A">
        <w:rPr>
          <w:rFonts w:ascii="Segoe UI" w:hAnsi="Segoe UI" w:cs="Segoe UI"/>
          <w:sz w:val="22"/>
          <w:szCs w:val="22"/>
        </w:rPr>
        <w:t xml:space="preserve"> </w:t>
      </w:r>
      <w:r w:rsidRPr="00555B74">
        <w:rPr>
          <w:rFonts w:ascii="Segoe UI" w:hAnsi="Segoe UI" w:cs="Segoe UI"/>
          <w:sz w:val="22"/>
          <w:szCs w:val="22"/>
        </w:rPr>
        <w:t>81) take place mostly in a q</w:t>
      </w:r>
      <w:r w:rsidR="00384306">
        <w:rPr>
          <w:rFonts w:ascii="Segoe UI" w:hAnsi="Segoe UI" w:cs="Segoe UI"/>
          <w:sz w:val="22"/>
          <w:szCs w:val="22"/>
        </w:rPr>
        <w:t>uarry where students learn to conduct</w:t>
      </w:r>
      <w:r w:rsidRPr="00555B74">
        <w:rPr>
          <w:rFonts w:ascii="Segoe UI" w:hAnsi="Segoe UI" w:cs="Segoe UI"/>
          <w:sz w:val="22"/>
          <w:szCs w:val="22"/>
        </w:rPr>
        <w:t xml:space="preserve"> controlled blasts. </w:t>
      </w:r>
    </w:p>
    <w:p w:rsidR="00555B74" w:rsidRDefault="00555B74" w:rsidP="000D2749">
      <w:pPr>
        <w:tabs>
          <w:tab w:val="left" w:pos="-1440"/>
        </w:tabs>
        <w:rPr>
          <w:rFonts w:ascii="Segoe UI" w:hAnsi="Segoe UI" w:cs="Segoe UI"/>
          <w:sz w:val="22"/>
          <w:szCs w:val="22"/>
        </w:rPr>
      </w:pPr>
    </w:p>
    <w:p w:rsidR="00233A93" w:rsidRPr="008D5860" w:rsidRDefault="00555B74" w:rsidP="000D2749">
      <w:pPr>
        <w:tabs>
          <w:tab w:val="left" w:pos="-1440"/>
        </w:tabs>
        <w:rPr>
          <w:rFonts w:ascii="Segoe UI" w:hAnsi="Segoe UI" w:cs="Segoe UI"/>
          <w:sz w:val="22"/>
          <w:szCs w:val="22"/>
        </w:rPr>
      </w:pPr>
      <w:r w:rsidRPr="00555B74">
        <w:rPr>
          <w:rFonts w:ascii="Segoe UI" w:hAnsi="Segoe UI" w:cs="Segoe UI"/>
          <w:sz w:val="22"/>
          <w:szCs w:val="22"/>
        </w:rPr>
        <w:t>Safety is</w:t>
      </w:r>
      <w:r>
        <w:rPr>
          <w:rFonts w:ascii="Segoe UI" w:hAnsi="Segoe UI" w:cs="Segoe UI"/>
          <w:sz w:val="22"/>
          <w:szCs w:val="22"/>
        </w:rPr>
        <w:t xml:space="preserve"> a key component in the program and m</w:t>
      </w:r>
      <w:r w:rsidR="00CA19B8" w:rsidRPr="00CA19B8">
        <w:rPr>
          <w:rFonts w:ascii="Segoe UI" w:hAnsi="Segoe UI" w:cs="Segoe UI"/>
          <w:sz w:val="22"/>
          <w:szCs w:val="22"/>
        </w:rPr>
        <w:t>ore safety training has been added successfully to the program which aligns with industry trends. The industry is witnessing more ministry investigations and increasing legislative requirements for safety</w:t>
      </w:r>
      <w:r w:rsidR="00384306">
        <w:rPr>
          <w:rFonts w:ascii="Segoe UI" w:hAnsi="Segoe UI" w:cs="Segoe UI"/>
          <w:sz w:val="22"/>
          <w:szCs w:val="22"/>
        </w:rPr>
        <w:t xml:space="preserve">. As a result, </w:t>
      </w:r>
      <w:r>
        <w:rPr>
          <w:rFonts w:ascii="Segoe UI" w:hAnsi="Segoe UI" w:cs="Segoe UI"/>
          <w:sz w:val="22"/>
          <w:szCs w:val="22"/>
        </w:rPr>
        <w:t xml:space="preserve">program outcomes </w:t>
      </w:r>
      <w:r w:rsidR="00384306">
        <w:rPr>
          <w:rFonts w:ascii="Segoe UI" w:hAnsi="Segoe UI" w:cs="Segoe UI"/>
          <w:sz w:val="22"/>
          <w:szCs w:val="22"/>
        </w:rPr>
        <w:t xml:space="preserve">are being </w:t>
      </w:r>
      <w:r w:rsidR="007B06D9" w:rsidRPr="007B06D9">
        <w:rPr>
          <w:rFonts w:ascii="Segoe UI" w:hAnsi="Segoe UI" w:cs="Segoe UI"/>
          <w:sz w:val="22"/>
          <w:szCs w:val="22"/>
        </w:rPr>
        <w:t>updated to reflect industry c</w:t>
      </w:r>
      <w:r w:rsidR="00384306">
        <w:rPr>
          <w:rFonts w:ascii="Segoe UI" w:hAnsi="Segoe UI" w:cs="Segoe UI"/>
          <w:sz w:val="22"/>
          <w:szCs w:val="22"/>
        </w:rPr>
        <w:t>hanges and</w:t>
      </w:r>
      <w:r w:rsidR="007B06D9" w:rsidRPr="007B06D9">
        <w:rPr>
          <w:rFonts w:ascii="Segoe UI" w:hAnsi="Segoe UI" w:cs="Segoe UI"/>
          <w:sz w:val="22"/>
          <w:szCs w:val="22"/>
        </w:rPr>
        <w:t xml:space="preserve"> include an emphasis on safety.</w:t>
      </w:r>
    </w:p>
    <w:p w:rsidR="009524D9" w:rsidRPr="008D5860" w:rsidRDefault="009524D9" w:rsidP="000D2749">
      <w:pPr>
        <w:tabs>
          <w:tab w:val="left" w:pos="-1440"/>
        </w:tabs>
        <w:rPr>
          <w:rFonts w:ascii="Segoe UI" w:hAnsi="Segoe UI" w:cs="Segoe UI"/>
          <w:sz w:val="22"/>
          <w:szCs w:val="22"/>
        </w:rPr>
      </w:pPr>
    </w:p>
    <w:p w:rsidR="00233A93" w:rsidRPr="008D5860" w:rsidRDefault="00233A93" w:rsidP="007861A9">
      <w:pPr>
        <w:shd w:val="pct10" w:color="auto" w:fill="auto"/>
        <w:tabs>
          <w:tab w:val="left" w:pos="-1440"/>
        </w:tabs>
        <w:rPr>
          <w:rFonts w:ascii="Segoe UI" w:hAnsi="Segoe UI" w:cs="Segoe UI"/>
          <w:sz w:val="22"/>
          <w:szCs w:val="22"/>
        </w:rPr>
      </w:pPr>
      <w:r w:rsidRPr="008D5860">
        <w:rPr>
          <w:rFonts w:ascii="Segoe UI" w:hAnsi="Segoe UI" w:cs="Segoe UI"/>
          <w:sz w:val="22"/>
          <w:szCs w:val="22"/>
        </w:rPr>
        <w:t>PROGRAM CHALLENGES</w:t>
      </w:r>
    </w:p>
    <w:p w:rsidR="009E1557" w:rsidRDefault="006D293D" w:rsidP="000D2749">
      <w:pPr>
        <w:tabs>
          <w:tab w:val="left" w:pos="-1440"/>
        </w:tabs>
        <w:rPr>
          <w:rFonts w:ascii="Segoe UI" w:hAnsi="Segoe UI" w:cs="Segoe UI"/>
          <w:sz w:val="22"/>
          <w:szCs w:val="22"/>
        </w:rPr>
      </w:pPr>
      <w:r w:rsidRPr="0024486D">
        <w:rPr>
          <w:rFonts w:ascii="Segoe UI" w:hAnsi="Segoe UI" w:cs="Segoe UI"/>
          <w:sz w:val="22"/>
          <w:szCs w:val="22"/>
        </w:rPr>
        <w:t>Starting in January 2016, there will be an additional intake of students</w:t>
      </w:r>
      <w:r w:rsidR="009D09A1" w:rsidRPr="0024486D">
        <w:rPr>
          <w:rFonts w:ascii="Segoe UI" w:hAnsi="Segoe UI" w:cs="Segoe UI"/>
          <w:sz w:val="22"/>
          <w:szCs w:val="22"/>
        </w:rPr>
        <w:t xml:space="preserve"> into the Blasting Techniques Certificate program</w:t>
      </w:r>
      <w:r w:rsidRPr="0024486D">
        <w:rPr>
          <w:rFonts w:ascii="Segoe UI" w:hAnsi="Segoe UI" w:cs="Segoe UI"/>
          <w:sz w:val="22"/>
          <w:szCs w:val="22"/>
        </w:rPr>
        <w:t xml:space="preserve">. </w:t>
      </w:r>
      <w:r w:rsidR="009E1557" w:rsidRPr="0024486D">
        <w:rPr>
          <w:rFonts w:ascii="Segoe UI" w:hAnsi="Segoe UI" w:cs="Segoe UI"/>
          <w:sz w:val="22"/>
          <w:szCs w:val="22"/>
        </w:rPr>
        <w:t xml:space="preserve">Due to the </w:t>
      </w:r>
      <w:r w:rsidR="00B570B5" w:rsidRPr="0024486D">
        <w:rPr>
          <w:rFonts w:ascii="Segoe UI" w:hAnsi="Segoe UI" w:cs="Segoe UI"/>
          <w:sz w:val="22"/>
          <w:szCs w:val="22"/>
        </w:rPr>
        <w:t xml:space="preserve">hands-on </w:t>
      </w:r>
      <w:r w:rsidR="009E1557" w:rsidRPr="0024486D">
        <w:rPr>
          <w:rFonts w:ascii="Segoe UI" w:hAnsi="Segoe UI" w:cs="Segoe UI"/>
          <w:sz w:val="22"/>
          <w:szCs w:val="22"/>
        </w:rPr>
        <w:t xml:space="preserve">delivery of this </w:t>
      </w:r>
      <w:r w:rsidR="00B570B5" w:rsidRPr="0024486D">
        <w:rPr>
          <w:rFonts w:ascii="Segoe UI" w:hAnsi="Segoe UI" w:cs="Segoe UI"/>
          <w:sz w:val="22"/>
          <w:szCs w:val="22"/>
        </w:rPr>
        <w:t>program</w:t>
      </w:r>
      <w:r w:rsidR="009E1557" w:rsidRPr="0024486D">
        <w:rPr>
          <w:rFonts w:ascii="Segoe UI" w:hAnsi="Segoe UI" w:cs="Segoe UI"/>
          <w:sz w:val="22"/>
          <w:szCs w:val="22"/>
        </w:rPr>
        <w:t>, increasing student numbers presents increa</w:t>
      </w:r>
      <w:r w:rsidR="00BB10AF" w:rsidRPr="0024486D">
        <w:rPr>
          <w:rFonts w:ascii="Segoe UI" w:hAnsi="Segoe UI" w:cs="Segoe UI"/>
          <w:sz w:val="22"/>
          <w:szCs w:val="22"/>
        </w:rPr>
        <w:t xml:space="preserve">sed demands on resources. A plan will need to be developed to deal with these increased </w:t>
      </w:r>
      <w:r w:rsidRPr="0024486D">
        <w:rPr>
          <w:rFonts w:ascii="Segoe UI" w:hAnsi="Segoe UI" w:cs="Segoe UI"/>
          <w:sz w:val="22"/>
          <w:szCs w:val="22"/>
        </w:rPr>
        <w:t>demands as the program expands with the additional winter intake of students.</w:t>
      </w:r>
    </w:p>
    <w:p w:rsidR="009E1557" w:rsidRDefault="009E1557" w:rsidP="000D2749">
      <w:pPr>
        <w:tabs>
          <w:tab w:val="left" w:pos="-1440"/>
        </w:tabs>
        <w:rPr>
          <w:rFonts w:ascii="Segoe UI" w:hAnsi="Segoe UI" w:cs="Segoe UI"/>
          <w:sz w:val="22"/>
          <w:szCs w:val="22"/>
        </w:rPr>
      </w:pPr>
    </w:p>
    <w:p w:rsidR="009524D9" w:rsidRDefault="005335B8" w:rsidP="000D2749">
      <w:pPr>
        <w:tabs>
          <w:tab w:val="left" w:pos="-1440"/>
        </w:tabs>
        <w:rPr>
          <w:rFonts w:ascii="Segoe UI" w:hAnsi="Segoe UI" w:cs="Segoe UI"/>
          <w:sz w:val="22"/>
          <w:szCs w:val="22"/>
        </w:rPr>
      </w:pPr>
      <w:r w:rsidRPr="005335B8">
        <w:rPr>
          <w:rFonts w:ascii="Segoe UI" w:hAnsi="Segoe UI" w:cs="Segoe UI"/>
          <w:sz w:val="22"/>
          <w:szCs w:val="22"/>
        </w:rPr>
        <w:t>The numeracy skills of students entering the program are a continuing concern. Admission requirements allow students with workplace high school math to enter the program. These students of</w:t>
      </w:r>
      <w:r w:rsidR="009E1557">
        <w:rPr>
          <w:rFonts w:ascii="Segoe UI" w:hAnsi="Segoe UI" w:cs="Segoe UI"/>
          <w:sz w:val="22"/>
          <w:szCs w:val="22"/>
        </w:rPr>
        <w:t>ten have weak numeracy skills. This may be resulting in the lower graduation rate witnessed in 2014 as s</w:t>
      </w:r>
      <w:r w:rsidR="002D5FB3">
        <w:rPr>
          <w:rFonts w:ascii="Segoe UI" w:hAnsi="Segoe UI" w:cs="Segoe UI"/>
          <w:sz w:val="22"/>
          <w:szCs w:val="22"/>
        </w:rPr>
        <w:t xml:space="preserve">tudents entering the program with high school workplace level math are struggling with the math components of the program. </w:t>
      </w:r>
    </w:p>
    <w:p w:rsidR="009E1557" w:rsidRPr="008D5860" w:rsidRDefault="009E1557" w:rsidP="000D2749">
      <w:pPr>
        <w:tabs>
          <w:tab w:val="left" w:pos="-1440"/>
        </w:tabs>
        <w:rPr>
          <w:rFonts w:ascii="Segoe UI" w:hAnsi="Segoe UI" w:cs="Segoe UI"/>
          <w:sz w:val="22"/>
          <w:szCs w:val="22"/>
        </w:rPr>
      </w:pPr>
    </w:p>
    <w:p w:rsidR="009524D9" w:rsidRPr="008D5860" w:rsidRDefault="005022EF" w:rsidP="005022EF">
      <w:pPr>
        <w:shd w:val="clear" w:color="auto" w:fill="D9D9D9" w:themeFill="background1" w:themeFillShade="D9"/>
        <w:tabs>
          <w:tab w:val="left" w:pos="-1440"/>
        </w:tabs>
        <w:rPr>
          <w:rFonts w:ascii="Segoe UI" w:hAnsi="Segoe UI" w:cs="Segoe UI"/>
          <w:sz w:val="22"/>
          <w:szCs w:val="22"/>
        </w:rPr>
      </w:pPr>
      <w:r w:rsidRPr="008D5860">
        <w:rPr>
          <w:rFonts w:ascii="Segoe UI" w:hAnsi="Segoe UI" w:cs="Segoe UI"/>
          <w:sz w:val="22"/>
          <w:szCs w:val="22"/>
        </w:rPr>
        <w:t>KPI RESULTS</w:t>
      </w:r>
    </w:p>
    <w:p w:rsidR="006A2DD4" w:rsidRDefault="00FB6221" w:rsidP="00FB6221">
      <w:pPr>
        <w:tabs>
          <w:tab w:val="left" w:pos="-1440"/>
        </w:tabs>
        <w:rPr>
          <w:rFonts w:ascii="Segoe UI" w:hAnsi="Segoe UI" w:cs="Segoe UI"/>
          <w:sz w:val="22"/>
          <w:szCs w:val="22"/>
        </w:rPr>
      </w:pPr>
      <w:r w:rsidRPr="00BB10AF">
        <w:rPr>
          <w:rFonts w:ascii="Segoe UI" w:hAnsi="Segoe UI" w:cs="Segoe UI"/>
          <w:sz w:val="22"/>
          <w:szCs w:val="22"/>
        </w:rPr>
        <w:t xml:space="preserve">The </w:t>
      </w:r>
      <w:r w:rsidR="00931F6B" w:rsidRPr="00BB10AF">
        <w:rPr>
          <w:rFonts w:ascii="Segoe UI" w:hAnsi="Segoe UI" w:cs="Segoe UI"/>
          <w:sz w:val="22"/>
          <w:szCs w:val="22"/>
        </w:rPr>
        <w:t>Student and Graduate Satisfaction</w:t>
      </w:r>
      <w:r w:rsidR="00931F6B">
        <w:rPr>
          <w:rFonts w:ascii="Segoe UI" w:hAnsi="Segoe UI" w:cs="Segoe UI"/>
          <w:sz w:val="22"/>
          <w:szCs w:val="22"/>
        </w:rPr>
        <w:t xml:space="preserve"> </w:t>
      </w:r>
      <w:r w:rsidRPr="00FB6221">
        <w:rPr>
          <w:rFonts w:ascii="Segoe UI" w:hAnsi="Segoe UI" w:cs="Segoe UI"/>
          <w:sz w:val="22"/>
          <w:szCs w:val="22"/>
        </w:rPr>
        <w:t xml:space="preserve">KPIs continue to be strong </w:t>
      </w:r>
      <w:r w:rsidR="00AD5F27">
        <w:rPr>
          <w:rFonts w:ascii="Segoe UI" w:hAnsi="Segoe UI" w:cs="Segoe UI"/>
          <w:sz w:val="22"/>
          <w:szCs w:val="22"/>
        </w:rPr>
        <w:t xml:space="preserve">and positive for this program. </w:t>
      </w:r>
      <w:r w:rsidRPr="00FB6221">
        <w:rPr>
          <w:rFonts w:ascii="Segoe UI" w:hAnsi="Segoe UI" w:cs="Segoe UI"/>
          <w:sz w:val="22"/>
          <w:szCs w:val="22"/>
        </w:rPr>
        <w:t xml:space="preserve">Graduate Satisfaction </w:t>
      </w:r>
      <w:r w:rsidR="00095ABB">
        <w:rPr>
          <w:rFonts w:ascii="Segoe UI" w:hAnsi="Segoe UI" w:cs="Segoe UI"/>
          <w:sz w:val="22"/>
          <w:szCs w:val="22"/>
        </w:rPr>
        <w:t>with the Program (KPI</w:t>
      </w:r>
      <w:r w:rsidR="00384306">
        <w:rPr>
          <w:rFonts w:ascii="Segoe UI" w:hAnsi="Segoe UI" w:cs="Segoe UI"/>
          <w:sz w:val="22"/>
          <w:szCs w:val="22"/>
        </w:rPr>
        <w:t xml:space="preserve"> </w:t>
      </w:r>
      <w:r w:rsidR="00095ABB">
        <w:rPr>
          <w:rFonts w:ascii="Segoe UI" w:hAnsi="Segoe UI" w:cs="Segoe UI"/>
          <w:sz w:val="22"/>
          <w:szCs w:val="22"/>
        </w:rPr>
        <w:t xml:space="preserve">11) </w:t>
      </w:r>
      <w:r w:rsidR="00AD5F27">
        <w:rPr>
          <w:rFonts w:ascii="Segoe UI" w:hAnsi="Segoe UI" w:cs="Segoe UI"/>
          <w:sz w:val="22"/>
          <w:szCs w:val="22"/>
        </w:rPr>
        <w:t xml:space="preserve">has </w:t>
      </w:r>
      <w:r w:rsidR="00095ABB">
        <w:rPr>
          <w:rFonts w:ascii="Segoe UI" w:hAnsi="Segoe UI" w:cs="Segoe UI"/>
          <w:sz w:val="22"/>
          <w:szCs w:val="22"/>
        </w:rPr>
        <w:t>continuously increas</w:t>
      </w:r>
      <w:r w:rsidR="00AD5F27">
        <w:rPr>
          <w:rFonts w:ascii="Segoe UI" w:hAnsi="Segoe UI" w:cs="Segoe UI"/>
          <w:sz w:val="22"/>
          <w:szCs w:val="22"/>
        </w:rPr>
        <w:t>ed over the past four years and was at its hig</w:t>
      </w:r>
      <w:r w:rsidR="00095ABB">
        <w:rPr>
          <w:rFonts w:ascii="Segoe UI" w:hAnsi="Segoe UI" w:cs="Segoe UI"/>
          <w:sz w:val="22"/>
          <w:szCs w:val="22"/>
        </w:rPr>
        <w:t>hest</w:t>
      </w:r>
      <w:r w:rsidR="00AD5F27">
        <w:rPr>
          <w:rFonts w:ascii="Segoe UI" w:hAnsi="Segoe UI" w:cs="Segoe UI"/>
          <w:sz w:val="22"/>
          <w:szCs w:val="22"/>
        </w:rPr>
        <w:t xml:space="preserve"> reporting</w:t>
      </w:r>
      <w:r w:rsidR="00095ABB">
        <w:rPr>
          <w:rFonts w:ascii="Segoe UI" w:hAnsi="Segoe UI" w:cs="Segoe UI"/>
          <w:sz w:val="22"/>
          <w:szCs w:val="22"/>
        </w:rPr>
        <w:t xml:space="preserve"> in 2014 at 92%. </w:t>
      </w:r>
      <w:r w:rsidR="00AD5F27">
        <w:rPr>
          <w:rFonts w:ascii="Segoe UI" w:hAnsi="Segoe UI" w:cs="Segoe UI"/>
          <w:sz w:val="22"/>
          <w:szCs w:val="22"/>
        </w:rPr>
        <w:t xml:space="preserve"> </w:t>
      </w:r>
      <w:r w:rsidR="00095ABB">
        <w:rPr>
          <w:rFonts w:ascii="Segoe UI" w:hAnsi="Segoe UI" w:cs="Segoe UI"/>
          <w:sz w:val="22"/>
          <w:szCs w:val="22"/>
        </w:rPr>
        <w:t xml:space="preserve">This may be a result of new faculty hires and curriculum changes in the past four years. </w:t>
      </w:r>
      <w:r w:rsidR="00AD5F27" w:rsidRPr="00AD5F27">
        <w:rPr>
          <w:rFonts w:ascii="Segoe UI" w:hAnsi="Segoe UI" w:cs="Segoe UI"/>
          <w:sz w:val="22"/>
          <w:szCs w:val="22"/>
        </w:rPr>
        <w:t>Graduate Satisfaction with Generic and Vocational Learning Outcomes (KPI</w:t>
      </w:r>
      <w:r w:rsidR="00384306">
        <w:rPr>
          <w:rFonts w:ascii="Segoe UI" w:hAnsi="Segoe UI" w:cs="Segoe UI"/>
          <w:sz w:val="22"/>
          <w:szCs w:val="22"/>
        </w:rPr>
        <w:t xml:space="preserve"> </w:t>
      </w:r>
      <w:r w:rsidR="00AD5F27" w:rsidRPr="00AD5F27">
        <w:rPr>
          <w:rFonts w:ascii="Segoe UI" w:hAnsi="Segoe UI" w:cs="Segoe UI"/>
          <w:sz w:val="22"/>
          <w:szCs w:val="22"/>
        </w:rPr>
        <w:t xml:space="preserve">4) </w:t>
      </w:r>
      <w:r w:rsidR="006A2DD4">
        <w:rPr>
          <w:rFonts w:ascii="Segoe UI" w:hAnsi="Segoe UI" w:cs="Segoe UI"/>
          <w:sz w:val="22"/>
          <w:szCs w:val="22"/>
        </w:rPr>
        <w:t>and</w:t>
      </w:r>
      <w:r w:rsidR="00AD5F27" w:rsidRPr="00AD5F27">
        <w:rPr>
          <w:rFonts w:ascii="Segoe UI" w:hAnsi="Segoe UI" w:cs="Segoe UI"/>
          <w:sz w:val="22"/>
          <w:szCs w:val="22"/>
        </w:rPr>
        <w:t xml:space="preserve"> </w:t>
      </w:r>
      <w:r w:rsidR="00AD5F27">
        <w:rPr>
          <w:rFonts w:ascii="Segoe UI" w:hAnsi="Segoe UI" w:cs="Segoe UI"/>
          <w:sz w:val="22"/>
          <w:szCs w:val="22"/>
        </w:rPr>
        <w:t>Student Satisfaction with Learning Experience (KPI</w:t>
      </w:r>
      <w:r w:rsidR="00384306">
        <w:rPr>
          <w:rFonts w:ascii="Segoe UI" w:hAnsi="Segoe UI" w:cs="Segoe UI"/>
          <w:sz w:val="22"/>
          <w:szCs w:val="22"/>
        </w:rPr>
        <w:t xml:space="preserve"> </w:t>
      </w:r>
      <w:r w:rsidR="00AD5F27">
        <w:rPr>
          <w:rFonts w:ascii="Segoe UI" w:hAnsi="Segoe UI" w:cs="Segoe UI"/>
          <w:sz w:val="22"/>
          <w:szCs w:val="22"/>
        </w:rPr>
        <w:t>8)</w:t>
      </w:r>
      <w:r w:rsidR="006A2DD4">
        <w:rPr>
          <w:rFonts w:ascii="Segoe UI" w:hAnsi="Segoe UI" w:cs="Segoe UI"/>
          <w:sz w:val="22"/>
          <w:szCs w:val="22"/>
        </w:rPr>
        <w:t xml:space="preserve"> were</w:t>
      </w:r>
      <w:r w:rsidR="00AD5F27">
        <w:rPr>
          <w:rFonts w:ascii="Segoe UI" w:hAnsi="Segoe UI" w:cs="Segoe UI"/>
          <w:sz w:val="22"/>
          <w:szCs w:val="22"/>
        </w:rPr>
        <w:t xml:space="preserve"> comparable to the college average</w:t>
      </w:r>
      <w:r w:rsidR="006A2DD4">
        <w:rPr>
          <w:rFonts w:ascii="Segoe UI" w:hAnsi="Segoe UI" w:cs="Segoe UI"/>
          <w:sz w:val="22"/>
          <w:szCs w:val="22"/>
        </w:rPr>
        <w:t>s</w:t>
      </w:r>
      <w:r w:rsidR="00AD5F27">
        <w:rPr>
          <w:rFonts w:ascii="Segoe UI" w:hAnsi="Segoe UI" w:cs="Segoe UI"/>
          <w:sz w:val="22"/>
          <w:szCs w:val="22"/>
        </w:rPr>
        <w:t xml:space="preserve">. </w:t>
      </w:r>
    </w:p>
    <w:p w:rsidR="006A2DD4" w:rsidRDefault="006A2DD4" w:rsidP="00FB6221">
      <w:pPr>
        <w:tabs>
          <w:tab w:val="left" w:pos="-1440"/>
        </w:tabs>
        <w:rPr>
          <w:rFonts w:ascii="Segoe UI" w:hAnsi="Segoe UI" w:cs="Segoe UI"/>
          <w:sz w:val="22"/>
          <w:szCs w:val="22"/>
        </w:rPr>
      </w:pPr>
    </w:p>
    <w:p w:rsidR="006A2DD4" w:rsidRDefault="00095ABB" w:rsidP="00FB6221">
      <w:pPr>
        <w:tabs>
          <w:tab w:val="left" w:pos="-14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Overall Employment Rate (KPI</w:t>
      </w:r>
      <w:r w:rsidR="00384306">
        <w:rPr>
          <w:rFonts w:ascii="Segoe UI" w:hAnsi="Segoe UI" w:cs="Segoe UI"/>
          <w:sz w:val="22"/>
          <w:szCs w:val="22"/>
        </w:rPr>
        <w:t xml:space="preserve"> </w:t>
      </w:r>
      <w:r>
        <w:rPr>
          <w:rFonts w:ascii="Segoe UI" w:hAnsi="Segoe UI" w:cs="Segoe UI"/>
          <w:sz w:val="22"/>
          <w:szCs w:val="22"/>
        </w:rPr>
        <w:t xml:space="preserve">2) has been steadily increasing and in 2014 was 100%. Related Employment Rates </w:t>
      </w:r>
      <w:r w:rsidR="00AD5F27">
        <w:rPr>
          <w:rFonts w:ascii="Segoe UI" w:hAnsi="Segoe UI" w:cs="Segoe UI"/>
          <w:sz w:val="22"/>
          <w:szCs w:val="22"/>
        </w:rPr>
        <w:t>(KPI</w:t>
      </w:r>
      <w:r w:rsidR="00384306">
        <w:rPr>
          <w:rFonts w:ascii="Segoe UI" w:hAnsi="Segoe UI" w:cs="Segoe UI"/>
          <w:sz w:val="22"/>
          <w:szCs w:val="22"/>
        </w:rPr>
        <w:t xml:space="preserve"> </w:t>
      </w:r>
      <w:r w:rsidR="00AD5F27">
        <w:rPr>
          <w:rFonts w:ascii="Segoe UI" w:hAnsi="Segoe UI" w:cs="Segoe UI"/>
          <w:sz w:val="22"/>
          <w:szCs w:val="22"/>
        </w:rPr>
        <w:t xml:space="preserve">3) was lower than the college average from 2011-2013 but in 2014 became comparable at 50% (college average was 53%). </w:t>
      </w:r>
    </w:p>
    <w:p w:rsidR="006A2DD4" w:rsidRDefault="006A2DD4" w:rsidP="00FB6221">
      <w:pPr>
        <w:tabs>
          <w:tab w:val="left" w:pos="-1440"/>
        </w:tabs>
        <w:rPr>
          <w:rFonts w:ascii="Segoe UI" w:hAnsi="Segoe UI" w:cs="Segoe UI"/>
          <w:sz w:val="22"/>
          <w:szCs w:val="22"/>
        </w:rPr>
      </w:pPr>
    </w:p>
    <w:p w:rsidR="00EB295B" w:rsidRPr="0024486D" w:rsidRDefault="008D6A94" w:rsidP="00FB6221">
      <w:pPr>
        <w:tabs>
          <w:tab w:val="left" w:pos="-1440"/>
        </w:tabs>
        <w:rPr>
          <w:rFonts w:ascii="Segoe UI" w:hAnsi="Segoe UI" w:cs="Segoe UI"/>
          <w:sz w:val="22"/>
          <w:szCs w:val="22"/>
        </w:rPr>
      </w:pPr>
      <w:r w:rsidRPr="0024486D">
        <w:rPr>
          <w:rFonts w:ascii="Segoe UI" w:hAnsi="Segoe UI" w:cs="Segoe UI"/>
          <w:sz w:val="22"/>
          <w:szCs w:val="22"/>
        </w:rPr>
        <w:lastRenderedPageBreak/>
        <w:t xml:space="preserve">The </w:t>
      </w:r>
      <w:r w:rsidR="006A2DD4" w:rsidRPr="0024486D">
        <w:rPr>
          <w:rFonts w:ascii="Segoe UI" w:hAnsi="Segoe UI" w:cs="Segoe UI"/>
          <w:sz w:val="22"/>
          <w:szCs w:val="22"/>
        </w:rPr>
        <w:t>Graduation Rate (KPI</w:t>
      </w:r>
      <w:r w:rsidR="00384306" w:rsidRPr="0024486D">
        <w:rPr>
          <w:rFonts w:ascii="Segoe UI" w:hAnsi="Segoe UI" w:cs="Segoe UI"/>
          <w:sz w:val="22"/>
          <w:szCs w:val="22"/>
        </w:rPr>
        <w:t xml:space="preserve"> </w:t>
      </w:r>
      <w:r w:rsidR="006A2DD4" w:rsidRPr="0024486D">
        <w:rPr>
          <w:rFonts w:ascii="Segoe UI" w:hAnsi="Segoe UI" w:cs="Segoe UI"/>
          <w:sz w:val="22"/>
          <w:szCs w:val="22"/>
        </w:rPr>
        <w:t xml:space="preserve">1) </w:t>
      </w:r>
      <w:r w:rsidR="009624A0" w:rsidRPr="0024486D">
        <w:rPr>
          <w:rFonts w:ascii="Segoe UI" w:hAnsi="Segoe UI" w:cs="Segoe UI"/>
          <w:sz w:val="22"/>
          <w:szCs w:val="22"/>
        </w:rPr>
        <w:t xml:space="preserve">is 53% which </w:t>
      </w:r>
      <w:r w:rsidR="006A2DD4" w:rsidRPr="0024486D">
        <w:rPr>
          <w:rFonts w:ascii="Segoe UI" w:hAnsi="Segoe UI" w:cs="Segoe UI"/>
          <w:sz w:val="22"/>
          <w:szCs w:val="22"/>
        </w:rPr>
        <w:t xml:space="preserve">is of concern </w:t>
      </w:r>
      <w:r w:rsidR="009624A0" w:rsidRPr="0024486D">
        <w:rPr>
          <w:rFonts w:ascii="Segoe UI" w:hAnsi="Segoe UI" w:cs="Segoe UI"/>
          <w:sz w:val="22"/>
          <w:szCs w:val="22"/>
        </w:rPr>
        <w:t xml:space="preserve">as it </w:t>
      </w:r>
      <w:r w:rsidR="006A2DD4" w:rsidRPr="0024486D">
        <w:rPr>
          <w:rFonts w:ascii="Segoe UI" w:hAnsi="Segoe UI" w:cs="Segoe UI"/>
          <w:sz w:val="22"/>
          <w:szCs w:val="22"/>
        </w:rPr>
        <w:t xml:space="preserve">is lower </w:t>
      </w:r>
      <w:r w:rsidRPr="0024486D">
        <w:rPr>
          <w:rFonts w:ascii="Segoe UI" w:hAnsi="Segoe UI" w:cs="Segoe UI"/>
          <w:sz w:val="22"/>
          <w:szCs w:val="22"/>
        </w:rPr>
        <w:t>than the college average</w:t>
      </w:r>
      <w:r w:rsidR="009624A0" w:rsidRPr="0024486D">
        <w:rPr>
          <w:rFonts w:ascii="Segoe UI" w:hAnsi="Segoe UI" w:cs="Segoe UI"/>
          <w:sz w:val="22"/>
          <w:szCs w:val="22"/>
        </w:rPr>
        <w:t xml:space="preserve"> of 66%</w:t>
      </w:r>
      <w:r w:rsidR="006A2DD4" w:rsidRPr="0024486D">
        <w:rPr>
          <w:rFonts w:ascii="Segoe UI" w:hAnsi="Segoe UI" w:cs="Segoe UI"/>
          <w:sz w:val="22"/>
          <w:szCs w:val="22"/>
        </w:rPr>
        <w:t>.</w:t>
      </w:r>
      <w:r w:rsidR="0090352B" w:rsidRPr="0024486D">
        <w:rPr>
          <w:rFonts w:ascii="Segoe UI" w:hAnsi="Segoe UI" w:cs="Segoe UI"/>
          <w:sz w:val="22"/>
          <w:szCs w:val="22"/>
        </w:rPr>
        <w:t xml:space="preserve"> However, it should be noted that the rate is improving. According to Fleming Data Research, the latest graduation rate (to be published in June 2015) is 57.7%. </w:t>
      </w:r>
    </w:p>
    <w:p w:rsidR="00EB295B" w:rsidRPr="0024486D" w:rsidRDefault="00EB295B" w:rsidP="00FB6221">
      <w:pPr>
        <w:tabs>
          <w:tab w:val="left" w:pos="-1440"/>
        </w:tabs>
        <w:rPr>
          <w:rFonts w:ascii="Segoe UI" w:hAnsi="Segoe UI" w:cs="Segoe UI"/>
          <w:sz w:val="22"/>
          <w:szCs w:val="22"/>
        </w:rPr>
      </w:pPr>
    </w:p>
    <w:p w:rsidR="006A2DD4" w:rsidRDefault="006A2DD4" w:rsidP="00FB6221">
      <w:pPr>
        <w:tabs>
          <w:tab w:val="left" w:pos="-1440"/>
        </w:tabs>
        <w:rPr>
          <w:rFonts w:ascii="Segoe UI" w:hAnsi="Segoe UI" w:cs="Segoe UI"/>
          <w:sz w:val="22"/>
          <w:szCs w:val="22"/>
        </w:rPr>
      </w:pPr>
      <w:r w:rsidRPr="0024486D">
        <w:rPr>
          <w:rFonts w:ascii="Segoe UI" w:hAnsi="Segoe UI" w:cs="Segoe UI"/>
          <w:sz w:val="22"/>
          <w:szCs w:val="22"/>
        </w:rPr>
        <w:t>It should also be noted that there are still no comparator programs in the system.</w:t>
      </w:r>
    </w:p>
    <w:p w:rsidR="005022EF" w:rsidRPr="008D5860" w:rsidRDefault="005022EF" w:rsidP="000D2749">
      <w:pPr>
        <w:tabs>
          <w:tab w:val="left" w:pos="-1440"/>
        </w:tabs>
        <w:rPr>
          <w:rFonts w:ascii="Segoe UI" w:hAnsi="Segoe UI" w:cs="Segoe UI"/>
          <w:sz w:val="22"/>
          <w:szCs w:val="22"/>
        </w:rPr>
      </w:pPr>
    </w:p>
    <w:p w:rsidR="000D2749" w:rsidRPr="008D5860" w:rsidRDefault="00233A93" w:rsidP="007861A9">
      <w:pPr>
        <w:shd w:val="pct12" w:color="auto" w:fill="auto"/>
        <w:tabs>
          <w:tab w:val="left" w:pos="-1440"/>
        </w:tabs>
        <w:rPr>
          <w:rFonts w:ascii="Segoe UI" w:hAnsi="Segoe UI" w:cs="Segoe UI"/>
          <w:sz w:val="22"/>
          <w:szCs w:val="22"/>
        </w:rPr>
      </w:pPr>
      <w:r w:rsidRPr="008D5860">
        <w:rPr>
          <w:rFonts w:ascii="Segoe UI" w:hAnsi="Segoe UI" w:cs="Segoe UI"/>
          <w:sz w:val="22"/>
          <w:szCs w:val="22"/>
        </w:rPr>
        <w:t xml:space="preserve">SUMMARY OF </w:t>
      </w:r>
      <w:r w:rsidR="000D2749" w:rsidRPr="008D5860">
        <w:rPr>
          <w:rFonts w:ascii="Segoe UI" w:hAnsi="Segoe UI" w:cs="Segoe UI"/>
          <w:sz w:val="22"/>
          <w:szCs w:val="22"/>
        </w:rPr>
        <w:t>RECOMMENDATION</w:t>
      </w:r>
      <w:r w:rsidRPr="008D5860">
        <w:rPr>
          <w:rFonts w:ascii="Segoe UI" w:hAnsi="Segoe UI" w:cs="Segoe UI"/>
          <w:sz w:val="22"/>
          <w:szCs w:val="22"/>
        </w:rPr>
        <w:t>S</w:t>
      </w:r>
    </w:p>
    <w:p w:rsidR="00EB5128" w:rsidRPr="008D5860" w:rsidRDefault="00EB5128" w:rsidP="00EB512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Segoe UI" w:hAnsi="Segoe UI" w:cs="Segoe UI"/>
          <w:sz w:val="22"/>
          <w:szCs w:val="22"/>
        </w:rPr>
      </w:pPr>
      <w:r w:rsidRPr="008D5860">
        <w:rPr>
          <w:rFonts w:ascii="Segoe UI" w:hAnsi="Segoe UI" w:cs="Segoe UI"/>
          <w:sz w:val="22"/>
          <w:szCs w:val="22"/>
          <w:u w:val="single"/>
        </w:rPr>
        <w:t>Recommendations Building on Program Strengths</w:t>
      </w:r>
      <w:r w:rsidRPr="008D5860">
        <w:rPr>
          <w:rFonts w:ascii="Segoe UI" w:hAnsi="Segoe UI" w:cs="Segoe UI"/>
          <w:sz w:val="22"/>
          <w:szCs w:val="22"/>
        </w:rPr>
        <w:t>:</w:t>
      </w:r>
    </w:p>
    <w:p w:rsidR="00CA19B8" w:rsidRDefault="00F0262D" w:rsidP="00CA19B8">
      <w:pPr>
        <w:numPr>
          <w:ilvl w:val="0"/>
          <w:numId w:val="3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The </w:t>
      </w:r>
      <w:r w:rsidR="0091595D">
        <w:rPr>
          <w:rFonts w:ascii="Segoe UI" w:hAnsi="Segoe UI" w:cs="Segoe UI"/>
          <w:sz w:val="22"/>
          <w:szCs w:val="22"/>
        </w:rPr>
        <w:t>Blasting</w:t>
      </w:r>
      <w:r w:rsidR="00AA44F1">
        <w:rPr>
          <w:rFonts w:ascii="Segoe UI" w:hAnsi="Segoe UI" w:cs="Segoe UI"/>
          <w:sz w:val="22"/>
          <w:szCs w:val="22"/>
        </w:rPr>
        <w:t xml:space="preserve"> program will e</w:t>
      </w:r>
      <w:r w:rsidR="00AA44F1" w:rsidRPr="00AA44F1">
        <w:rPr>
          <w:rFonts w:ascii="Segoe UI" w:hAnsi="Segoe UI" w:cs="Segoe UI"/>
          <w:sz w:val="22"/>
          <w:szCs w:val="22"/>
        </w:rPr>
        <w:t xml:space="preserve">xamine </w:t>
      </w:r>
      <w:r w:rsidR="00AA44F1">
        <w:rPr>
          <w:rFonts w:ascii="Segoe UI" w:hAnsi="Segoe UI" w:cs="Segoe UI"/>
          <w:sz w:val="22"/>
          <w:szCs w:val="22"/>
        </w:rPr>
        <w:t>ways in which to further increase the hands</w:t>
      </w:r>
      <w:r w:rsidR="004F22BB">
        <w:rPr>
          <w:rFonts w:ascii="Segoe UI" w:hAnsi="Segoe UI" w:cs="Segoe UI"/>
          <w:sz w:val="22"/>
          <w:szCs w:val="22"/>
        </w:rPr>
        <w:t>-</w:t>
      </w:r>
      <w:r w:rsidR="00AA44F1">
        <w:rPr>
          <w:rFonts w:ascii="Segoe UI" w:hAnsi="Segoe UI" w:cs="Segoe UI"/>
          <w:sz w:val="22"/>
          <w:szCs w:val="22"/>
        </w:rPr>
        <w:t>on</w:t>
      </w:r>
      <w:r w:rsidR="004F22BB">
        <w:rPr>
          <w:rFonts w:ascii="Segoe UI" w:hAnsi="Segoe UI" w:cs="Segoe UI"/>
          <w:sz w:val="22"/>
          <w:szCs w:val="22"/>
        </w:rPr>
        <w:t xml:space="preserve"> </w:t>
      </w:r>
      <w:r w:rsidR="00AA44F1">
        <w:rPr>
          <w:rFonts w:ascii="Segoe UI" w:hAnsi="Segoe UI" w:cs="Segoe UI"/>
          <w:sz w:val="22"/>
          <w:szCs w:val="22"/>
        </w:rPr>
        <w:t xml:space="preserve">learning component of the program. Opportunities to increase student learning activities in </w:t>
      </w:r>
      <w:r w:rsidR="00970A24">
        <w:rPr>
          <w:rFonts w:ascii="Segoe UI" w:hAnsi="Segoe UI" w:cs="Segoe UI"/>
          <w:sz w:val="22"/>
          <w:szCs w:val="22"/>
        </w:rPr>
        <w:t>surface and underground mines</w:t>
      </w:r>
      <w:r w:rsidR="00AA44F1">
        <w:rPr>
          <w:rFonts w:ascii="Segoe UI" w:hAnsi="Segoe UI" w:cs="Segoe UI"/>
          <w:sz w:val="22"/>
          <w:szCs w:val="22"/>
        </w:rPr>
        <w:t xml:space="preserve"> will be examined, as well as, investigating the possibility of converting lecture hours to lab hours in the Blasthole Drilling </w:t>
      </w:r>
      <w:r>
        <w:rPr>
          <w:rFonts w:ascii="Segoe UI" w:hAnsi="Segoe UI" w:cs="Segoe UI"/>
          <w:sz w:val="22"/>
          <w:szCs w:val="22"/>
        </w:rPr>
        <w:t>for Drillers (GEOL</w:t>
      </w:r>
      <w:r w:rsidR="007077F2">
        <w:rPr>
          <w:rFonts w:ascii="Segoe UI" w:hAnsi="Segoe UI" w:cs="Segoe UI"/>
          <w:sz w:val="22"/>
          <w:szCs w:val="22"/>
        </w:rPr>
        <w:t xml:space="preserve"> </w:t>
      </w:r>
      <w:r>
        <w:rPr>
          <w:rFonts w:ascii="Segoe UI" w:hAnsi="Segoe UI" w:cs="Segoe UI"/>
          <w:sz w:val="22"/>
          <w:szCs w:val="22"/>
        </w:rPr>
        <w:t xml:space="preserve">68) </w:t>
      </w:r>
      <w:r w:rsidR="00AA44F1">
        <w:rPr>
          <w:rFonts w:ascii="Segoe UI" w:hAnsi="Segoe UI" w:cs="Segoe UI"/>
          <w:sz w:val="22"/>
          <w:szCs w:val="22"/>
        </w:rPr>
        <w:t>course</w:t>
      </w:r>
      <w:r w:rsidR="00145ADD">
        <w:rPr>
          <w:rFonts w:ascii="Segoe UI" w:hAnsi="Segoe UI" w:cs="Segoe UI"/>
          <w:sz w:val="22"/>
          <w:szCs w:val="22"/>
        </w:rPr>
        <w:t xml:space="preserve"> possibly through the use of blended learning and moving the course to Semester 1.</w:t>
      </w:r>
      <w:r w:rsidR="00AA44F1" w:rsidRPr="00AA44F1">
        <w:rPr>
          <w:rFonts w:ascii="Segoe UI" w:hAnsi="Segoe UI" w:cs="Segoe UI"/>
          <w:sz w:val="22"/>
          <w:szCs w:val="22"/>
        </w:rPr>
        <w:t xml:space="preserve"> </w:t>
      </w:r>
    </w:p>
    <w:p w:rsidR="00145ADD" w:rsidRPr="0024486D" w:rsidRDefault="00CA19B8" w:rsidP="00145ADD">
      <w:pPr>
        <w:numPr>
          <w:ilvl w:val="0"/>
          <w:numId w:val="3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Segoe UI" w:hAnsi="Segoe UI" w:cs="Segoe UI"/>
          <w:sz w:val="22"/>
          <w:szCs w:val="22"/>
        </w:rPr>
      </w:pPr>
      <w:r w:rsidRPr="0091595D">
        <w:rPr>
          <w:rFonts w:ascii="Segoe UI" w:hAnsi="Segoe UI" w:cs="Segoe UI"/>
          <w:sz w:val="22"/>
          <w:szCs w:val="22"/>
        </w:rPr>
        <w:t xml:space="preserve">The program would like to increase applied learning and assessment on blasthole drill machinery in </w:t>
      </w:r>
      <w:r w:rsidRPr="0024486D">
        <w:rPr>
          <w:rFonts w:ascii="Segoe UI" w:hAnsi="Segoe UI" w:cs="Segoe UI"/>
          <w:sz w:val="22"/>
          <w:szCs w:val="22"/>
        </w:rPr>
        <w:t>order for students to gain credit and prepare them for Ministry Co</w:t>
      </w:r>
      <w:r w:rsidR="0091595D" w:rsidRPr="0024486D">
        <w:rPr>
          <w:rFonts w:ascii="Segoe UI" w:hAnsi="Segoe UI" w:cs="Segoe UI"/>
          <w:sz w:val="22"/>
          <w:szCs w:val="22"/>
        </w:rPr>
        <w:t>mmon Core Surface Miner modules. If implemented, this would further increase the employability of our graduates.</w:t>
      </w:r>
    </w:p>
    <w:p w:rsidR="00015BD7" w:rsidRPr="0024486D" w:rsidRDefault="00015BD7" w:rsidP="00015BD7">
      <w:pPr>
        <w:numPr>
          <w:ilvl w:val="0"/>
          <w:numId w:val="3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Segoe UI" w:hAnsi="Segoe UI" w:cs="Segoe UI"/>
          <w:sz w:val="22"/>
          <w:szCs w:val="22"/>
        </w:rPr>
      </w:pPr>
      <w:r w:rsidRPr="0024486D">
        <w:rPr>
          <w:rFonts w:ascii="Segoe UI" w:hAnsi="Segoe UI" w:cs="Segoe UI"/>
          <w:sz w:val="22"/>
          <w:szCs w:val="22"/>
        </w:rPr>
        <w:t>Develop a plan for the January 2016 intake to deal with demands on resources due to increases in student numbers.</w:t>
      </w:r>
    </w:p>
    <w:p w:rsidR="0091595D" w:rsidRDefault="0091595D" w:rsidP="0091595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  <w:rPr>
          <w:rFonts w:ascii="Segoe UI" w:hAnsi="Segoe UI" w:cs="Segoe UI"/>
          <w:sz w:val="22"/>
          <w:szCs w:val="22"/>
        </w:rPr>
      </w:pPr>
    </w:p>
    <w:p w:rsidR="00EB5128" w:rsidRPr="008D5860" w:rsidRDefault="00EB5128" w:rsidP="00EB512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Segoe UI" w:hAnsi="Segoe UI" w:cs="Segoe UI"/>
          <w:sz w:val="22"/>
          <w:szCs w:val="22"/>
        </w:rPr>
      </w:pPr>
      <w:r w:rsidRPr="008D5860">
        <w:rPr>
          <w:rFonts w:ascii="Segoe UI" w:hAnsi="Segoe UI" w:cs="Segoe UI"/>
          <w:sz w:val="22"/>
          <w:szCs w:val="22"/>
          <w:u w:val="single"/>
        </w:rPr>
        <w:t>Recommendations Developed to Address Gaps Identified</w:t>
      </w:r>
      <w:r w:rsidRPr="008D5860">
        <w:rPr>
          <w:rFonts w:ascii="Segoe UI" w:hAnsi="Segoe UI" w:cs="Segoe UI"/>
          <w:sz w:val="22"/>
          <w:szCs w:val="22"/>
        </w:rPr>
        <w:t>:</w:t>
      </w:r>
    </w:p>
    <w:p w:rsidR="00EB5128" w:rsidRDefault="0091595D" w:rsidP="00095ABB">
      <w:pPr>
        <w:pStyle w:val="ListParagraph"/>
        <w:numPr>
          <w:ilvl w:val="0"/>
          <w:numId w:val="8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Segoe UI" w:hAnsi="Segoe UI" w:cs="Segoe UI"/>
          <w:sz w:val="22"/>
          <w:szCs w:val="22"/>
        </w:rPr>
      </w:pPr>
      <w:r w:rsidRPr="00095ABB">
        <w:rPr>
          <w:rFonts w:ascii="Segoe UI" w:hAnsi="Segoe UI" w:cs="Segoe UI"/>
          <w:sz w:val="22"/>
          <w:szCs w:val="22"/>
        </w:rPr>
        <w:t>The numeracy skills of students entering the program are a continuing concern. Admission requirements allow students with workplace high school math to enter the program</w:t>
      </w:r>
      <w:r w:rsidR="004342C2">
        <w:rPr>
          <w:rFonts w:ascii="Segoe UI" w:hAnsi="Segoe UI" w:cs="Segoe UI"/>
          <w:sz w:val="22"/>
          <w:szCs w:val="22"/>
        </w:rPr>
        <w:t xml:space="preserve">, however further analysis of the students’ high school math courses taken upon entry is required to inform potential changes to </w:t>
      </w:r>
      <w:r w:rsidRPr="00095ABB">
        <w:rPr>
          <w:rFonts w:ascii="Segoe UI" w:hAnsi="Segoe UI" w:cs="Segoe UI"/>
          <w:sz w:val="22"/>
          <w:szCs w:val="22"/>
        </w:rPr>
        <w:t>the math admission requirement</w:t>
      </w:r>
      <w:r w:rsidR="004342C2">
        <w:rPr>
          <w:rFonts w:ascii="Segoe UI" w:hAnsi="Segoe UI" w:cs="Segoe UI"/>
          <w:sz w:val="22"/>
          <w:szCs w:val="22"/>
        </w:rPr>
        <w:t>.  In addition</w:t>
      </w:r>
      <w:r w:rsidR="00BB10AF">
        <w:rPr>
          <w:rFonts w:ascii="Segoe UI" w:hAnsi="Segoe UI" w:cs="Segoe UI"/>
          <w:sz w:val="22"/>
          <w:szCs w:val="22"/>
        </w:rPr>
        <w:t>,</w:t>
      </w:r>
      <w:r w:rsidR="004342C2">
        <w:rPr>
          <w:rFonts w:ascii="Segoe UI" w:hAnsi="Segoe UI" w:cs="Segoe UI"/>
          <w:sz w:val="22"/>
          <w:szCs w:val="22"/>
        </w:rPr>
        <w:t xml:space="preserve"> it will be important to ensure students avail themselves of existing math supports available on campus.</w:t>
      </w:r>
      <w:r w:rsidR="00970A24">
        <w:rPr>
          <w:rFonts w:ascii="Segoe UI" w:hAnsi="Segoe UI" w:cs="Segoe UI"/>
          <w:sz w:val="22"/>
          <w:szCs w:val="22"/>
        </w:rPr>
        <w:t xml:space="preserve"> </w:t>
      </w:r>
    </w:p>
    <w:p w:rsidR="00145ADD" w:rsidRPr="00095ABB" w:rsidRDefault="00384306" w:rsidP="00095ABB">
      <w:pPr>
        <w:pStyle w:val="ListParagraph"/>
        <w:numPr>
          <w:ilvl w:val="0"/>
          <w:numId w:val="8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An investigation into the </w:t>
      </w:r>
      <w:r w:rsidR="00145ADD">
        <w:rPr>
          <w:rFonts w:ascii="Segoe UI" w:hAnsi="Segoe UI" w:cs="Segoe UI"/>
          <w:sz w:val="22"/>
          <w:szCs w:val="22"/>
        </w:rPr>
        <w:t>possibility of developing an online math course to allow students who were unsuccessful in Semester 1 math to make up the credit</w:t>
      </w:r>
      <w:r>
        <w:rPr>
          <w:rFonts w:ascii="Segoe UI" w:hAnsi="Segoe UI" w:cs="Segoe UI"/>
          <w:sz w:val="22"/>
          <w:szCs w:val="22"/>
        </w:rPr>
        <w:t xml:space="preserve"> will be undertaken</w:t>
      </w:r>
      <w:r w:rsidR="00CD5CEC">
        <w:rPr>
          <w:rFonts w:ascii="Segoe UI" w:hAnsi="Segoe UI" w:cs="Segoe UI"/>
          <w:sz w:val="22"/>
          <w:szCs w:val="22"/>
        </w:rPr>
        <w:t xml:space="preserve">. </w:t>
      </w:r>
      <w:r>
        <w:rPr>
          <w:rFonts w:ascii="Segoe UI" w:hAnsi="Segoe UI" w:cs="Segoe UI"/>
          <w:sz w:val="22"/>
          <w:szCs w:val="22"/>
        </w:rPr>
        <w:t xml:space="preserve">Students could enrol in this course during the winter or spring </w:t>
      </w:r>
      <w:r w:rsidR="00145ADD">
        <w:rPr>
          <w:rFonts w:ascii="Segoe UI" w:hAnsi="Segoe UI" w:cs="Segoe UI"/>
          <w:sz w:val="22"/>
          <w:szCs w:val="22"/>
        </w:rPr>
        <w:t xml:space="preserve">rather than having </w:t>
      </w:r>
      <w:r>
        <w:rPr>
          <w:rFonts w:ascii="Segoe UI" w:hAnsi="Segoe UI" w:cs="Segoe UI"/>
          <w:sz w:val="22"/>
          <w:szCs w:val="22"/>
        </w:rPr>
        <w:t>to wait for the following fall in order to make up the credit. This would improve the graduation rate of the program.</w:t>
      </w:r>
    </w:p>
    <w:p w:rsidR="00EB5128" w:rsidRPr="0024486D" w:rsidRDefault="0091595D" w:rsidP="00095ABB">
      <w:pPr>
        <w:pStyle w:val="ListParagraph"/>
        <w:numPr>
          <w:ilvl w:val="0"/>
          <w:numId w:val="8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Segoe UI" w:hAnsi="Segoe UI" w:cs="Segoe UI"/>
          <w:sz w:val="22"/>
          <w:szCs w:val="22"/>
        </w:rPr>
      </w:pPr>
      <w:r w:rsidRPr="0024486D">
        <w:rPr>
          <w:rFonts w:ascii="Segoe UI" w:hAnsi="Segoe UI" w:cs="Segoe UI"/>
          <w:sz w:val="22"/>
          <w:szCs w:val="22"/>
        </w:rPr>
        <w:t xml:space="preserve">Direct entry </w:t>
      </w:r>
      <w:r w:rsidR="00E53A53" w:rsidRPr="0024486D">
        <w:rPr>
          <w:rFonts w:ascii="Segoe UI" w:hAnsi="Segoe UI" w:cs="Segoe UI"/>
          <w:sz w:val="22"/>
          <w:szCs w:val="22"/>
        </w:rPr>
        <w:t xml:space="preserve">opportunities </w:t>
      </w:r>
      <w:r w:rsidRPr="0024486D">
        <w:rPr>
          <w:rFonts w:ascii="Segoe UI" w:hAnsi="Segoe UI" w:cs="Segoe UI"/>
          <w:sz w:val="22"/>
          <w:szCs w:val="22"/>
        </w:rPr>
        <w:t xml:space="preserve">into the Resource Drilling and Blasting program will need to be reviewed. </w:t>
      </w:r>
      <w:r w:rsidR="00E53A53" w:rsidRPr="0024486D">
        <w:rPr>
          <w:rFonts w:ascii="Segoe UI" w:hAnsi="Segoe UI" w:cs="Segoe UI"/>
          <w:sz w:val="22"/>
          <w:szCs w:val="22"/>
        </w:rPr>
        <w:t>More s</w:t>
      </w:r>
      <w:r w:rsidRPr="0024486D">
        <w:rPr>
          <w:rFonts w:ascii="Segoe UI" w:hAnsi="Segoe UI" w:cs="Segoe UI"/>
          <w:sz w:val="22"/>
          <w:szCs w:val="22"/>
        </w:rPr>
        <w:t xml:space="preserve">tudents from the Blasting </w:t>
      </w:r>
      <w:r w:rsidR="00E53A53" w:rsidRPr="0024486D">
        <w:rPr>
          <w:rFonts w:ascii="Segoe UI" w:hAnsi="Segoe UI" w:cs="Segoe UI"/>
          <w:sz w:val="22"/>
          <w:szCs w:val="22"/>
        </w:rPr>
        <w:t xml:space="preserve">Techniques </w:t>
      </w:r>
      <w:r w:rsidRPr="0024486D">
        <w:rPr>
          <w:rFonts w:ascii="Segoe UI" w:hAnsi="Segoe UI" w:cs="Segoe UI"/>
          <w:sz w:val="22"/>
          <w:szCs w:val="22"/>
        </w:rPr>
        <w:t xml:space="preserve">program are </w:t>
      </w:r>
      <w:r w:rsidR="00E53A53" w:rsidRPr="0024486D">
        <w:rPr>
          <w:rFonts w:ascii="Segoe UI" w:hAnsi="Segoe UI" w:cs="Segoe UI"/>
          <w:sz w:val="22"/>
          <w:szCs w:val="22"/>
        </w:rPr>
        <w:t xml:space="preserve">interested in this additional credential however the existing patterns of enrolment suggest that they are </w:t>
      </w:r>
      <w:r w:rsidRPr="0024486D">
        <w:rPr>
          <w:rFonts w:ascii="Segoe UI" w:hAnsi="Segoe UI" w:cs="Segoe UI"/>
          <w:sz w:val="22"/>
          <w:szCs w:val="22"/>
        </w:rPr>
        <w:t>not gaining entr</w:t>
      </w:r>
      <w:r w:rsidR="00140C47" w:rsidRPr="0024486D">
        <w:rPr>
          <w:rFonts w:ascii="Segoe UI" w:hAnsi="Segoe UI" w:cs="Segoe UI"/>
          <w:sz w:val="22"/>
          <w:szCs w:val="22"/>
        </w:rPr>
        <w:t>y into this program a</w:t>
      </w:r>
      <w:r w:rsidR="00EA0AF9" w:rsidRPr="0024486D">
        <w:rPr>
          <w:rFonts w:ascii="Segoe UI" w:hAnsi="Segoe UI" w:cs="Segoe UI"/>
          <w:sz w:val="22"/>
          <w:szCs w:val="22"/>
        </w:rPr>
        <w:t>s expected</w:t>
      </w:r>
      <w:r w:rsidR="00140C47" w:rsidRPr="0024486D">
        <w:rPr>
          <w:rFonts w:ascii="Segoe UI" w:hAnsi="Segoe UI" w:cs="Segoe UI"/>
          <w:sz w:val="22"/>
          <w:szCs w:val="22"/>
        </w:rPr>
        <w:t>.</w:t>
      </w:r>
    </w:p>
    <w:p w:rsidR="0091595D" w:rsidRPr="008D5860" w:rsidRDefault="0091595D" w:rsidP="00EB512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Segoe UI" w:hAnsi="Segoe UI" w:cs="Segoe UI"/>
          <w:sz w:val="22"/>
          <w:szCs w:val="22"/>
        </w:rPr>
      </w:pPr>
    </w:p>
    <w:p w:rsidR="00EB5128" w:rsidRPr="008D5860" w:rsidRDefault="00EB5128" w:rsidP="00EB512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Segoe UI" w:hAnsi="Segoe UI" w:cs="Segoe UI"/>
          <w:sz w:val="22"/>
          <w:szCs w:val="22"/>
        </w:rPr>
      </w:pPr>
    </w:p>
    <w:p w:rsidR="009524D9" w:rsidRPr="008D5860" w:rsidRDefault="00233A93" w:rsidP="009524D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Segoe UI" w:hAnsi="Segoe UI" w:cs="Segoe UI"/>
          <w:sz w:val="22"/>
          <w:szCs w:val="22"/>
        </w:rPr>
      </w:pPr>
      <w:r w:rsidRPr="008D5860">
        <w:rPr>
          <w:rFonts w:ascii="Segoe UI" w:hAnsi="Segoe UI" w:cs="Segoe UI"/>
          <w:sz w:val="22"/>
          <w:szCs w:val="22"/>
        </w:rPr>
        <w:t xml:space="preserve">Program Review Panel </w:t>
      </w:r>
      <w:r w:rsidR="009524D9" w:rsidRPr="008D5860">
        <w:rPr>
          <w:rFonts w:ascii="Segoe UI" w:hAnsi="Segoe UI" w:cs="Segoe UI"/>
          <w:sz w:val="22"/>
          <w:szCs w:val="22"/>
        </w:rPr>
        <w:t>Meeting Date:</w:t>
      </w:r>
      <w:r w:rsidR="00680CFB">
        <w:rPr>
          <w:rFonts w:ascii="Segoe UI" w:hAnsi="Segoe UI" w:cs="Segoe UI"/>
          <w:sz w:val="22"/>
          <w:szCs w:val="22"/>
        </w:rPr>
        <w:t xml:space="preserve"> March 9</w:t>
      </w:r>
      <w:r w:rsidR="00680CFB" w:rsidRPr="00680CFB">
        <w:rPr>
          <w:rFonts w:ascii="Segoe UI" w:hAnsi="Segoe UI" w:cs="Segoe UI"/>
          <w:sz w:val="22"/>
          <w:szCs w:val="22"/>
          <w:vertAlign w:val="superscript"/>
        </w:rPr>
        <w:t>th</w:t>
      </w:r>
      <w:r w:rsidR="00680CFB">
        <w:rPr>
          <w:rFonts w:ascii="Segoe UI" w:hAnsi="Segoe UI" w:cs="Segoe UI"/>
          <w:sz w:val="22"/>
          <w:szCs w:val="22"/>
        </w:rPr>
        <w:t>, 2015</w:t>
      </w:r>
    </w:p>
    <w:p w:rsidR="005022EF" w:rsidRPr="008D5860" w:rsidRDefault="005022EF" w:rsidP="009524D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Segoe UI" w:hAnsi="Segoe UI" w:cs="Segoe UI"/>
          <w:sz w:val="22"/>
          <w:szCs w:val="22"/>
        </w:rPr>
      </w:pPr>
    </w:p>
    <w:p w:rsidR="009524D9" w:rsidRPr="008D5860" w:rsidRDefault="009524D9" w:rsidP="009524D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Segoe UI" w:hAnsi="Segoe UI" w:cs="Segoe UI"/>
          <w:sz w:val="22"/>
          <w:szCs w:val="22"/>
        </w:rPr>
      </w:pPr>
      <w:r w:rsidRPr="008D5860">
        <w:rPr>
          <w:rFonts w:ascii="Segoe UI" w:hAnsi="Segoe UI" w:cs="Segoe UI"/>
          <w:sz w:val="22"/>
          <w:szCs w:val="22"/>
        </w:rPr>
        <w:t>Program Review Panel Participants:</w:t>
      </w:r>
    </w:p>
    <w:p w:rsidR="00C54829" w:rsidRPr="008D5860" w:rsidRDefault="00C54829" w:rsidP="009524D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Segoe UI" w:hAnsi="Segoe UI" w:cs="Segoe UI"/>
          <w:sz w:val="22"/>
          <w:szCs w:val="22"/>
        </w:rPr>
      </w:pPr>
      <w:r w:rsidRPr="008D5860">
        <w:rPr>
          <w:rFonts w:ascii="Segoe UI" w:hAnsi="Segoe UI" w:cs="Segoe UI"/>
          <w:sz w:val="22"/>
          <w:szCs w:val="22"/>
        </w:rPr>
        <w:tab/>
      </w:r>
    </w:p>
    <w:p w:rsidR="00691FDD" w:rsidRDefault="00C54829" w:rsidP="009524D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Segoe UI" w:hAnsi="Segoe UI" w:cs="Segoe UI"/>
          <w:sz w:val="22"/>
          <w:szCs w:val="22"/>
        </w:rPr>
      </w:pPr>
      <w:r w:rsidRPr="008D5860">
        <w:rPr>
          <w:rFonts w:ascii="Segoe UI" w:hAnsi="Segoe UI" w:cs="Segoe UI"/>
          <w:sz w:val="22"/>
          <w:szCs w:val="22"/>
        </w:rPr>
        <w:tab/>
      </w:r>
      <w:r w:rsidR="00691FDD">
        <w:rPr>
          <w:rFonts w:ascii="Segoe UI" w:hAnsi="Segoe UI" w:cs="Segoe UI"/>
          <w:sz w:val="22"/>
          <w:szCs w:val="22"/>
        </w:rPr>
        <w:t>Chair:  Mary Ann Fader</w:t>
      </w:r>
    </w:p>
    <w:p w:rsidR="00C54829" w:rsidRPr="008D5860" w:rsidRDefault="00691FDD" w:rsidP="009524D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r w:rsidR="00C54829" w:rsidRPr="008D5860">
        <w:rPr>
          <w:rFonts w:ascii="Segoe UI" w:hAnsi="Segoe UI" w:cs="Segoe UI"/>
          <w:sz w:val="22"/>
          <w:szCs w:val="22"/>
        </w:rPr>
        <w:t>Program Co-ordinator:</w:t>
      </w:r>
      <w:r w:rsidR="00680CFB">
        <w:rPr>
          <w:rFonts w:ascii="Segoe UI" w:hAnsi="Segoe UI" w:cs="Segoe UI"/>
          <w:sz w:val="22"/>
          <w:szCs w:val="22"/>
        </w:rPr>
        <w:t xml:space="preserve"> William Smith</w:t>
      </w:r>
    </w:p>
    <w:p w:rsidR="00C54829" w:rsidRPr="008D5860" w:rsidRDefault="00C54829" w:rsidP="009524D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Segoe UI" w:hAnsi="Segoe UI" w:cs="Segoe UI"/>
          <w:sz w:val="22"/>
          <w:szCs w:val="22"/>
        </w:rPr>
      </w:pPr>
      <w:r w:rsidRPr="008D5860">
        <w:rPr>
          <w:rFonts w:ascii="Segoe UI" w:hAnsi="Segoe UI" w:cs="Segoe UI"/>
          <w:sz w:val="22"/>
          <w:szCs w:val="22"/>
        </w:rPr>
        <w:tab/>
        <w:t>Curriculum Consultant:</w:t>
      </w:r>
      <w:r w:rsidR="00680CFB">
        <w:rPr>
          <w:rFonts w:ascii="Segoe UI" w:hAnsi="Segoe UI" w:cs="Segoe UI"/>
          <w:sz w:val="22"/>
          <w:szCs w:val="22"/>
        </w:rPr>
        <w:t xml:space="preserve"> Kris McBride</w:t>
      </w:r>
    </w:p>
    <w:p w:rsidR="00DD6F63" w:rsidRDefault="00C5482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Segoe UI" w:hAnsi="Segoe UI" w:cs="Segoe UI"/>
          <w:sz w:val="22"/>
          <w:szCs w:val="22"/>
        </w:rPr>
      </w:pPr>
      <w:r w:rsidRPr="008D5860">
        <w:rPr>
          <w:rFonts w:ascii="Segoe UI" w:hAnsi="Segoe UI" w:cs="Segoe UI"/>
          <w:sz w:val="22"/>
          <w:szCs w:val="22"/>
        </w:rPr>
        <w:tab/>
        <w:t>Program Faculty/Support (max</w:t>
      </w:r>
      <w:r w:rsidR="001759A2" w:rsidRPr="008D5860">
        <w:rPr>
          <w:rFonts w:ascii="Segoe UI" w:hAnsi="Segoe UI" w:cs="Segoe UI"/>
          <w:sz w:val="22"/>
          <w:szCs w:val="22"/>
        </w:rPr>
        <w:t>imum</w:t>
      </w:r>
      <w:r w:rsidRPr="008D5860">
        <w:rPr>
          <w:rFonts w:ascii="Segoe UI" w:hAnsi="Segoe UI" w:cs="Segoe UI"/>
          <w:sz w:val="22"/>
          <w:szCs w:val="22"/>
        </w:rPr>
        <w:t xml:space="preserve"> 4):</w:t>
      </w:r>
      <w:r w:rsidR="008466AB">
        <w:rPr>
          <w:rFonts w:ascii="Segoe UI" w:hAnsi="Segoe UI" w:cs="Segoe UI"/>
          <w:sz w:val="22"/>
          <w:szCs w:val="22"/>
        </w:rPr>
        <w:t xml:space="preserve"> </w:t>
      </w:r>
      <w:r w:rsidR="00DD6F63">
        <w:rPr>
          <w:rFonts w:ascii="Segoe UI" w:hAnsi="Segoe UI" w:cs="Segoe UI"/>
          <w:sz w:val="22"/>
          <w:szCs w:val="22"/>
        </w:rPr>
        <w:t>Lorne Bellamy, Cathy Stalkie</w:t>
      </w:r>
    </w:p>
    <w:p w:rsidR="00EB5128" w:rsidRPr="008D5860" w:rsidRDefault="001759A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Segoe UI" w:hAnsi="Segoe UI" w:cs="Segoe UI"/>
          <w:sz w:val="22"/>
          <w:szCs w:val="22"/>
        </w:rPr>
      </w:pPr>
      <w:r w:rsidRPr="008D5860">
        <w:rPr>
          <w:rFonts w:ascii="Segoe UI" w:hAnsi="Segoe UI" w:cs="Segoe UI"/>
          <w:sz w:val="22"/>
          <w:szCs w:val="22"/>
        </w:rPr>
        <w:tab/>
        <w:t xml:space="preserve">External Members (minimum </w:t>
      </w:r>
      <w:r w:rsidR="00EE1E53">
        <w:rPr>
          <w:rFonts w:ascii="Segoe UI" w:hAnsi="Segoe UI" w:cs="Segoe UI"/>
          <w:sz w:val="22"/>
          <w:szCs w:val="22"/>
        </w:rPr>
        <w:t>3)</w:t>
      </w:r>
      <w:r w:rsidR="008466AB">
        <w:rPr>
          <w:rFonts w:ascii="Segoe UI" w:hAnsi="Segoe UI" w:cs="Segoe UI"/>
          <w:sz w:val="22"/>
          <w:szCs w:val="22"/>
        </w:rPr>
        <w:t xml:space="preserve">: </w:t>
      </w:r>
      <w:r w:rsidR="0037020E" w:rsidRPr="0037020E">
        <w:rPr>
          <w:rFonts w:ascii="Segoe UI" w:hAnsi="Segoe UI" w:cs="Segoe UI"/>
          <w:sz w:val="22"/>
          <w:szCs w:val="22"/>
        </w:rPr>
        <w:t>Al Romphf, John Newton, Cam Thomas, Pierre Labelle, Joey Vieglin</w:t>
      </w:r>
    </w:p>
    <w:sectPr w:rsidR="00EB5128" w:rsidRPr="008D5860" w:rsidSect="008D5860">
      <w:footerReference w:type="default" r:id="rId8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5CEC" w:rsidRDefault="00CD5CEC" w:rsidP="00373D5B">
      <w:r>
        <w:separator/>
      </w:r>
    </w:p>
  </w:endnote>
  <w:endnote w:type="continuationSeparator" w:id="0">
    <w:p w:rsidR="00CD5CEC" w:rsidRDefault="00CD5CEC" w:rsidP="00373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2305016"/>
      <w:docPartObj>
        <w:docPartGallery w:val="Page Numbers (Bottom of Page)"/>
        <w:docPartUnique/>
      </w:docPartObj>
    </w:sdtPr>
    <w:sdtEndPr/>
    <w:sdtContent>
      <w:p w:rsidR="00CD5CEC" w:rsidRDefault="00CD5CE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077F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D5CEC" w:rsidRDefault="00CD5CE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5CEC" w:rsidRDefault="00CD5CEC" w:rsidP="00373D5B">
      <w:r>
        <w:separator/>
      </w:r>
    </w:p>
  </w:footnote>
  <w:footnote w:type="continuationSeparator" w:id="0">
    <w:p w:rsidR="00CD5CEC" w:rsidRDefault="00CD5CEC" w:rsidP="00373D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B258AB"/>
    <w:multiLevelType w:val="hybridMultilevel"/>
    <w:tmpl w:val="E6B66F62"/>
    <w:lvl w:ilvl="0" w:tplc="4D60CB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E15429"/>
    <w:multiLevelType w:val="hybridMultilevel"/>
    <w:tmpl w:val="F85C8B9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4A0F16"/>
    <w:multiLevelType w:val="hybridMultilevel"/>
    <w:tmpl w:val="F3FE1F1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F97C9B"/>
    <w:multiLevelType w:val="hybridMultilevel"/>
    <w:tmpl w:val="36F4AD0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C764B2"/>
    <w:multiLevelType w:val="hybridMultilevel"/>
    <w:tmpl w:val="1596659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FB6582"/>
    <w:multiLevelType w:val="hybridMultilevel"/>
    <w:tmpl w:val="9DC2B7F8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2D0FA5"/>
    <w:multiLevelType w:val="hybridMultilevel"/>
    <w:tmpl w:val="C6C898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713A8D"/>
    <w:multiLevelType w:val="hybridMultilevel"/>
    <w:tmpl w:val="EAB4B19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2"/>
  </w:num>
  <w:num w:numId="5">
    <w:abstractNumId w:val="7"/>
  </w:num>
  <w:num w:numId="6">
    <w:abstractNumId w:val="0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749"/>
    <w:rsid w:val="00015BD7"/>
    <w:rsid w:val="00095ABB"/>
    <w:rsid w:val="000D2749"/>
    <w:rsid w:val="00140C47"/>
    <w:rsid w:val="00145ADD"/>
    <w:rsid w:val="00146DCB"/>
    <w:rsid w:val="00164732"/>
    <w:rsid w:val="001759A2"/>
    <w:rsid w:val="001D6832"/>
    <w:rsid w:val="002205AA"/>
    <w:rsid w:val="00233A93"/>
    <w:rsid w:val="0024486D"/>
    <w:rsid w:val="002818F2"/>
    <w:rsid w:val="002D5FB3"/>
    <w:rsid w:val="002E0738"/>
    <w:rsid w:val="0031640B"/>
    <w:rsid w:val="0037020E"/>
    <w:rsid w:val="00370B5B"/>
    <w:rsid w:val="00372474"/>
    <w:rsid w:val="00373D5B"/>
    <w:rsid w:val="00384306"/>
    <w:rsid w:val="003D51CD"/>
    <w:rsid w:val="004342C2"/>
    <w:rsid w:val="004509EC"/>
    <w:rsid w:val="004675E2"/>
    <w:rsid w:val="00494111"/>
    <w:rsid w:val="004F22BB"/>
    <w:rsid w:val="005022EF"/>
    <w:rsid w:val="00502B70"/>
    <w:rsid w:val="00513C50"/>
    <w:rsid w:val="005243B5"/>
    <w:rsid w:val="005335B8"/>
    <w:rsid w:val="00541907"/>
    <w:rsid w:val="00555B74"/>
    <w:rsid w:val="00680CFB"/>
    <w:rsid w:val="00691FDD"/>
    <w:rsid w:val="006A2DD4"/>
    <w:rsid w:val="006D293D"/>
    <w:rsid w:val="007077F2"/>
    <w:rsid w:val="00731756"/>
    <w:rsid w:val="007861A9"/>
    <w:rsid w:val="007A4706"/>
    <w:rsid w:val="007B06D9"/>
    <w:rsid w:val="007B0E24"/>
    <w:rsid w:val="0080734A"/>
    <w:rsid w:val="008448C4"/>
    <w:rsid w:val="008466AB"/>
    <w:rsid w:val="00855504"/>
    <w:rsid w:val="00882951"/>
    <w:rsid w:val="008D5860"/>
    <w:rsid w:val="008D6A94"/>
    <w:rsid w:val="008E0961"/>
    <w:rsid w:val="0090352B"/>
    <w:rsid w:val="0091595D"/>
    <w:rsid w:val="00923D95"/>
    <w:rsid w:val="00931F6B"/>
    <w:rsid w:val="0094470E"/>
    <w:rsid w:val="009524D9"/>
    <w:rsid w:val="009624A0"/>
    <w:rsid w:val="00970A24"/>
    <w:rsid w:val="009D09A1"/>
    <w:rsid w:val="009E1557"/>
    <w:rsid w:val="009E1B04"/>
    <w:rsid w:val="00A04BC6"/>
    <w:rsid w:val="00AA44F1"/>
    <w:rsid w:val="00AD5F27"/>
    <w:rsid w:val="00B524EA"/>
    <w:rsid w:val="00B570B5"/>
    <w:rsid w:val="00BA66F7"/>
    <w:rsid w:val="00BB10AF"/>
    <w:rsid w:val="00C172B9"/>
    <w:rsid w:val="00C54829"/>
    <w:rsid w:val="00C84D56"/>
    <w:rsid w:val="00C969E0"/>
    <w:rsid w:val="00CA19B8"/>
    <w:rsid w:val="00CD5CEC"/>
    <w:rsid w:val="00DA7FE3"/>
    <w:rsid w:val="00DB49ED"/>
    <w:rsid w:val="00DD6F63"/>
    <w:rsid w:val="00DF00A7"/>
    <w:rsid w:val="00E17720"/>
    <w:rsid w:val="00E35C66"/>
    <w:rsid w:val="00E53A53"/>
    <w:rsid w:val="00EA0AF9"/>
    <w:rsid w:val="00EB295B"/>
    <w:rsid w:val="00EB5128"/>
    <w:rsid w:val="00EE1E53"/>
    <w:rsid w:val="00F0262D"/>
    <w:rsid w:val="00F076E3"/>
    <w:rsid w:val="00F80BED"/>
    <w:rsid w:val="00F87C87"/>
    <w:rsid w:val="00FB6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D752C22-1C65-4265-9DA5-C204BCB11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2749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D27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33A9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73D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3D5B"/>
    <w:rPr>
      <w:rFonts w:ascii="Tahoma" w:eastAsia="Times New Roman" w:hAnsi="Tahoma" w:cs="Tahoma"/>
      <w:sz w:val="16"/>
      <w:szCs w:val="16"/>
      <w:lang w:val="en-CA"/>
    </w:rPr>
  </w:style>
  <w:style w:type="paragraph" w:styleId="Header">
    <w:name w:val="header"/>
    <w:basedOn w:val="Normal"/>
    <w:link w:val="HeaderChar"/>
    <w:uiPriority w:val="99"/>
    <w:semiHidden/>
    <w:unhideWhenUsed/>
    <w:rsid w:val="00373D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73D5B"/>
    <w:rPr>
      <w:rFonts w:ascii="Arial" w:eastAsia="Times New Roman" w:hAnsi="Arial" w:cs="Times New Roman"/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373D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3D5B"/>
    <w:rPr>
      <w:rFonts w:ascii="Arial" w:eastAsia="Times New Roman" w:hAnsi="Arial" w:cs="Times New Roman"/>
      <w:sz w:val="24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ustom 3">
      <a:dk1>
        <a:srgbClr val="1E4429"/>
      </a:dk1>
      <a:lt1>
        <a:srgbClr val="FFFFFF"/>
      </a:lt1>
      <a:dk2>
        <a:srgbClr val="62A39F"/>
      </a:dk2>
      <a:lt2>
        <a:srgbClr val="DFE3E5"/>
      </a:lt2>
      <a:accent1>
        <a:srgbClr val="A0C7C5"/>
      </a:accent1>
      <a:accent2>
        <a:srgbClr val="C0DAD8"/>
      </a:accent2>
      <a:accent3>
        <a:srgbClr val="DFECEB"/>
      </a:accent3>
      <a:accent4>
        <a:srgbClr val="7EC492"/>
      </a:accent4>
      <a:accent5>
        <a:srgbClr val="A9D7B6"/>
      </a:accent5>
      <a:accent6>
        <a:srgbClr val="D4EBDA"/>
      </a:accent6>
      <a:hlink>
        <a:srgbClr val="3E8853"/>
      </a:hlink>
      <a:folHlink>
        <a:srgbClr val="62A39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6DAF7F05</Template>
  <TotalTime>151</TotalTime>
  <Pages>3</Pages>
  <Words>1260</Words>
  <Characters>7185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SSFC</Company>
  <LinksUpToDate>false</LinksUpToDate>
  <CharactersWithSpaces>8429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ITS</dc:creator>
  <cp:lastModifiedBy>Kristine McBride</cp:lastModifiedBy>
  <cp:revision>36</cp:revision>
  <cp:lastPrinted>2015-03-09T13:15:00Z</cp:lastPrinted>
  <dcterms:created xsi:type="dcterms:W3CDTF">2015-03-02T19:36:00Z</dcterms:created>
  <dcterms:modified xsi:type="dcterms:W3CDTF">2015-04-16T13:58:00Z</dcterms:modified>
</cp:coreProperties>
</file>