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F6B" w:rsidRDefault="00276F6B" w:rsidP="00276F6B">
      <w:pPr>
        <w:pStyle w:val="Header"/>
        <w:rPr>
          <w:lang w:val="en-CA"/>
        </w:rPr>
      </w:pPr>
    </w:p>
    <w:p w:rsidR="00276F6B" w:rsidRDefault="00276F6B" w:rsidP="00276F6B">
      <w:pPr>
        <w:pStyle w:val="Header"/>
        <w:jc w:val="center"/>
        <w:rPr>
          <w:b/>
          <w:sz w:val="28"/>
          <w:szCs w:val="28"/>
          <w:lang w:val="en-CA"/>
        </w:rPr>
      </w:pPr>
      <w:r w:rsidRPr="00CA500D">
        <w:rPr>
          <w:b/>
          <w:sz w:val="28"/>
          <w:szCs w:val="28"/>
          <w:lang w:val="en-CA"/>
        </w:rPr>
        <w:t>Program Review Self Study Template</w:t>
      </w:r>
      <w:r w:rsidR="008D0BF2">
        <w:rPr>
          <w:b/>
          <w:sz w:val="28"/>
          <w:szCs w:val="28"/>
          <w:lang w:val="en-CA"/>
        </w:rPr>
        <w:t>—Emergency Management</w:t>
      </w:r>
    </w:p>
    <w:p w:rsidR="00276F6B" w:rsidRPr="00CA500D" w:rsidRDefault="00276F6B" w:rsidP="00276F6B">
      <w:pPr>
        <w:pStyle w:val="Header"/>
        <w:jc w:val="center"/>
        <w:rPr>
          <w:b/>
          <w:sz w:val="28"/>
          <w:szCs w:val="28"/>
          <w:lang w:val="en-CA"/>
        </w:rPr>
      </w:pPr>
    </w:p>
    <w:tbl>
      <w:tblPr>
        <w:tblStyle w:val="TableGrid"/>
        <w:tblW w:w="14821" w:type="dxa"/>
        <w:tblInd w:w="-1735" w:type="dxa"/>
        <w:tblLook w:val="01E0" w:firstRow="1" w:lastRow="1" w:firstColumn="1" w:lastColumn="1" w:noHBand="0" w:noVBand="0"/>
      </w:tblPr>
      <w:tblGrid>
        <w:gridCol w:w="6379"/>
        <w:gridCol w:w="8442"/>
      </w:tblGrid>
      <w:tr w:rsidR="005F5C69" w:rsidRPr="00AC5F75" w:rsidTr="00B82C30">
        <w:tc>
          <w:tcPr>
            <w:tcW w:w="6379" w:type="dxa"/>
            <w:shd w:val="clear" w:color="auto" w:fill="C0C0C0"/>
            <w:tcMar>
              <w:top w:w="113" w:type="dxa"/>
              <w:bottom w:w="113" w:type="dxa"/>
            </w:tcMar>
          </w:tcPr>
          <w:p w:rsidR="005F5C69" w:rsidRDefault="005F5C69" w:rsidP="007B14A5">
            <w:pPr>
              <w:rPr>
                <w:b/>
              </w:rPr>
            </w:pPr>
            <w:r>
              <w:rPr>
                <w:b/>
              </w:rPr>
              <w:t xml:space="preserve">Indicator </w:t>
            </w:r>
          </w:p>
          <w:p w:rsidR="005F5C69" w:rsidRDefault="005F5C69" w:rsidP="007B14A5">
            <w:pPr>
              <w:rPr>
                <w:b/>
              </w:rPr>
            </w:pPr>
            <w:r w:rsidRPr="008A1FB1">
              <w:rPr>
                <w:b/>
              </w:rPr>
              <w:t>1.0 Industry Trends</w:t>
            </w:r>
          </w:p>
        </w:tc>
        <w:tc>
          <w:tcPr>
            <w:tcW w:w="8442" w:type="dxa"/>
            <w:shd w:val="clear" w:color="auto" w:fill="C0C0C0"/>
          </w:tcPr>
          <w:p w:rsidR="005F5C69" w:rsidRDefault="005F5C69" w:rsidP="007B14A5">
            <w:pPr>
              <w:rPr>
                <w:b/>
              </w:rPr>
            </w:pPr>
          </w:p>
          <w:p w:rsidR="005F5C69" w:rsidRPr="00AC5F75" w:rsidRDefault="005F5C69" w:rsidP="007B14A5">
            <w:pPr>
              <w:rPr>
                <w:b/>
                <w:sz w:val="28"/>
                <w:szCs w:val="28"/>
              </w:rPr>
            </w:pPr>
            <w:r w:rsidRPr="007B14A5">
              <w:rPr>
                <w:b/>
              </w:rPr>
              <w:t>Summary of Key Findings</w:t>
            </w:r>
          </w:p>
        </w:tc>
      </w:tr>
      <w:tr w:rsidR="005F5C69" w:rsidRPr="004A2AC6" w:rsidTr="00B82C30">
        <w:tc>
          <w:tcPr>
            <w:tcW w:w="6379" w:type="dxa"/>
            <w:tcMar>
              <w:top w:w="113" w:type="dxa"/>
              <w:bottom w:w="113" w:type="dxa"/>
            </w:tcMar>
          </w:tcPr>
          <w:p w:rsidR="005F5C69" w:rsidRPr="007B14A5" w:rsidRDefault="005F5C69" w:rsidP="005F5C69">
            <w:pPr>
              <w:rPr>
                <w:b/>
                <w:bCs/>
                <w:sz w:val="20"/>
              </w:rPr>
            </w:pPr>
            <w:r w:rsidRPr="007B14A5">
              <w:rPr>
                <w:b/>
                <w:bCs/>
                <w:sz w:val="20"/>
              </w:rPr>
              <w:t xml:space="preserve">1.1 </w:t>
            </w:r>
            <w:proofErr w:type="spellStart"/>
            <w:r w:rsidRPr="007B14A5">
              <w:rPr>
                <w:b/>
                <w:bCs/>
                <w:sz w:val="20"/>
              </w:rPr>
              <w:t>Sectoral</w:t>
            </w:r>
            <w:proofErr w:type="spellEnd"/>
            <w:r w:rsidRPr="007B14A5">
              <w:rPr>
                <w:b/>
                <w:bCs/>
                <w:sz w:val="20"/>
              </w:rPr>
              <w:t xml:space="preserve"> Standards and Industry Trends</w:t>
            </w:r>
          </w:p>
          <w:p w:rsidR="005F5C69" w:rsidRPr="007B14A5" w:rsidRDefault="005F5C69" w:rsidP="005F5C69">
            <w:pPr>
              <w:rPr>
                <w:b/>
                <w:bCs/>
                <w:sz w:val="20"/>
              </w:rPr>
            </w:pPr>
          </w:p>
          <w:p w:rsidR="005F5C69" w:rsidRPr="007B14A5" w:rsidRDefault="005F5C69" w:rsidP="005F5C69">
            <w:pPr>
              <w:rPr>
                <w:b/>
                <w:bCs/>
                <w:sz w:val="20"/>
              </w:rPr>
            </w:pPr>
            <w:r>
              <w:rPr>
                <w:b/>
                <w:bCs/>
                <w:sz w:val="20"/>
              </w:rPr>
              <w:t>R</w:t>
            </w:r>
            <w:r w:rsidRPr="007B14A5">
              <w:rPr>
                <w:b/>
                <w:bCs/>
                <w:sz w:val="20"/>
              </w:rPr>
              <w:t>eview / discuss:</w:t>
            </w:r>
          </w:p>
          <w:p w:rsidR="005F5C69" w:rsidRPr="007B14A5" w:rsidRDefault="005F5C69" w:rsidP="005F5C69">
            <w:pPr>
              <w:numPr>
                <w:ilvl w:val="0"/>
                <w:numId w:val="1"/>
              </w:numPr>
              <w:tabs>
                <w:tab w:val="clear" w:pos="720"/>
                <w:tab w:val="num" w:pos="360"/>
              </w:tabs>
              <w:ind w:left="360"/>
              <w:rPr>
                <w:sz w:val="20"/>
              </w:rPr>
            </w:pPr>
            <w:r w:rsidRPr="007B14A5">
              <w:rPr>
                <w:sz w:val="20"/>
              </w:rPr>
              <w:t>New or emergent industry / sector themes or issues that may have a potential impact on program positioning</w:t>
            </w:r>
          </w:p>
          <w:p w:rsidR="005F5C69" w:rsidRPr="007B14A5" w:rsidRDefault="005F5C69" w:rsidP="005F5C69">
            <w:pPr>
              <w:numPr>
                <w:ilvl w:val="0"/>
                <w:numId w:val="1"/>
              </w:numPr>
              <w:tabs>
                <w:tab w:val="clear" w:pos="720"/>
                <w:tab w:val="num" w:pos="360"/>
              </w:tabs>
              <w:ind w:left="360"/>
              <w:rPr>
                <w:sz w:val="20"/>
              </w:rPr>
            </w:pPr>
            <w:r w:rsidRPr="007B14A5">
              <w:rPr>
                <w:sz w:val="20"/>
              </w:rPr>
              <w:t xml:space="preserve">Industry / sector issues identified by the Program Advisory Committee </w:t>
            </w:r>
          </w:p>
          <w:p w:rsidR="005F5C69" w:rsidRPr="007B14A5" w:rsidRDefault="005F5C69" w:rsidP="005F5C69">
            <w:pPr>
              <w:numPr>
                <w:ilvl w:val="0"/>
                <w:numId w:val="1"/>
              </w:numPr>
              <w:tabs>
                <w:tab w:val="clear" w:pos="720"/>
                <w:tab w:val="num" w:pos="360"/>
              </w:tabs>
              <w:ind w:left="360"/>
              <w:rPr>
                <w:sz w:val="20"/>
              </w:rPr>
            </w:pPr>
            <w:r w:rsidRPr="007B14A5">
              <w:rPr>
                <w:sz w:val="20"/>
              </w:rPr>
              <w:t xml:space="preserve">Recent </w:t>
            </w:r>
            <w:proofErr w:type="spellStart"/>
            <w:r w:rsidRPr="007B14A5">
              <w:rPr>
                <w:sz w:val="20"/>
              </w:rPr>
              <w:t>labour</w:t>
            </w:r>
            <w:proofErr w:type="spellEnd"/>
            <w:r w:rsidRPr="007B14A5">
              <w:rPr>
                <w:sz w:val="20"/>
              </w:rPr>
              <w:t xml:space="preserve"> market data or sector reports</w:t>
            </w:r>
          </w:p>
          <w:p w:rsidR="005F5C69" w:rsidRPr="007B14A5" w:rsidRDefault="005F5C69" w:rsidP="005F5C69">
            <w:pPr>
              <w:numPr>
                <w:ilvl w:val="0"/>
                <w:numId w:val="1"/>
              </w:numPr>
              <w:tabs>
                <w:tab w:val="clear" w:pos="720"/>
                <w:tab w:val="num" w:pos="360"/>
              </w:tabs>
              <w:ind w:left="360"/>
              <w:rPr>
                <w:sz w:val="20"/>
              </w:rPr>
            </w:pPr>
            <w:r w:rsidRPr="007B14A5">
              <w:rPr>
                <w:sz w:val="20"/>
              </w:rPr>
              <w:t xml:space="preserve">Recent or anticipated changes in occupational standards, level of entry and credential and / or standards of accreditation </w:t>
            </w:r>
          </w:p>
          <w:p w:rsidR="005F5C69" w:rsidRDefault="005F5C69" w:rsidP="005F5C69">
            <w:pPr>
              <w:numPr>
                <w:ilvl w:val="0"/>
                <w:numId w:val="1"/>
              </w:numPr>
              <w:tabs>
                <w:tab w:val="clear" w:pos="720"/>
                <w:tab w:val="num" w:pos="360"/>
              </w:tabs>
              <w:ind w:left="360"/>
              <w:rPr>
                <w:b/>
                <w:sz w:val="20"/>
              </w:rPr>
            </w:pPr>
            <w:r w:rsidRPr="007B14A5">
              <w:rPr>
                <w:sz w:val="20"/>
              </w:rPr>
              <w:t xml:space="preserve">Program alignment to </w:t>
            </w:r>
            <w:proofErr w:type="spellStart"/>
            <w:r w:rsidRPr="007B14A5">
              <w:rPr>
                <w:sz w:val="20"/>
              </w:rPr>
              <w:t>labour</w:t>
            </w:r>
            <w:proofErr w:type="spellEnd"/>
            <w:r w:rsidRPr="007B14A5">
              <w:rPr>
                <w:sz w:val="20"/>
              </w:rPr>
              <w:t xml:space="preserve"> market and </w:t>
            </w:r>
            <w:proofErr w:type="spellStart"/>
            <w:r w:rsidRPr="007B14A5">
              <w:rPr>
                <w:sz w:val="20"/>
              </w:rPr>
              <w:t>sectoral</w:t>
            </w:r>
            <w:proofErr w:type="spellEnd"/>
            <w:r w:rsidRPr="007B14A5">
              <w:rPr>
                <w:sz w:val="20"/>
              </w:rPr>
              <w:t xml:space="preserve"> trends </w:t>
            </w:r>
          </w:p>
        </w:tc>
        <w:tc>
          <w:tcPr>
            <w:tcW w:w="8442" w:type="dxa"/>
            <w:tcMar>
              <w:top w:w="113" w:type="dxa"/>
              <w:bottom w:w="113" w:type="dxa"/>
            </w:tcMar>
          </w:tcPr>
          <w:p w:rsidR="005F5C69" w:rsidRDefault="005F5C69" w:rsidP="005F5C69">
            <w:pPr>
              <w:autoSpaceDE w:val="0"/>
              <w:autoSpaceDN w:val="0"/>
              <w:adjustRightInd w:val="0"/>
              <w:rPr>
                <w:sz w:val="20"/>
              </w:rPr>
            </w:pPr>
          </w:p>
          <w:p w:rsidR="00B61338" w:rsidRDefault="00B61338" w:rsidP="005F5C69">
            <w:pPr>
              <w:autoSpaceDE w:val="0"/>
              <w:autoSpaceDN w:val="0"/>
              <w:adjustRightInd w:val="0"/>
              <w:rPr>
                <w:sz w:val="20"/>
              </w:rPr>
            </w:pPr>
            <w:r>
              <w:rPr>
                <w:sz w:val="20"/>
                <w:lang w:val="en-CA"/>
              </w:rPr>
              <w:t xml:space="preserve">Emergency Management remains a relatively new area of study, though the field continues to grow and adapt to industry needs. Individuals certified in Emergency Management, and more recently, in Business Continuity continue to be sought after as employees in both the governmental and private sectors. </w:t>
            </w:r>
          </w:p>
          <w:p w:rsidR="00B61338" w:rsidRDefault="00B61338" w:rsidP="005F5C69">
            <w:pPr>
              <w:autoSpaceDE w:val="0"/>
              <w:autoSpaceDN w:val="0"/>
              <w:adjustRightInd w:val="0"/>
              <w:rPr>
                <w:sz w:val="20"/>
              </w:rPr>
            </w:pPr>
          </w:p>
          <w:p w:rsidR="00275BF1" w:rsidRDefault="005F5C69" w:rsidP="008B2279">
            <w:pPr>
              <w:autoSpaceDE w:val="0"/>
              <w:autoSpaceDN w:val="0"/>
              <w:adjustRightInd w:val="0"/>
              <w:rPr>
                <w:sz w:val="20"/>
                <w:lang w:val="en-CA"/>
              </w:rPr>
            </w:pPr>
            <w:r w:rsidRPr="00443F16">
              <w:rPr>
                <w:sz w:val="20"/>
              </w:rPr>
              <w:t xml:space="preserve">The most significant industry theme to emerge that has significant impact on our program positioning is the release of the first Canadian Emergency Management Business Continuity Standard, Z1600CSA. This standard was first released in 2009, and the overall industry </w:t>
            </w:r>
            <w:r w:rsidRPr="00443F16">
              <w:rPr>
                <w:sz w:val="20"/>
                <w:lang w:val="en-CA"/>
              </w:rPr>
              <w:t xml:space="preserve">adoption of Z1600 has </w:t>
            </w:r>
            <w:r w:rsidRPr="00443F16">
              <w:rPr>
                <w:sz w:val="20"/>
              </w:rPr>
              <w:t>b</w:t>
            </w:r>
            <w:proofErr w:type="spellStart"/>
            <w:r w:rsidRPr="00443F16">
              <w:rPr>
                <w:sz w:val="20"/>
                <w:lang w:val="en-CA"/>
              </w:rPr>
              <w:t>een</w:t>
            </w:r>
            <w:proofErr w:type="spellEnd"/>
            <w:r w:rsidRPr="00443F16">
              <w:rPr>
                <w:sz w:val="20"/>
                <w:lang w:val="en-CA"/>
              </w:rPr>
              <w:t xml:space="preserve"> in </w:t>
            </w:r>
            <w:proofErr w:type="spellStart"/>
            <w:r w:rsidRPr="00443F16">
              <w:rPr>
                <w:sz w:val="20"/>
                <w:lang w:val="en-CA"/>
              </w:rPr>
              <w:t>proce</w:t>
            </w:r>
            <w:r w:rsidRPr="00443F16">
              <w:rPr>
                <w:sz w:val="20"/>
              </w:rPr>
              <w:t>ss</w:t>
            </w:r>
            <w:proofErr w:type="spellEnd"/>
            <w:r w:rsidRPr="00443F16">
              <w:rPr>
                <w:sz w:val="20"/>
              </w:rPr>
              <w:t xml:space="preserve"> since then, </w:t>
            </w:r>
            <w:r w:rsidRPr="00443F16">
              <w:rPr>
                <w:sz w:val="20"/>
                <w:lang w:val="en-CA"/>
              </w:rPr>
              <w:t xml:space="preserve">with many </w:t>
            </w:r>
            <w:proofErr w:type="spellStart"/>
            <w:r w:rsidRPr="00443F16">
              <w:rPr>
                <w:sz w:val="20"/>
                <w:lang w:val="en-CA"/>
              </w:rPr>
              <w:t>ent</w:t>
            </w:r>
            <w:r w:rsidRPr="00443F16">
              <w:rPr>
                <w:sz w:val="20"/>
              </w:rPr>
              <w:t>i</w:t>
            </w:r>
            <w:proofErr w:type="spellEnd"/>
            <w:r w:rsidRPr="00443F16">
              <w:rPr>
                <w:sz w:val="20"/>
                <w:lang w:val="en-CA"/>
              </w:rPr>
              <w:t xml:space="preserve">ties, </w:t>
            </w:r>
            <w:r w:rsidRPr="00443F16">
              <w:rPr>
                <w:sz w:val="20"/>
              </w:rPr>
              <w:t xml:space="preserve">in both the government and private sector. </w:t>
            </w:r>
            <w:r w:rsidR="008B2279">
              <w:rPr>
                <w:sz w:val="20"/>
              </w:rPr>
              <w:t>Curriculum renewal w</w:t>
            </w:r>
            <w:r w:rsidRPr="00443F16">
              <w:rPr>
                <w:sz w:val="20"/>
              </w:rPr>
              <w:t>ork was immediately completed within the program to ensure that there was strong alignment between EMP courses and this standard. All EMP courses now connect to themes within the standar</w:t>
            </w:r>
            <w:r w:rsidR="008B2279">
              <w:rPr>
                <w:sz w:val="20"/>
              </w:rPr>
              <w:t>d</w:t>
            </w:r>
            <w:r w:rsidR="008B2279">
              <w:rPr>
                <w:sz w:val="20"/>
                <w:lang w:val="en-CA"/>
              </w:rPr>
              <w:t xml:space="preserve"> Past graduates of our EMP program have been highly successful in getting jobs with the certifications that Fleming offers, but to ensure we stay ahead, some focus must shift to finding an external certification body to add weight and increased credibility to our post-graduate certificate by adding a “Certified Emergency Manager” accreditation.</w:t>
            </w:r>
            <w:r w:rsidR="00275BF1">
              <w:rPr>
                <w:sz w:val="20"/>
                <w:lang w:val="en-CA"/>
              </w:rPr>
              <w:t xml:space="preserve"> This standard also introduced “Business Continuity” as a major element of the EMP program. While Fleming’s program always contained elements of business continuity, focus has now shifted toward seeing a more even division between Emergency Management and Business Continuity as foundations of both the industry, and indeed, our program. </w:t>
            </w:r>
          </w:p>
          <w:p w:rsidR="00275BF1" w:rsidRDefault="00275BF1" w:rsidP="008B2279">
            <w:pPr>
              <w:autoSpaceDE w:val="0"/>
              <w:autoSpaceDN w:val="0"/>
              <w:adjustRightInd w:val="0"/>
              <w:rPr>
                <w:sz w:val="20"/>
                <w:lang w:val="en-CA"/>
              </w:rPr>
            </w:pPr>
          </w:p>
          <w:p w:rsidR="00275BF1" w:rsidRPr="008D0BF2" w:rsidRDefault="00275BF1" w:rsidP="008B2279">
            <w:pPr>
              <w:autoSpaceDE w:val="0"/>
              <w:autoSpaceDN w:val="0"/>
              <w:adjustRightInd w:val="0"/>
              <w:rPr>
                <w:sz w:val="20"/>
                <w:lang w:val="en-CA"/>
              </w:rPr>
            </w:pPr>
            <w:r w:rsidRPr="008D0BF2">
              <w:rPr>
                <w:sz w:val="20"/>
                <w:lang w:val="en-CA"/>
              </w:rPr>
              <w:t xml:space="preserve">The added accreditation would strengthen the alignment of the program with current </w:t>
            </w:r>
            <w:proofErr w:type="spellStart"/>
            <w:r w:rsidRPr="008D0BF2">
              <w:rPr>
                <w:sz w:val="20"/>
                <w:lang w:val="en-CA"/>
              </w:rPr>
              <w:t>sectoral</w:t>
            </w:r>
            <w:proofErr w:type="spellEnd"/>
            <w:r w:rsidRPr="008D0BF2">
              <w:rPr>
                <w:sz w:val="20"/>
                <w:lang w:val="en-CA"/>
              </w:rPr>
              <w:t xml:space="preserve"> trends, as would the addition of the words “Business Continuity” to our program title. </w:t>
            </w:r>
          </w:p>
          <w:p w:rsidR="008B2279" w:rsidRPr="008D0BF2" w:rsidRDefault="008B2279" w:rsidP="008B2279">
            <w:pPr>
              <w:autoSpaceDE w:val="0"/>
              <w:autoSpaceDN w:val="0"/>
              <w:adjustRightInd w:val="0"/>
              <w:rPr>
                <w:sz w:val="20"/>
                <w:lang w:val="en-CA"/>
              </w:rPr>
            </w:pPr>
          </w:p>
          <w:p w:rsidR="00275BF1" w:rsidRPr="00275BF1" w:rsidRDefault="008B2279" w:rsidP="00AE5FC9">
            <w:pPr>
              <w:autoSpaceDE w:val="0"/>
              <w:autoSpaceDN w:val="0"/>
              <w:adjustRightInd w:val="0"/>
              <w:rPr>
                <w:sz w:val="20"/>
                <w:lang w:val="en-CA"/>
              </w:rPr>
            </w:pPr>
            <w:r w:rsidRPr="008D0BF2">
              <w:rPr>
                <w:sz w:val="20"/>
                <w:lang w:val="en-CA"/>
              </w:rPr>
              <w:t>Recent data suggests that the labour market is moderate to high. HRSDC says, “Based</w:t>
            </w:r>
            <w:r>
              <w:rPr>
                <w:sz w:val="20"/>
                <w:lang w:val="en-CA"/>
              </w:rPr>
              <w:t xml:space="preserve"> on</w:t>
            </w:r>
            <w:r w:rsidR="00275BF1">
              <w:rPr>
                <w:sz w:val="20"/>
                <w:lang w:val="en-CA"/>
              </w:rPr>
              <w:t xml:space="preserve"> projections and considering</w:t>
            </w:r>
            <w:r>
              <w:rPr>
                <w:sz w:val="20"/>
                <w:lang w:val="en-CA"/>
              </w:rPr>
              <w:t xml:space="preserve"> that there was a shortage of labour supply in this occupation, it is expected that the number of job seekers will remain insufficient to fill job openings over the 2011-2020 period. Although employment growth will remain relatively high over the projection period, it will slow down significantly compared to the strong growth recorded in recent years. One of the main reasons for this slowdown is the budget freezes or cuts put in place by the federal government and some of the provincial governments. The slowdown </w:t>
            </w:r>
            <w:r>
              <w:rPr>
                <w:sz w:val="20"/>
                <w:lang w:val="en-CA"/>
              </w:rPr>
              <w:lastRenderedPageBreak/>
              <w:t>will, however, be partially offset by the increase in the need to replace workers who retire. With regard to labour supply, the number or school leavers, who represent the vast majority of the job seekers, and immigrants will continue to increase; however, mobility will be more limited because fewer workers from other occupations will be attracted to this occupation as a result of the deterioration of its labour market conditions.”</w:t>
            </w:r>
            <w:r>
              <w:rPr>
                <w:rStyle w:val="FootnoteReference"/>
                <w:sz w:val="20"/>
                <w:lang w:val="en-CA"/>
              </w:rPr>
              <w:footnoteReference w:id="1"/>
            </w:r>
          </w:p>
        </w:tc>
      </w:tr>
      <w:tr w:rsidR="005F5C69" w:rsidRPr="004A2AC6" w:rsidTr="00B82C30">
        <w:tc>
          <w:tcPr>
            <w:tcW w:w="6379" w:type="dxa"/>
            <w:tcMar>
              <w:top w:w="113" w:type="dxa"/>
              <w:bottom w:w="113" w:type="dxa"/>
            </w:tcMar>
          </w:tcPr>
          <w:p w:rsidR="005F5C69" w:rsidRPr="004E75F0" w:rsidRDefault="005F5C69" w:rsidP="005F5C69">
            <w:pPr>
              <w:pStyle w:val="Title"/>
              <w:numPr>
                <w:ilvl w:val="1"/>
                <w:numId w:val="2"/>
              </w:numPr>
              <w:jc w:val="left"/>
              <w:rPr>
                <w:rFonts w:ascii="Arial" w:hAnsi="Arial"/>
                <w:b/>
                <w:bCs/>
                <w:sz w:val="20"/>
              </w:rPr>
            </w:pPr>
            <w:r w:rsidRPr="004E75F0">
              <w:rPr>
                <w:rFonts w:ascii="Arial" w:hAnsi="Arial"/>
                <w:sz w:val="20"/>
              </w:rPr>
              <w:lastRenderedPageBreak/>
              <w:t xml:space="preserve"> </w:t>
            </w:r>
            <w:r w:rsidRPr="004E75F0">
              <w:rPr>
                <w:rFonts w:ascii="Arial" w:hAnsi="Arial"/>
                <w:b/>
                <w:sz w:val="20"/>
              </w:rPr>
              <w:t>Program Advisory Committee Feedback</w:t>
            </w:r>
          </w:p>
          <w:p w:rsidR="005F5C69" w:rsidRPr="004E75F0" w:rsidRDefault="005F5C69" w:rsidP="005F5C69">
            <w:pPr>
              <w:pStyle w:val="Title"/>
              <w:jc w:val="left"/>
              <w:rPr>
                <w:rFonts w:ascii="Arial" w:hAnsi="Arial"/>
                <w:b/>
                <w:bCs/>
                <w:sz w:val="20"/>
              </w:rPr>
            </w:pPr>
          </w:p>
          <w:p w:rsidR="005F5C69" w:rsidRPr="004E75F0" w:rsidRDefault="005F5C69" w:rsidP="005F5C69">
            <w:pPr>
              <w:rPr>
                <w:b/>
                <w:bCs/>
                <w:sz w:val="20"/>
              </w:rPr>
            </w:pPr>
            <w:r w:rsidRPr="004E75F0">
              <w:rPr>
                <w:b/>
                <w:bCs/>
                <w:sz w:val="20"/>
              </w:rPr>
              <w:t>Review</w:t>
            </w:r>
            <w:r>
              <w:rPr>
                <w:b/>
                <w:bCs/>
                <w:sz w:val="20"/>
              </w:rPr>
              <w:t xml:space="preserve"> / </w:t>
            </w:r>
            <w:r w:rsidRPr="004E75F0">
              <w:rPr>
                <w:b/>
                <w:bCs/>
                <w:sz w:val="20"/>
              </w:rPr>
              <w:t>discuss:</w:t>
            </w:r>
          </w:p>
          <w:p w:rsidR="005F5C69" w:rsidRPr="004E75F0" w:rsidRDefault="005F5C69" w:rsidP="005F5C69">
            <w:pPr>
              <w:pStyle w:val="Title"/>
              <w:numPr>
                <w:ilvl w:val="0"/>
                <w:numId w:val="16"/>
              </w:numPr>
              <w:tabs>
                <w:tab w:val="clear" w:pos="720"/>
                <w:tab w:val="num" w:pos="360"/>
              </w:tabs>
              <w:ind w:left="360"/>
              <w:jc w:val="left"/>
              <w:rPr>
                <w:rFonts w:ascii="Arial" w:hAnsi="Arial"/>
                <w:sz w:val="20"/>
              </w:rPr>
            </w:pPr>
            <w:r w:rsidRPr="004E75F0">
              <w:rPr>
                <w:rFonts w:ascii="Arial" w:hAnsi="Arial"/>
                <w:sz w:val="20"/>
              </w:rPr>
              <w:t>Key regional issues identified by the Program Advisory Committee that may not have emerged in labour market data</w:t>
            </w:r>
          </w:p>
          <w:p w:rsidR="005F5C69" w:rsidRPr="004E75F0" w:rsidRDefault="005F5C69" w:rsidP="005F5C69">
            <w:pPr>
              <w:pStyle w:val="Title"/>
              <w:numPr>
                <w:ilvl w:val="0"/>
                <w:numId w:val="16"/>
              </w:numPr>
              <w:tabs>
                <w:tab w:val="clear" w:pos="720"/>
                <w:tab w:val="num" w:pos="360"/>
              </w:tabs>
              <w:ind w:left="360"/>
              <w:jc w:val="left"/>
              <w:rPr>
                <w:rFonts w:ascii="Arial" w:hAnsi="Arial"/>
                <w:b/>
                <w:sz w:val="20"/>
              </w:rPr>
            </w:pPr>
            <w:r>
              <w:rPr>
                <w:rFonts w:ascii="Arial" w:hAnsi="Arial"/>
                <w:sz w:val="20"/>
              </w:rPr>
              <w:t xml:space="preserve">The Advisory Committee’s assessment of the response, or capacity to respond, </w:t>
            </w:r>
            <w:r w:rsidRPr="004E75F0">
              <w:rPr>
                <w:rFonts w:ascii="Arial" w:hAnsi="Arial"/>
                <w:sz w:val="20"/>
              </w:rPr>
              <w:t xml:space="preserve">to </w:t>
            </w:r>
            <w:r>
              <w:rPr>
                <w:rFonts w:ascii="Arial" w:hAnsi="Arial"/>
                <w:sz w:val="20"/>
              </w:rPr>
              <w:t xml:space="preserve">the </w:t>
            </w:r>
            <w:r w:rsidRPr="004E75F0">
              <w:rPr>
                <w:rFonts w:ascii="Arial" w:hAnsi="Arial"/>
                <w:sz w:val="20"/>
              </w:rPr>
              <w:t xml:space="preserve">above issues or trends </w:t>
            </w:r>
          </w:p>
          <w:p w:rsidR="005F5C69" w:rsidRPr="004E75F0" w:rsidRDefault="005F5C69" w:rsidP="005F5C69">
            <w:pPr>
              <w:pStyle w:val="Title"/>
              <w:jc w:val="left"/>
              <w:rPr>
                <w:rFonts w:ascii="Arial" w:hAnsi="Arial"/>
                <w:b/>
                <w:sz w:val="20"/>
              </w:rPr>
            </w:pPr>
          </w:p>
        </w:tc>
        <w:tc>
          <w:tcPr>
            <w:tcW w:w="8442" w:type="dxa"/>
            <w:tcMar>
              <w:top w:w="113" w:type="dxa"/>
              <w:bottom w:w="113" w:type="dxa"/>
            </w:tcMar>
          </w:tcPr>
          <w:p w:rsidR="00275BF1" w:rsidRDefault="00275BF1" w:rsidP="00275BF1">
            <w:pPr>
              <w:rPr>
                <w:sz w:val="20"/>
                <w:lang w:val="en-CA"/>
              </w:rPr>
            </w:pPr>
            <w:r>
              <w:rPr>
                <w:sz w:val="20"/>
                <w:lang w:val="en-CA"/>
              </w:rPr>
              <w:t>The EMP PAC consistently identifies that there is a need for Emergency Management/Business Continuity courses to be available to a broader population, beyond the post-grad certificate level program. Suggestions include:</w:t>
            </w:r>
          </w:p>
          <w:p w:rsidR="00275BF1" w:rsidRDefault="00275BF1" w:rsidP="00290BED">
            <w:pPr>
              <w:pStyle w:val="ListParagraph"/>
              <w:numPr>
                <w:ilvl w:val="0"/>
                <w:numId w:val="28"/>
              </w:numPr>
              <w:rPr>
                <w:sz w:val="20"/>
              </w:rPr>
            </w:pPr>
            <w:r>
              <w:rPr>
                <w:sz w:val="20"/>
              </w:rPr>
              <w:t>Continuing Education courses that align with the certificate program of study so that students could work toward their designation part-time.</w:t>
            </w:r>
          </w:p>
          <w:p w:rsidR="00275BF1" w:rsidRDefault="00275BF1" w:rsidP="00290BED">
            <w:pPr>
              <w:pStyle w:val="ListParagraph"/>
              <w:numPr>
                <w:ilvl w:val="0"/>
                <w:numId w:val="28"/>
              </w:numPr>
              <w:rPr>
                <w:sz w:val="20"/>
              </w:rPr>
            </w:pPr>
            <w:r>
              <w:rPr>
                <w:sz w:val="20"/>
              </w:rPr>
              <w:t>Blended learning opportunities that may permit remote students to participate.</w:t>
            </w:r>
          </w:p>
          <w:p w:rsidR="005F5C69" w:rsidRDefault="00275BF1" w:rsidP="00290BED">
            <w:pPr>
              <w:pStyle w:val="ListParagraph"/>
              <w:numPr>
                <w:ilvl w:val="0"/>
                <w:numId w:val="28"/>
              </w:numPr>
              <w:rPr>
                <w:sz w:val="20"/>
              </w:rPr>
            </w:pPr>
            <w:r>
              <w:rPr>
                <w:sz w:val="20"/>
              </w:rPr>
              <w:t xml:space="preserve">A general education course in “disasters” that might increase the awareness of students from a broad range of programs in the possibility of pursuing the EMP post-grad certificate. </w:t>
            </w:r>
          </w:p>
          <w:p w:rsidR="00AE5FC9" w:rsidRPr="00AE5FC9" w:rsidRDefault="00AE5FC9" w:rsidP="00AE5FC9">
            <w:pPr>
              <w:rPr>
                <w:sz w:val="20"/>
              </w:rPr>
            </w:pPr>
            <w:r>
              <w:rPr>
                <w:sz w:val="20"/>
              </w:rPr>
              <w:t xml:space="preserve">The PAC has also identified the need to further explore some form of field placement opportunity for students. </w:t>
            </w:r>
          </w:p>
        </w:tc>
      </w:tr>
      <w:tr w:rsidR="005F5C69" w:rsidRPr="004A2AC6" w:rsidTr="00B82C30">
        <w:tc>
          <w:tcPr>
            <w:tcW w:w="6379" w:type="dxa"/>
            <w:tcMar>
              <w:top w:w="113" w:type="dxa"/>
              <w:bottom w:w="113" w:type="dxa"/>
            </w:tcMar>
          </w:tcPr>
          <w:p w:rsidR="005F5C69" w:rsidRPr="004E75F0" w:rsidRDefault="005F5C69" w:rsidP="00276F6B">
            <w:pPr>
              <w:pStyle w:val="Title"/>
              <w:jc w:val="left"/>
              <w:rPr>
                <w:rFonts w:ascii="Arial" w:hAnsi="Arial"/>
                <w:b/>
                <w:bCs/>
                <w:sz w:val="20"/>
              </w:rPr>
            </w:pPr>
            <w:r w:rsidRPr="004E75F0">
              <w:rPr>
                <w:rFonts w:ascii="Arial" w:hAnsi="Arial"/>
                <w:b/>
                <w:bCs/>
                <w:sz w:val="20"/>
              </w:rPr>
              <w:t>1.3 Industry Liaison</w:t>
            </w:r>
          </w:p>
          <w:p w:rsidR="005F5C69" w:rsidRPr="004E75F0" w:rsidRDefault="005F5C69" w:rsidP="00276F6B">
            <w:pPr>
              <w:pStyle w:val="Title"/>
              <w:jc w:val="left"/>
              <w:rPr>
                <w:rFonts w:ascii="Arial" w:hAnsi="Arial"/>
                <w:b/>
                <w:bCs/>
                <w:sz w:val="20"/>
              </w:rPr>
            </w:pPr>
          </w:p>
          <w:p w:rsidR="005F5C69" w:rsidRPr="004E75F0" w:rsidRDefault="005F5C69" w:rsidP="00276F6B">
            <w:pPr>
              <w:rPr>
                <w:b/>
                <w:bCs/>
                <w:sz w:val="20"/>
              </w:rPr>
            </w:pPr>
            <w:r w:rsidRPr="004E75F0">
              <w:rPr>
                <w:b/>
                <w:bCs/>
                <w:sz w:val="20"/>
              </w:rPr>
              <w:t>Review</w:t>
            </w:r>
            <w:r>
              <w:rPr>
                <w:b/>
                <w:bCs/>
                <w:sz w:val="20"/>
              </w:rPr>
              <w:t xml:space="preserve"> / </w:t>
            </w:r>
            <w:r w:rsidRPr="004E75F0">
              <w:rPr>
                <w:b/>
                <w:bCs/>
                <w:sz w:val="20"/>
              </w:rPr>
              <w:t>discuss:</w:t>
            </w:r>
          </w:p>
          <w:p w:rsidR="005F5C69" w:rsidRPr="004E75F0" w:rsidRDefault="005F5C69" w:rsidP="00276F6B">
            <w:pPr>
              <w:numPr>
                <w:ilvl w:val="0"/>
                <w:numId w:val="3"/>
              </w:numPr>
              <w:tabs>
                <w:tab w:val="clear" w:pos="900"/>
                <w:tab w:val="num" w:pos="360"/>
              </w:tabs>
              <w:ind w:left="360"/>
              <w:rPr>
                <w:sz w:val="20"/>
              </w:rPr>
            </w:pPr>
            <w:r w:rsidRPr="004E75F0">
              <w:rPr>
                <w:sz w:val="20"/>
              </w:rPr>
              <w:t xml:space="preserve">Program initiatives to maintain </w:t>
            </w:r>
            <w:r>
              <w:rPr>
                <w:sz w:val="20"/>
              </w:rPr>
              <w:t xml:space="preserve">involvement </w:t>
            </w:r>
            <w:r w:rsidRPr="004E75F0">
              <w:rPr>
                <w:sz w:val="20"/>
              </w:rPr>
              <w:t xml:space="preserve">with </w:t>
            </w:r>
            <w:r>
              <w:rPr>
                <w:sz w:val="20"/>
              </w:rPr>
              <w:t xml:space="preserve">the </w:t>
            </w:r>
            <w:r w:rsidRPr="004E75F0">
              <w:rPr>
                <w:sz w:val="20"/>
              </w:rPr>
              <w:t xml:space="preserve">industry </w:t>
            </w:r>
            <w:r>
              <w:rPr>
                <w:sz w:val="20"/>
              </w:rPr>
              <w:t xml:space="preserve">/ sector </w:t>
            </w:r>
            <w:r w:rsidRPr="004E75F0">
              <w:rPr>
                <w:sz w:val="20"/>
              </w:rPr>
              <w:t>such as field placement supervisions, clinical, faculty renewal, professional learning, other professional affiliation</w:t>
            </w:r>
            <w:r>
              <w:rPr>
                <w:sz w:val="20"/>
              </w:rPr>
              <w:t>s</w:t>
            </w:r>
            <w:r w:rsidRPr="004E75F0">
              <w:rPr>
                <w:sz w:val="20"/>
              </w:rPr>
              <w:t>, or community-based projects</w:t>
            </w:r>
          </w:p>
          <w:p w:rsidR="005F5C69" w:rsidRPr="004E75F0" w:rsidRDefault="005F5C69" w:rsidP="00276F6B">
            <w:pPr>
              <w:pStyle w:val="Title"/>
              <w:jc w:val="left"/>
              <w:rPr>
                <w:rFonts w:ascii="Arial" w:hAnsi="Arial"/>
                <w:b/>
                <w:bCs/>
                <w:sz w:val="20"/>
              </w:rPr>
            </w:pPr>
          </w:p>
        </w:tc>
        <w:tc>
          <w:tcPr>
            <w:tcW w:w="8442" w:type="dxa"/>
            <w:tcMar>
              <w:top w:w="113" w:type="dxa"/>
              <w:bottom w:w="113" w:type="dxa"/>
            </w:tcMar>
          </w:tcPr>
          <w:p w:rsidR="00AE5FC9" w:rsidRDefault="00AE5FC9" w:rsidP="00AE5FC9">
            <w:pPr>
              <w:rPr>
                <w:sz w:val="20"/>
                <w:lang w:val="en-CA"/>
              </w:rPr>
            </w:pPr>
            <w:r>
              <w:rPr>
                <w:sz w:val="20"/>
                <w:lang w:val="en-CA"/>
              </w:rPr>
              <w:t xml:space="preserve">EMP is actively involved in many community partnerships </w:t>
            </w:r>
          </w:p>
          <w:p w:rsidR="00AE5FC9" w:rsidRDefault="00AE5FC9" w:rsidP="00AE5FC9">
            <w:pPr>
              <w:pStyle w:val="ListParagraph"/>
              <w:numPr>
                <w:ilvl w:val="0"/>
                <w:numId w:val="3"/>
              </w:numPr>
              <w:tabs>
                <w:tab w:val="clear" w:pos="900"/>
                <w:tab w:val="num" w:pos="743"/>
              </w:tabs>
              <w:ind w:left="743"/>
              <w:rPr>
                <w:sz w:val="20"/>
              </w:rPr>
            </w:pPr>
            <w:r w:rsidRPr="00AE5FC9">
              <w:rPr>
                <w:sz w:val="20"/>
              </w:rPr>
              <w:t xml:space="preserve">Red Cross, </w:t>
            </w:r>
            <w:r>
              <w:rPr>
                <w:sz w:val="20"/>
              </w:rPr>
              <w:t>f</w:t>
            </w:r>
            <w:r w:rsidRPr="00AE5FC9">
              <w:rPr>
                <w:sz w:val="20"/>
              </w:rPr>
              <w:t>rom a participant</w:t>
            </w:r>
            <w:r>
              <w:rPr>
                <w:sz w:val="20"/>
              </w:rPr>
              <w:t>’</w:t>
            </w:r>
            <w:r w:rsidRPr="00AE5FC9">
              <w:rPr>
                <w:sz w:val="20"/>
              </w:rPr>
              <w:t>s perspective in the first semester, to an organizer and faci</w:t>
            </w:r>
            <w:r>
              <w:rPr>
                <w:sz w:val="20"/>
              </w:rPr>
              <w:t>li</w:t>
            </w:r>
            <w:r w:rsidRPr="00AE5FC9">
              <w:rPr>
                <w:sz w:val="20"/>
              </w:rPr>
              <w:t>t</w:t>
            </w:r>
            <w:r>
              <w:rPr>
                <w:sz w:val="20"/>
              </w:rPr>
              <w:t>ator role within our semes</w:t>
            </w:r>
            <w:r w:rsidRPr="00AE5FC9">
              <w:rPr>
                <w:sz w:val="20"/>
              </w:rPr>
              <w:t xml:space="preserve">ter two client relationships. </w:t>
            </w:r>
          </w:p>
          <w:p w:rsidR="00AE5FC9" w:rsidRDefault="00AE5FC9" w:rsidP="00AE5FC9">
            <w:pPr>
              <w:pStyle w:val="ListParagraph"/>
              <w:numPr>
                <w:ilvl w:val="0"/>
                <w:numId w:val="3"/>
              </w:numPr>
              <w:tabs>
                <w:tab w:val="clear" w:pos="900"/>
                <w:tab w:val="num" w:pos="743"/>
              </w:tabs>
              <w:ind w:left="743"/>
              <w:rPr>
                <w:sz w:val="20"/>
              </w:rPr>
            </w:pPr>
            <w:r w:rsidRPr="00AE5FC9">
              <w:rPr>
                <w:sz w:val="20"/>
              </w:rPr>
              <w:t>Fac</w:t>
            </w:r>
            <w:r>
              <w:rPr>
                <w:sz w:val="20"/>
              </w:rPr>
              <w:t>u</w:t>
            </w:r>
            <w:r w:rsidRPr="00AE5FC9">
              <w:rPr>
                <w:sz w:val="20"/>
              </w:rPr>
              <w:t>l</w:t>
            </w:r>
            <w:r>
              <w:rPr>
                <w:sz w:val="20"/>
              </w:rPr>
              <w:t xml:space="preserve">ty engagement with the industry is extremely strong as </w:t>
            </w:r>
            <w:r w:rsidRPr="00AE5FC9">
              <w:rPr>
                <w:sz w:val="20"/>
              </w:rPr>
              <w:t xml:space="preserve">100% of contract staff are working currently in the EM or BC fields. </w:t>
            </w:r>
          </w:p>
          <w:p w:rsidR="00AE5FC9" w:rsidRDefault="00AE5FC9" w:rsidP="00AE5FC9">
            <w:pPr>
              <w:pStyle w:val="ListParagraph"/>
              <w:numPr>
                <w:ilvl w:val="0"/>
                <w:numId w:val="3"/>
              </w:numPr>
              <w:tabs>
                <w:tab w:val="clear" w:pos="900"/>
                <w:tab w:val="num" w:pos="743"/>
              </w:tabs>
              <w:ind w:left="743"/>
              <w:rPr>
                <w:sz w:val="20"/>
              </w:rPr>
            </w:pPr>
            <w:r w:rsidRPr="00AE5FC9">
              <w:rPr>
                <w:sz w:val="20"/>
              </w:rPr>
              <w:t>Fleming EMP has been approved by the Ontario Associ</w:t>
            </w:r>
            <w:r>
              <w:rPr>
                <w:sz w:val="20"/>
              </w:rPr>
              <w:t>a</w:t>
            </w:r>
            <w:r w:rsidRPr="00AE5FC9">
              <w:rPr>
                <w:sz w:val="20"/>
              </w:rPr>
              <w:t>tion of Emergency Man</w:t>
            </w:r>
            <w:r>
              <w:rPr>
                <w:sz w:val="20"/>
              </w:rPr>
              <w:t>a</w:t>
            </w:r>
            <w:r w:rsidRPr="00AE5FC9">
              <w:rPr>
                <w:sz w:val="20"/>
              </w:rPr>
              <w:t xml:space="preserve">gers Education committee that endorses the direction and knowledge covered by the curriculum. </w:t>
            </w:r>
          </w:p>
          <w:p w:rsidR="005F5C69" w:rsidRPr="00AE5FC9" w:rsidRDefault="00AE5FC9" w:rsidP="00AE5FC9">
            <w:pPr>
              <w:pStyle w:val="ListParagraph"/>
              <w:numPr>
                <w:ilvl w:val="0"/>
                <w:numId w:val="3"/>
              </w:numPr>
              <w:tabs>
                <w:tab w:val="clear" w:pos="900"/>
                <w:tab w:val="num" w:pos="743"/>
              </w:tabs>
              <w:ind w:left="743"/>
              <w:rPr>
                <w:sz w:val="20"/>
              </w:rPr>
            </w:pPr>
            <w:r>
              <w:rPr>
                <w:sz w:val="20"/>
              </w:rPr>
              <w:t>Program c</w:t>
            </w:r>
            <w:r w:rsidRPr="00AE5FC9">
              <w:rPr>
                <w:sz w:val="20"/>
              </w:rPr>
              <w:t xml:space="preserve">oordinator </w:t>
            </w:r>
            <w:r>
              <w:rPr>
                <w:sz w:val="20"/>
              </w:rPr>
              <w:t>regularly</w:t>
            </w:r>
            <w:r w:rsidRPr="00AE5FC9">
              <w:rPr>
                <w:sz w:val="20"/>
              </w:rPr>
              <w:t xml:space="preserve"> attend</w:t>
            </w:r>
            <w:r>
              <w:rPr>
                <w:sz w:val="20"/>
              </w:rPr>
              <w:t>s</w:t>
            </w:r>
            <w:r w:rsidRPr="00AE5FC9">
              <w:rPr>
                <w:sz w:val="20"/>
              </w:rPr>
              <w:t xml:space="preserve"> </w:t>
            </w:r>
            <w:r>
              <w:rPr>
                <w:sz w:val="20"/>
              </w:rPr>
              <w:t>con</w:t>
            </w:r>
            <w:r w:rsidRPr="00AE5FC9">
              <w:rPr>
                <w:sz w:val="20"/>
              </w:rPr>
              <w:t>ference</w:t>
            </w:r>
            <w:r>
              <w:rPr>
                <w:sz w:val="20"/>
              </w:rPr>
              <w:t>s</w:t>
            </w:r>
          </w:p>
        </w:tc>
      </w:tr>
    </w:tbl>
    <w:p w:rsidR="00276F6B" w:rsidRDefault="00276F6B" w:rsidP="00276F6B">
      <w:pPr>
        <w:rPr>
          <w:lang w:val="en-CA"/>
        </w:rPr>
      </w:pPr>
    </w:p>
    <w:p w:rsidR="00276F6B" w:rsidRDefault="00276F6B" w:rsidP="00276F6B">
      <w:pPr>
        <w:rPr>
          <w:lang w:val="en-CA"/>
        </w:rPr>
      </w:pPr>
    </w:p>
    <w:tbl>
      <w:tblPr>
        <w:tblStyle w:val="TableGrid"/>
        <w:tblW w:w="14819" w:type="dxa"/>
        <w:tblInd w:w="-1735" w:type="dxa"/>
        <w:tblLayout w:type="fixed"/>
        <w:tblLook w:val="01E0" w:firstRow="1" w:lastRow="1" w:firstColumn="1" w:lastColumn="1" w:noHBand="0" w:noVBand="0"/>
      </w:tblPr>
      <w:tblGrid>
        <w:gridCol w:w="6379"/>
        <w:gridCol w:w="8440"/>
      </w:tblGrid>
      <w:tr w:rsidR="00276F6B" w:rsidRPr="008E612A" w:rsidTr="00B82C30">
        <w:tc>
          <w:tcPr>
            <w:tcW w:w="6379" w:type="dxa"/>
            <w:shd w:val="clear" w:color="auto" w:fill="C0C0C0"/>
            <w:tcMar>
              <w:top w:w="113" w:type="dxa"/>
              <w:bottom w:w="113" w:type="dxa"/>
            </w:tcMar>
          </w:tcPr>
          <w:p w:rsidR="00276F6B" w:rsidRPr="00AA59FD" w:rsidRDefault="00276F6B" w:rsidP="00276F6B">
            <w:pPr>
              <w:tabs>
                <w:tab w:val="left" w:pos="72"/>
              </w:tabs>
              <w:rPr>
                <w:b/>
              </w:rPr>
            </w:pPr>
            <w:r w:rsidRPr="00AA59FD">
              <w:rPr>
                <w:b/>
              </w:rPr>
              <w:t>2.0 Curriculum Development and Framework</w:t>
            </w:r>
          </w:p>
        </w:tc>
        <w:tc>
          <w:tcPr>
            <w:tcW w:w="8440" w:type="dxa"/>
            <w:shd w:val="clear" w:color="auto" w:fill="C0C0C0"/>
            <w:tcMar>
              <w:top w:w="113" w:type="dxa"/>
              <w:bottom w:w="113" w:type="dxa"/>
            </w:tcMar>
          </w:tcPr>
          <w:p w:rsidR="00276F6B" w:rsidRPr="00AA59FD" w:rsidRDefault="00276F6B" w:rsidP="00276F6B">
            <w:pPr>
              <w:rPr>
                <w:b/>
              </w:rPr>
            </w:pPr>
            <w:r w:rsidRPr="00AA59FD">
              <w:rPr>
                <w:b/>
              </w:rPr>
              <w:t>Summary of Key Findings</w:t>
            </w:r>
          </w:p>
        </w:tc>
      </w:tr>
      <w:tr w:rsidR="00276F6B" w:rsidRPr="004A2AC6" w:rsidTr="00B82C30">
        <w:tc>
          <w:tcPr>
            <w:tcW w:w="6379" w:type="dxa"/>
            <w:tcMar>
              <w:top w:w="113" w:type="dxa"/>
              <w:bottom w:w="113" w:type="dxa"/>
            </w:tcMar>
          </w:tcPr>
          <w:p w:rsidR="00276F6B" w:rsidRPr="004E75F0" w:rsidRDefault="00276F6B" w:rsidP="00276F6B">
            <w:pPr>
              <w:pStyle w:val="Title"/>
              <w:jc w:val="left"/>
              <w:rPr>
                <w:rFonts w:ascii="Arial" w:hAnsi="Arial"/>
                <w:b/>
                <w:sz w:val="20"/>
              </w:rPr>
            </w:pPr>
            <w:r w:rsidRPr="004E75F0">
              <w:rPr>
                <w:rFonts w:ascii="Arial" w:hAnsi="Arial"/>
                <w:b/>
                <w:sz w:val="20"/>
              </w:rPr>
              <w:t>2.1 Curriculum Framework</w:t>
            </w:r>
          </w:p>
          <w:p w:rsidR="00276F6B" w:rsidRPr="004E75F0" w:rsidRDefault="00276F6B" w:rsidP="00276F6B">
            <w:pPr>
              <w:pStyle w:val="Title"/>
              <w:jc w:val="left"/>
              <w:rPr>
                <w:rFonts w:ascii="Arial" w:hAnsi="Arial"/>
                <w:b/>
                <w:sz w:val="20"/>
              </w:rPr>
            </w:pPr>
            <w:r w:rsidRPr="004E75F0">
              <w:rPr>
                <w:rFonts w:ascii="Arial" w:hAnsi="Arial"/>
                <w:b/>
                <w:sz w:val="20"/>
              </w:rPr>
              <w:t xml:space="preserve"> </w:t>
            </w:r>
          </w:p>
          <w:p w:rsidR="00276F6B" w:rsidRPr="004E75F0" w:rsidRDefault="00276F6B" w:rsidP="00276F6B">
            <w:pPr>
              <w:rPr>
                <w:b/>
                <w:bCs/>
                <w:sz w:val="20"/>
              </w:rPr>
            </w:pPr>
            <w:r w:rsidRPr="004E75F0">
              <w:rPr>
                <w:b/>
                <w:bCs/>
                <w:sz w:val="20"/>
              </w:rPr>
              <w:t>Review</w:t>
            </w:r>
            <w:r>
              <w:rPr>
                <w:b/>
                <w:bCs/>
                <w:sz w:val="20"/>
              </w:rPr>
              <w:t xml:space="preserve"> / </w:t>
            </w:r>
            <w:r w:rsidRPr="004E75F0">
              <w:rPr>
                <w:b/>
                <w:bCs/>
                <w:sz w:val="20"/>
              </w:rPr>
              <w:t>discuss:</w:t>
            </w:r>
          </w:p>
          <w:p w:rsidR="00276F6B" w:rsidRPr="004E75F0" w:rsidRDefault="00276F6B" w:rsidP="00276F6B">
            <w:pPr>
              <w:numPr>
                <w:ilvl w:val="0"/>
                <w:numId w:val="3"/>
              </w:numPr>
              <w:tabs>
                <w:tab w:val="clear" w:pos="900"/>
                <w:tab w:val="num" w:pos="360"/>
              </w:tabs>
              <w:ind w:left="360"/>
              <w:rPr>
                <w:sz w:val="20"/>
              </w:rPr>
            </w:pPr>
            <w:r w:rsidRPr="004E75F0">
              <w:rPr>
                <w:sz w:val="20"/>
              </w:rPr>
              <w:lastRenderedPageBreak/>
              <w:t>The program faculty’s approach to, and philosophy of, teaching and learning</w:t>
            </w:r>
          </w:p>
          <w:p w:rsidR="00276F6B" w:rsidRPr="004E75F0" w:rsidRDefault="00276F6B" w:rsidP="00276F6B">
            <w:pPr>
              <w:rPr>
                <w:b/>
                <w:sz w:val="20"/>
              </w:rPr>
            </w:pPr>
          </w:p>
        </w:tc>
        <w:tc>
          <w:tcPr>
            <w:tcW w:w="8440" w:type="dxa"/>
            <w:tcMar>
              <w:top w:w="113" w:type="dxa"/>
              <w:bottom w:w="113" w:type="dxa"/>
            </w:tcMar>
          </w:tcPr>
          <w:p w:rsidR="00AD7C82" w:rsidRPr="00AD7C82" w:rsidRDefault="00AD7C82" w:rsidP="00AD7C82">
            <w:pPr>
              <w:rPr>
                <w:sz w:val="20"/>
              </w:rPr>
            </w:pPr>
            <w:r w:rsidRPr="00AD7C82">
              <w:rPr>
                <w:sz w:val="20"/>
                <w:szCs w:val="22"/>
              </w:rPr>
              <w:lastRenderedPageBreak/>
              <w:t>EMP provides students the opportunity to build on their past life experiences and education. EMP accepts all backgrounds and education levels making this a u</w:t>
            </w:r>
            <w:r>
              <w:rPr>
                <w:sz w:val="20"/>
                <w:szCs w:val="22"/>
              </w:rPr>
              <w:t xml:space="preserve">nique opportunity to learn from, and share experiences with, </w:t>
            </w:r>
            <w:r w:rsidRPr="00AD7C82">
              <w:rPr>
                <w:sz w:val="20"/>
                <w:szCs w:val="22"/>
              </w:rPr>
              <w:t>other</w:t>
            </w:r>
            <w:r>
              <w:rPr>
                <w:sz w:val="20"/>
                <w:szCs w:val="22"/>
              </w:rPr>
              <w:t>s</w:t>
            </w:r>
            <w:r w:rsidRPr="00AD7C82">
              <w:rPr>
                <w:sz w:val="20"/>
                <w:szCs w:val="22"/>
              </w:rPr>
              <w:t xml:space="preserve">. EMP develops personal confidence by conducting </w:t>
            </w:r>
            <w:r w:rsidRPr="00AD7C82">
              <w:rPr>
                <w:sz w:val="20"/>
                <w:szCs w:val="22"/>
              </w:rPr>
              <w:lastRenderedPageBreak/>
              <w:t>training presentations and team work. Critical thinking blended with a sound knowledge base and confidence make the EMP Grad so valued in the workplace. The students are work ready after experiencing real clients during the two semesters.</w:t>
            </w:r>
            <w:r>
              <w:rPr>
                <w:sz w:val="20"/>
                <w:szCs w:val="22"/>
              </w:rPr>
              <w:t xml:space="preserve"> In this program, we embody that t</w:t>
            </w:r>
            <w:r w:rsidRPr="00AD7C82">
              <w:rPr>
                <w:sz w:val="20"/>
              </w:rPr>
              <w:t xml:space="preserve">eaching and Learning is two-way. </w:t>
            </w:r>
            <w:proofErr w:type="gramStart"/>
            <w:r>
              <w:rPr>
                <w:sz w:val="20"/>
              </w:rPr>
              <w:t>Fa</w:t>
            </w:r>
            <w:r w:rsidRPr="00AD7C82">
              <w:rPr>
                <w:sz w:val="20"/>
              </w:rPr>
              <w:t>culty encourage</w:t>
            </w:r>
            <w:proofErr w:type="gramEnd"/>
            <w:r w:rsidRPr="00AD7C82">
              <w:rPr>
                <w:sz w:val="20"/>
              </w:rPr>
              <w:t xml:space="preserve"> students to come out</w:t>
            </w:r>
            <w:r>
              <w:rPr>
                <w:sz w:val="20"/>
              </w:rPr>
              <w:t xml:space="preserve"> of their comfort zones and succeed in the t</w:t>
            </w:r>
            <w:r w:rsidRPr="00AD7C82">
              <w:rPr>
                <w:sz w:val="20"/>
              </w:rPr>
              <w:t xml:space="preserve">eamwork </w:t>
            </w:r>
            <w:r>
              <w:rPr>
                <w:sz w:val="20"/>
              </w:rPr>
              <w:t xml:space="preserve">that </w:t>
            </w:r>
            <w:r w:rsidRPr="00AD7C82">
              <w:rPr>
                <w:sz w:val="20"/>
              </w:rPr>
              <w:t>is embedded in the program</w:t>
            </w:r>
            <w:r>
              <w:rPr>
                <w:sz w:val="20"/>
              </w:rPr>
              <w:t xml:space="preserve">. </w:t>
            </w:r>
            <w:r>
              <w:rPr>
                <w:sz w:val="20"/>
                <w:szCs w:val="22"/>
              </w:rPr>
              <w:t>As program faculty, we strive to maintain all of the following</w:t>
            </w:r>
          </w:p>
          <w:p w:rsidR="00B36F67" w:rsidRPr="00AD7C82" w:rsidRDefault="00AD7C82" w:rsidP="00B36F67">
            <w:pPr>
              <w:numPr>
                <w:ilvl w:val="0"/>
                <w:numId w:val="3"/>
              </w:numPr>
              <w:tabs>
                <w:tab w:val="clear" w:pos="900"/>
                <w:tab w:val="num" w:pos="514"/>
              </w:tabs>
              <w:ind w:left="514" w:hanging="514"/>
              <w:rPr>
                <w:sz w:val="20"/>
              </w:rPr>
            </w:pPr>
            <w:r>
              <w:rPr>
                <w:sz w:val="20"/>
              </w:rPr>
              <w:t>S</w:t>
            </w:r>
            <w:r w:rsidR="00B36F67" w:rsidRPr="00AD7C82">
              <w:rPr>
                <w:sz w:val="20"/>
              </w:rPr>
              <w:t>taying current in the field</w:t>
            </w:r>
          </w:p>
          <w:p w:rsidR="00B36F67" w:rsidRPr="00AD7C82" w:rsidRDefault="00AD7C82" w:rsidP="00B36F67">
            <w:pPr>
              <w:numPr>
                <w:ilvl w:val="0"/>
                <w:numId w:val="3"/>
              </w:numPr>
              <w:tabs>
                <w:tab w:val="clear" w:pos="900"/>
                <w:tab w:val="num" w:pos="514"/>
              </w:tabs>
              <w:ind w:left="514" w:hanging="514"/>
              <w:rPr>
                <w:sz w:val="20"/>
              </w:rPr>
            </w:pPr>
            <w:r>
              <w:rPr>
                <w:sz w:val="20"/>
              </w:rPr>
              <w:t>U</w:t>
            </w:r>
            <w:r w:rsidR="00B36F67" w:rsidRPr="00AD7C82">
              <w:rPr>
                <w:sz w:val="20"/>
              </w:rPr>
              <w:t>s</w:t>
            </w:r>
            <w:r>
              <w:rPr>
                <w:sz w:val="20"/>
              </w:rPr>
              <w:t>ing</w:t>
            </w:r>
            <w:r w:rsidR="00B36F67" w:rsidRPr="00AD7C82">
              <w:rPr>
                <w:sz w:val="20"/>
              </w:rPr>
              <w:t xml:space="preserve"> current and relevant job postings to design learning activities, assignments, and projects and integrate the abilities required in the assessments.</w:t>
            </w:r>
          </w:p>
          <w:p w:rsidR="00AD7C82" w:rsidRDefault="00AD7C82" w:rsidP="00B36F67">
            <w:pPr>
              <w:numPr>
                <w:ilvl w:val="0"/>
                <w:numId w:val="3"/>
              </w:numPr>
              <w:tabs>
                <w:tab w:val="clear" w:pos="900"/>
                <w:tab w:val="num" w:pos="514"/>
              </w:tabs>
              <w:ind w:left="514" w:hanging="514"/>
              <w:rPr>
                <w:sz w:val="20"/>
              </w:rPr>
            </w:pPr>
            <w:r w:rsidRPr="00AD7C82">
              <w:rPr>
                <w:sz w:val="20"/>
              </w:rPr>
              <w:t>Using a</w:t>
            </w:r>
            <w:r w:rsidR="002B2722" w:rsidRPr="00AD7C82">
              <w:rPr>
                <w:sz w:val="20"/>
              </w:rPr>
              <w:t xml:space="preserve">pplied projects keep </w:t>
            </w:r>
            <w:r>
              <w:rPr>
                <w:sz w:val="20"/>
              </w:rPr>
              <w:t>students engaged</w:t>
            </w:r>
          </w:p>
          <w:p w:rsidR="00B36F67" w:rsidRPr="00AD7C82" w:rsidRDefault="00B36F67" w:rsidP="00B36F67">
            <w:pPr>
              <w:numPr>
                <w:ilvl w:val="0"/>
                <w:numId w:val="3"/>
              </w:numPr>
              <w:tabs>
                <w:tab w:val="clear" w:pos="900"/>
                <w:tab w:val="num" w:pos="514"/>
              </w:tabs>
              <w:ind w:left="514" w:hanging="514"/>
              <w:rPr>
                <w:sz w:val="20"/>
              </w:rPr>
            </w:pPr>
            <w:r w:rsidRPr="00AD7C82">
              <w:rPr>
                <w:sz w:val="20"/>
              </w:rPr>
              <w:t>Respect</w:t>
            </w:r>
            <w:r w:rsidR="00AD7C82">
              <w:rPr>
                <w:sz w:val="20"/>
              </w:rPr>
              <w:t>ing</w:t>
            </w:r>
            <w:r w:rsidRPr="00AD7C82">
              <w:rPr>
                <w:sz w:val="20"/>
              </w:rPr>
              <w:t xml:space="preserve"> the challenges experienced by the </w:t>
            </w:r>
            <w:r w:rsidR="00AD7C82">
              <w:rPr>
                <w:sz w:val="20"/>
              </w:rPr>
              <w:t>students and</w:t>
            </w:r>
            <w:r w:rsidRPr="00AD7C82">
              <w:rPr>
                <w:sz w:val="20"/>
              </w:rPr>
              <w:t xml:space="preserve"> </w:t>
            </w:r>
            <w:r w:rsidR="00AD7C82">
              <w:rPr>
                <w:sz w:val="20"/>
              </w:rPr>
              <w:t>ou</w:t>
            </w:r>
            <w:r w:rsidRPr="00AD7C82">
              <w:rPr>
                <w:sz w:val="20"/>
              </w:rPr>
              <w:t>r colleagues</w:t>
            </w:r>
            <w:r w:rsidR="00AD7C82">
              <w:rPr>
                <w:sz w:val="20"/>
              </w:rPr>
              <w:t xml:space="preserve"> in the field</w:t>
            </w:r>
          </w:p>
          <w:p w:rsidR="00B36F67" w:rsidRPr="00AD7C82" w:rsidRDefault="00AD7C82" w:rsidP="00B36F67">
            <w:pPr>
              <w:numPr>
                <w:ilvl w:val="0"/>
                <w:numId w:val="3"/>
              </w:numPr>
              <w:tabs>
                <w:tab w:val="clear" w:pos="900"/>
                <w:tab w:val="num" w:pos="514"/>
              </w:tabs>
              <w:ind w:left="514" w:hanging="514"/>
              <w:rPr>
                <w:sz w:val="20"/>
              </w:rPr>
            </w:pPr>
            <w:r>
              <w:rPr>
                <w:sz w:val="20"/>
              </w:rPr>
              <w:t>Expecting</w:t>
            </w:r>
            <w:r w:rsidR="00B36F67" w:rsidRPr="00AD7C82">
              <w:rPr>
                <w:sz w:val="20"/>
              </w:rPr>
              <w:t xml:space="preserve"> </w:t>
            </w:r>
            <w:r>
              <w:rPr>
                <w:sz w:val="20"/>
              </w:rPr>
              <w:t xml:space="preserve">of </w:t>
            </w:r>
            <w:r w:rsidR="00B36F67" w:rsidRPr="00AD7C82">
              <w:rPr>
                <w:sz w:val="20"/>
              </w:rPr>
              <w:t>our students what the field expects of us as professionals</w:t>
            </w:r>
          </w:p>
          <w:p w:rsidR="00B36F67" w:rsidRPr="00AD7C82" w:rsidRDefault="00AD7C82" w:rsidP="00AD7C82">
            <w:pPr>
              <w:numPr>
                <w:ilvl w:val="0"/>
                <w:numId w:val="3"/>
              </w:numPr>
              <w:tabs>
                <w:tab w:val="clear" w:pos="900"/>
                <w:tab w:val="num" w:pos="514"/>
              </w:tabs>
              <w:ind w:left="514" w:hanging="514"/>
              <w:rPr>
                <w:sz w:val="20"/>
              </w:rPr>
            </w:pPr>
            <w:r>
              <w:rPr>
                <w:sz w:val="20"/>
              </w:rPr>
              <w:t>R</w:t>
            </w:r>
            <w:r w:rsidR="00B36F67" w:rsidRPr="00AD7C82">
              <w:rPr>
                <w:sz w:val="20"/>
              </w:rPr>
              <w:t>espect</w:t>
            </w:r>
            <w:r>
              <w:rPr>
                <w:sz w:val="20"/>
              </w:rPr>
              <w:t>ing</w:t>
            </w:r>
            <w:r w:rsidR="00B36F67" w:rsidRPr="00AD7C82">
              <w:rPr>
                <w:sz w:val="20"/>
              </w:rPr>
              <w:t xml:space="preserve"> what students bring to the classroom, experience, previous training, goals, and </w:t>
            </w:r>
            <w:r>
              <w:rPr>
                <w:sz w:val="20"/>
              </w:rPr>
              <w:t>challenges</w:t>
            </w:r>
            <w:r w:rsidR="00B36F67" w:rsidRPr="00AD7C82">
              <w:rPr>
                <w:sz w:val="20"/>
              </w:rPr>
              <w:t xml:space="preserve"> (LSS, supports)  </w:t>
            </w:r>
          </w:p>
        </w:tc>
      </w:tr>
      <w:tr w:rsidR="00276F6B" w:rsidRPr="004A2AC6" w:rsidTr="00B82C30">
        <w:tc>
          <w:tcPr>
            <w:tcW w:w="6379" w:type="dxa"/>
            <w:tcMar>
              <w:top w:w="113" w:type="dxa"/>
              <w:bottom w:w="113" w:type="dxa"/>
            </w:tcMar>
          </w:tcPr>
          <w:p w:rsidR="00276F6B" w:rsidRPr="004E75F0" w:rsidRDefault="00276F6B" w:rsidP="00276F6B">
            <w:pPr>
              <w:pStyle w:val="Title"/>
              <w:jc w:val="left"/>
              <w:rPr>
                <w:rFonts w:ascii="Arial" w:hAnsi="Arial"/>
                <w:b/>
                <w:sz w:val="20"/>
              </w:rPr>
            </w:pPr>
            <w:r w:rsidRPr="004E75F0">
              <w:rPr>
                <w:rFonts w:ascii="Arial" w:hAnsi="Arial"/>
                <w:b/>
                <w:sz w:val="20"/>
              </w:rPr>
              <w:lastRenderedPageBreak/>
              <w:t>2.2 Outcomes from Curriculum Renewal</w:t>
            </w:r>
          </w:p>
          <w:p w:rsidR="00276F6B" w:rsidRPr="004E75F0" w:rsidRDefault="00276F6B" w:rsidP="00276F6B">
            <w:pPr>
              <w:pStyle w:val="Title"/>
              <w:jc w:val="left"/>
              <w:rPr>
                <w:rFonts w:ascii="Arial" w:hAnsi="Arial"/>
                <w:b/>
                <w:sz w:val="20"/>
              </w:rPr>
            </w:pPr>
          </w:p>
          <w:p w:rsidR="00276F6B" w:rsidRPr="004E75F0" w:rsidRDefault="00276F6B" w:rsidP="00276F6B">
            <w:pPr>
              <w:rPr>
                <w:b/>
                <w:bCs/>
                <w:sz w:val="20"/>
              </w:rPr>
            </w:pPr>
            <w:r w:rsidRPr="004E75F0">
              <w:rPr>
                <w:b/>
                <w:bCs/>
                <w:sz w:val="20"/>
              </w:rPr>
              <w:t>Review</w:t>
            </w:r>
            <w:r>
              <w:rPr>
                <w:b/>
                <w:bCs/>
                <w:sz w:val="20"/>
              </w:rPr>
              <w:t xml:space="preserve"> / </w:t>
            </w:r>
            <w:r w:rsidRPr="004E75F0">
              <w:rPr>
                <w:b/>
                <w:bCs/>
                <w:sz w:val="20"/>
              </w:rPr>
              <w:t>discuss:</w:t>
            </w:r>
          </w:p>
          <w:p w:rsidR="00276F6B" w:rsidRPr="004E75F0" w:rsidRDefault="00276F6B" w:rsidP="00276F6B">
            <w:pPr>
              <w:numPr>
                <w:ilvl w:val="0"/>
                <w:numId w:val="3"/>
              </w:numPr>
              <w:tabs>
                <w:tab w:val="clear" w:pos="900"/>
              </w:tabs>
              <w:ind w:left="360"/>
              <w:rPr>
                <w:sz w:val="20"/>
              </w:rPr>
            </w:pPr>
            <w:r w:rsidRPr="004E75F0">
              <w:rPr>
                <w:sz w:val="20"/>
              </w:rPr>
              <w:t xml:space="preserve">Key </w:t>
            </w:r>
            <w:r>
              <w:rPr>
                <w:sz w:val="20"/>
              </w:rPr>
              <w:t xml:space="preserve">outcomes </w:t>
            </w:r>
            <w:r w:rsidRPr="004E75F0">
              <w:rPr>
                <w:sz w:val="20"/>
              </w:rPr>
              <w:t xml:space="preserve">from the Curriculum Renewal processes </w:t>
            </w:r>
            <w:r>
              <w:rPr>
                <w:sz w:val="20"/>
              </w:rPr>
              <w:t>of</w:t>
            </w:r>
            <w:r w:rsidRPr="004E75F0">
              <w:rPr>
                <w:sz w:val="20"/>
              </w:rPr>
              <w:t xml:space="preserve"> the past </w:t>
            </w:r>
            <w:r>
              <w:rPr>
                <w:sz w:val="20"/>
              </w:rPr>
              <w:t xml:space="preserve">few </w:t>
            </w:r>
            <w:r w:rsidRPr="004E75F0">
              <w:rPr>
                <w:sz w:val="20"/>
              </w:rPr>
              <w:t>years</w:t>
            </w:r>
          </w:p>
          <w:p w:rsidR="00276F6B" w:rsidRPr="004E75F0" w:rsidRDefault="00276F6B" w:rsidP="00276F6B">
            <w:pPr>
              <w:numPr>
                <w:ilvl w:val="0"/>
                <w:numId w:val="3"/>
              </w:numPr>
              <w:tabs>
                <w:tab w:val="clear" w:pos="900"/>
              </w:tabs>
              <w:ind w:left="360"/>
              <w:rPr>
                <w:sz w:val="20"/>
              </w:rPr>
            </w:pPr>
            <w:r w:rsidRPr="004E75F0">
              <w:rPr>
                <w:sz w:val="20"/>
              </w:rPr>
              <w:t>Progress to date in implementing the recommendations</w:t>
            </w:r>
            <w:r>
              <w:rPr>
                <w:sz w:val="20"/>
              </w:rPr>
              <w:t xml:space="preserve"> arising from Curriculum Renewal</w:t>
            </w:r>
          </w:p>
          <w:p w:rsidR="00276F6B" w:rsidRPr="004E75F0" w:rsidRDefault="00276F6B" w:rsidP="00276F6B">
            <w:pPr>
              <w:numPr>
                <w:ilvl w:val="0"/>
                <w:numId w:val="3"/>
              </w:numPr>
              <w:tabs>
                <w:tab w:val="clear" w:pos="900"/>
              </w:tabs>
              <w:ind w:left="360"/>
              <w:rPr>
                <w:sz w:val="20"/>
              </w:rPr>
            </w:pPr>
            <w:r>
              <w:rPr>
                <w:sz w:val="20"/>
              </w:rPr>
              <w:t>S</w:t>
            </w:r>
            <w:r w:rsidRPr="004E75F0">
              <w:rPr>
                <w:sz w:val="20"/>
              </w:rPr>
              <w:t xml:space="preserve">uccess of the changes implemented and </w:t>
            </w:r>
            <w:r>
              <w:rPr>
                <w:sz w:val="20"/>
              </w:rPr>
              <w:t xml:space="preserve">the </w:t>
            </w:r>
            <w:r w:rsidRPr="004E75F0">
              <w:rPr>
                <w:sz w:val="20"/>
              </w:rPr>
              <w:t xml:space="preserve">means </w:t>
            </w:r>
            <w:r>
              <w:rPr>
                <w:sz w:val="20"/>
              </w:rPr>
              <w:t xml:space="preserve">by which they are being </w:t>
            </w:r>
            <w:r w:rsidRPr="004E75F0">
              <w:rPr>
                <w:sz w:val="20"/>
              </w:rPr>
              <w:t>evaluat</w:t>
            </w:r>
            <w:r>
              <w:rPr>
                <w:sz w:val="20"/>
              </w:rPr>
              <w:t>ed</w:t>
            </w:r>
          </w:p>
          <w:p w:rsidR="00276F6B" w:rsidRPr="004E75F0" w:rsidRDefault="00276F6B" w:rsidP="00276F6B">
            <w:pPr>
              <w:pStyle w:val="Title"/>
              <w:jc w:val="left"/>
              <w:rPr>
                <w:rFonts w:ascii="Arial" w:hAnsi="Arial"/>
                <w:b/>
                <w:sz w:val="20"/>
              </w:rPr>
            </w:pPr>
          </w:p>
        </w:tc>
        <w:tc>
          <w:tcPr>
            <w:tcW w:w="8440" w:type="dxa"/>
            <w:tcMar>
              <w:top w:w="113" w:type="dxa"/>
              <w:bottom w:w="113" w:type="dxa"/>
            </w:tcMar>
          </w:tcPr>
          <w:p w:rsidR="003B06CE" w:rsidRPr="003B06CE" w:rsidRDefault="003B06CE" w:rsidP="003B06CE">
            <w:pPr>
              <w:autoSpaceDE w:val="0"/>
              <w:autoSpaceDN w:val="0"/>
              <w:adjustRightInd w:val="0"/>
              <w:rPr>
                <w:sz w:val="18"/>
                <w:szCs w:val="22"/>
                <w:lang w:val="en-GB"/>
              </w:rPr>
            </w:pPr>
            <w:r w:rsidRPr="003B06CE">
              <w:rPr>
                <w:sz w:val="20"/>
                <w:szCs w:val="22"/>
              </w:rPr>
              <w:t xml:space="preserve">Curriculum Renewal is vital to EMP as our field is rapidly changing. From Advisory Committee recommendations to comments from past grads, EMP has been in a state of change to keep not only current, but cutting edge. </w:t>
            </w:r>
            <w:r>
              <w:rPr>
                <w:sz w:val="20"/>
                <w:szCs w:val="22"/>
              </w:rPr>
              <w:t>Critical changes from the curriculum renewal process in the recent years include</w:t>
            </w:r>
          </w:p>
          <w:p w:rsidR="003B06CE" w:rsidRDefault="003B06CE" w:rsidP="003B06CE">
            <w:pPr>
              <w:rPr>
                <w:sz w:val="20"/>
                <w:szCs w:val="22"/>
                <w:lang w:val="en-GB"/>
              </w:rPr>
            </w:pPr>
          </w:p>
          <w:p w:rsidR="003B06CE" w:rsidRPr="003B06CE" w:rsidRDefault="003B06CE" w:rsidP="003B06CE">
            <w:pPr>
              <w:rPr>
                <w:sz w:val="20"/>
                <w:szCs w:val="22"/>
                <w:lang w:val="en-GB"/>
              </w:rPr>
            </w:pPr>
            <w:r>
              <w:rPr>
                <w:sz w:val="20"/>
                <w:szCs w:val="22"/>
                <w:lang w:val="en-GB"/>
              </w:rPr>
              <w:t xml:space="preserve">Aligning the EMP program to the CSA Z1600 Canadian Standard, expanding the focus on Business Continuity within our program, and expanding our offerings of site visits and guest speakers to enhance the real world applications of our program. Because our program is small, we are able to closely monitor the success of these changes through a combination of student feedback, regular faculty interaction, and contact with our industry partners. We are also in regular contact with our graduates, who report back to us about their experiences in the field. </w:t>
            </w:r>
          </w:p>
          <w:p w:rsidR="00276F6B" w:rsidRPr="003B06CE" w:rsidRDefault="00276F6B" w:rsidP="003B06CE">
            <w:pPr>
              <w:rPr>
                <w:sz w:val="20"/>
                <w:szCs w:val="22"/>
                <w:lang w:val="en-GB"/>
              </w:rPr>
            </w:pPr>
          </w:p>
        </w:tc>
      </w:tr>
      <w:tr w:rsidR="00276F6B" w:rsidRPr="004E75F0" w:rsidTr="00B82C30">
        <w:tc>
          <w:tcPr>
            <w:tcW w:w="6379" w:type="dxa"/>
            <w:tcMar>
              <w:top w:w="113" w:type="dxa"/>
              <w:bottom w:w="113" w:type="dxa"/>
            </w:tcMar>
          </w:tcPr>
          <w:p w:rsidR="00276F6B" w:rsidRPr="004E75F0" w:rsidRDefault="00276F6B" w:rsidP="00276F6B">
            <w:pPr>
              <w:pStyle w:val="Title"/>
              <w:jc w:val="left"/>
              <w:rPr>
                <w:rFonts w:ascii="Arial" w:hAnsi="Arial"/>
                <w:b/>
                <w:sz w:val="20"/>
              </w:rPr>
            </w:pPr>
            <w:r w:rsidRPr="004E75F0">
              <w:rPr>
                <w:rFonts w:ascii="Arial" w:hAnsi="Arial"/>
                <w:b/>
                <w:sz w:val="20"/>
              </w:rPr>
              <w:t>2.3 Curriculum Map</w:t>
            </w:r>
          </w:p>
          <w:p w:rsidR="00276F6B" w:rsidRPr="004E75F0" w:rsidRDefault="00276F6B" w:rsidP="00276F6B">
            <w:pPr>
              <w:pStyle w:val="Title"/>
              <w:jc w:val="left"/>
              <w:rPr>
                <w:rFonts w:ascii="Arial" w:hAnsi="Arial"/>
                <w:b/>
                <w:sz w:val="20"/>
              </w:rPr>
            </w:pPr>
          </w:p>
          <w:p w:rsidR="00276F6B" w:rsidRPr="004E75F0" w:rsidRDefault="00276F6B" w:rsidP="00276F6B">
            <w:pPr>
              <w:pStyle w:val="Title"/>
              <w:numPr>
                <w:ilvl w:val="0"/>
                <w:numId w:val="7"/>
              </w:numPr>
              <w:tabs>
                <w:tab w:val="clear" w:pos="720"/>
                <w:tab w:val="num" w:pos="360"/>
              </w:tabs>
              <w:ind w:left="360"/>
              <w:jc w:val="left"/>
              <w:rPr>
                <w:rFonts w:ascii="Arial" w:hAnsi="Arial"/>
                <w:sz w:val="20"/>
              </w:rPr>
            </w:pPr>
            <w:r w:rsidRPr="004E75F0">
              <w:rPr>
                <w:rFonts w:ascii="Arial" w:hAnsi="Arial"/>
                <w:sz w:val="20"/>
              </w:rPr>
              <w:t xml:space="preserve">Review the </w:t>
            </w:r>
            <w:r>
              <w:rPr>
                <w:rFonts w:ascii="Arial" w:hAnsi="Arial"/>
                <w:sz w:val="20"/>
              </w:rPr>
              <w:t>P</w:t>
            </w:r>
            <w:r w:rsidRPr="004E75F0">
              <w:rPr>
                <w:rFonts w:ascii="Arial" w:hAnsi="Arial"/>
                <w:sz w:val="20"/>
              </w:rPr>
              <w:t xml:space="preserve">rogram </w:t>
            </w:r>
            <w:r>
              <w:rPr>
                <w:rFonts w:ascii="Arial" w:hAnsi="Arial"/>
                <w:sz w:val="20"/>
              </w:rPr>
              <w:t>C</w:t>
            </w:r>
            <w:r w:rsidRPr="004E75F0">
              <w:rPr>
                <w:rFonts w:ascii="Arial" w:hAnsi="Arial"/>
                <w:sz w:val="20"/>
              </w:rPr>
              <w:t xml:space="preserve">urriculum </w:t>
            </w:r>
            <w:r>
              <w:rPr>
                <w:rFonts w:ascii="Arial" w:hAnsi="Arial"/>
                <w:sz w:val="20"/>
              </w:rPr>
              <w:t>M</w:t>
            </w:r>
            <w:r w:rsidRPr="004E75F0">
              <w:rPr>
                <w:rFonts w:ascii="Arial" w:hAnsi="Arial"/>
                <w:sz w:val="20"/>
              </w:rPr>
              <w:t>ap and discuss the extent to which there is alignment of vocational and course outcomes</w:t>
            </w:r>
          </w:p>
          <w:p w:rsidR="00276F6B" w:rsidRPr="004E75F0" w:rsidRDefault="00276F6B" w:rsidP="00276F6B">
            <w:pPr>
              <w:pStyle w:val="Title"/>
              <w:numPr>
                <w:ilvl w:val="0"/>
                <w:numId w:val="7"/>
              </w:numPr>
              <w:tabs>
                <w:tab w:val="clear" w:pos="720"/>
                <w:tab w:val="num" w:pos="360"/>
              </w:tabs>
              <w:ind w:left="360"/>
              <w:jc w:val="left"/>
              <w:rPr>
                <w:rFonts w:ascii="Arial" w:hAnsi="Arial"/>
                <w:sz w:val="20"/>
              </w:rPr>
            </w:pPr>
            <w:r w:rsidRPr="004E75F0">
              <w:rPr>
                <w:rFonts w:ascii="Arial" w:hAnsi="Arial"/>
                <w:sz w:val="20"/>
              </w:rPr>
              <w:t xml:space="preserve">Review </w:t>
            </w:r>
            <w:r>
              <w:rPr>
                <w:rFonts w:ascii="Arial" w:hAnsi="Arial"/>
                <w:sz w:val="20"/>
              </w:rPr>
              <w:t xml:space="preserve">/ </w:t>
            </w:r>
            <w:r w:rsidRPr="004E75F0">
              <w:rPr>
                <w:rFonts w:ascii="Arial" w:hAnsi="Arial"/>
                <w:sz w:val="20"/>
              </w:rPr>
              <w:t xml:space="preserve">discuss the distribution and progression of </w:t>
            </w:r>
            <w:r>
              <w:rPr>
                <w:rFonts w:ascii="Arial" w:hAnsi="Arial"/>
                <w:sz w:val="20"/>
              </w:rPr>
              <w:t>Vocational Learning Outcomes</w:t>
            </w:r>
            <w:r w:rsidRPr="004E75F0">
              <w:rPr>
                <w:rFonts w:ascii="Arial" w:hAnsi="Arial"/>
                <w:sz w:val="20"/>
              </w:rPr>
              <w:t xml:space="preserve">, </w:t>
            </w:r>
            <w:r>
              <w:rPr>
                <w:rFonts w:ascii="Arial" w:hAnsi="Arial"/>
                <w:sz w:val="20"/>
              </w:rPr>
              <w:t>E</w:t>
            </w:r>
            <w:r w:rsidRPr="004E75F0">
              <w:rPr>
                <w:rFonts w:ascii="Arial" w:hAnsi="Arial"/>
                <w:sz w:val="20"/>
              </w:rPr>
              <w:t xml:space="preserve">ssential </w:t>
            </w:r>
            <w:r>
              <w:rPr>
                <w:rFonts w:ascii="Arial" w:hAnsi="Arial"/>
                <w:sz w:val="20"/>
              </w:rPr>
              <w:t>E</w:t>
            </w:r>
            <w:r w:rsidRPr="004E75F0">
              <w:rPr>
                <w:rFonts w:ascii="Arial" w:hAnsi="Arial"/>
                <w:sz w:val="20"/>
              </w:rPr>
              <w:t xml:space="preserve">mployability </w:t>
            </w:r>
            <w:r>
              <w:rPr>
                <w:rFonts w:ascii="Arial" w:hAnsi="Arial"/>
                <w:sz w:val="20"/>
              </w:rPr>
              <w:t>S</w:t>
            </w:r>
            <w:r w:rsidRPr="004E75F0">
              <w:rPr>
                <w:rFonts w:ascii="Arial" w:hAnsi="Arial"/>
                <w:sz w:val="20"/>
              </w:rPr>
              <w:t xml:space="preserve">kills, and </w:t>
            </w:r>
            <w:r>
              <w:rPr>
                <w:rFonts w:ascii="Arial" w:hAnsi="Arial"/>
                <w:sz w:val="20"/>
              </w:rPr>
              <w:t>G</w:t>
            </w:r>
            <w:r w:rsidRPr="004E75F0">
              <w:rPr>
                <w:rFonts w:ascii="Arial" w:hAnsi="Arial"/>
                <w:sz w:val="20"/>
              </w:rPr>
              <w:t xml:space="preserve">eneral </w:t>
            </w:r>
            <w:r>
              <w:rPr>
                <w:rFonts w:ascii="Arial" w:hAnsi="Arial"/>
                <w:sz w:val="20"/>
              </w:rPr>
              <w:t>E</w:t>
            </w:r>
            <w:r w:rsidRPr="004E75F0">
              <w:rPr>
                <w:rFonts w:ascii="Arial" w:hAnsi="Arial"/>
                <w:sz w:val="20"/>
              </w:rPr>
              <w:t>ducation themes across the curriculum.</w:t>
            </w:r>
          </w:p>
          <w:p w:rsidR="00276F6B" w:rsidRPr="004E75F0" w:rsidRDefault="00276F6B" w:rsidP="00276F6B">
            <w:pPr>
              <w:tabs>
                <w:tab w:val="left" w:pos="72"/>
              </w:tabs>
              <w:rPr>
                <w:b/>
                <w:sz w:val="20"/>
              </w:rPr>
            </w:pPr>
            <w:r>
              <w:rPr>
                <w:b/>
                <w:sz w:val="20"/>
                <w:lang w:val="en-GB"/>
              </w:rPr>
              <w:t xml:space="preserve">      </w:t>
            </w:r>
            <w:r w:rsidRPr="00CA49A8">
              <w:rPr>
                <w:b/>
                <w:sz w:val="20"/>
                <w:lang w:val="en-GB"/>
              </w:rPr>
              <w:t>Submit an updated curriculum map as an attachment</w:t>
            </w:r>
            <w:r w:rsidRPr="00CA49A8">
              <w:rPr>
                <w:b/>
                <w:sz w:val="20"/>
              </w:rPr>
              <w:t>.</w:t>
            </w:r>
          </w:p>
        </w:tc>
        <w:tc>
          <w:tcPr>
            <w:tcW w:w="8440" w:type="dxa"/>
            <w:tcMar>
              <w:top w:w="113" w:type="dxa"/>
              <w:bottom w:w="113" w:type="dxa"/>
            </w:tcMar>
          </w:tcPr>
          <w:p w:rsidR="00276F6B" w:rsidRPr="004E75F0" w:rsidRDefault="001B3DA3" w:rsidP="00276F6B">
            <w:pPr>
              <w:rPr>
                <w:sz w:val="20"/>
              </w:rPr>
            </w:pPr>
            <w:r>
              <w:rPr>
                <w:sz w:val="20"/>
              </w:rPr>
              <w:t>Attached Appendix A</w:t>
            </w:r>
          </w:p>
        </w:tc>
      </w:tr>
    </w:tbl>
    <w:p w:rsidR="00276F6B" w:rsidRDefault="00276F6B" w:rsidP="00276F6B"/>
    <w:tbl>
      <w:tblPr>
        <w:tblStyle w:val="TableGrid"/>
        <w:tblW w:w="14803" w:type="dxa"/>
        <w:tblInd w:w="-1735" w:type="dxa"/>
        <w:tblLayout w:type="fixed"/>
        <w:tblLook w:val="01E0" w:firstRow="1" w:lastRow="1" w:firstColumn="1" w:lastColumn="1" w:noHBand="0" w:noVBand="0"/>
      </w:tblPr>
      <w:tblGrid>
        <w:gridCol w:w="6379"/>
        <w:gridCol w:w="8424"/>
      </w:tblGrid>
      <w:tr w:rsidR="00276F6B" w:rsidRPr="004E75F0" w:rsidTr="00B82C30">
        <w:trPr>
          <w:trHeight w:val="1602"/>
        </w:trPr>
        <w:tc>
          <w:tcPr>
            <w:tcW w:w="6379" w:type="dxa"/>
            <w:tcMar>
              <w:top w:w="113" w:type="dxa"/>
              <w:bottom w:w="113" w:type="dxa"/>
            </w:tcMar>
          </w:tcPr>
          <w:p w:rsidR="00276F6B" w:rsidRPr="00DE733C" w:rsidRDefault="00276F6B" w:rsidP="00276F6B">
            <w:pPr>
              <w:pStyle w:val="Title"/>
              <w:jc w:val="left"/>
              <w:rPr>
                <w:rFonts w:ascii="Arial" w:hAnsi="Arial"/>
                <w:b/>
                <w:sz w:val="20"/>
              </w:rPr>
            </w:pPr>
            <w:r w:rsidRPr="00DE733C">
              <w:rPr>
                <w:rFonts w:ascii="Arial" w:hAnsi="Arial"/>
                <w:b/>
                <w:sz w:val="20"/>
              </w:rPr>
              <w:lastRenderedPageBreak/>
              <w:t>2.4 Curriculum Sequencing</w:t>
            </w:r>
          </w:p>
          <w:p w:rsidR="00276F6B" w:rsidRPr="00DE733C" w:rsidRDefault="00276F6B" w:rsidP="00276F6B">
            <w:pPr>
              <w:pStyle w:val="Title"/>
              <w:jc w:val="left"/>
              <w:rPr>
                <w:rFonts w:ascii="Arial" w:hAnsi="Arial"/>
                <w:b/>
                <w:sz w:val="20"/>
              </w:rPr>
            </w:pPr>
          </w:p>
          <w:p w:rsidR="00276F6B" w:rsidRPr="00DE733C" w:rsidRDefault="00276F6B" w:rsidP="00276F6B">
            <w:pPr>
              <w:rPr>
                <w:b/>
                <w:bCs/>
                <w:sz w:val="20"/>
              </w:rPr>
            </w:pPr>
            <w:r w:rsidRPr="00DE733C">
              <w:rPr>
                <w:b/>
                <w:sz w:val="20"/>
              </w:rPr>
              <w:t>Review / discuss:</w:t>
            </w:r>
          </w:p>
          <w:p w:rsidR="00276F6B" w:rsidRPr="00DE733C" w:rsidRDefault="00276F6B" w:rsidP="00276F6B">
            <w:pPr>
              <w:pStyle w:val="Title"/>
              <w:numPr>
                <w:ilvl w:val="0"/>
                <w:numId w:val="4"/>
              </w:numPr>
              <w:tabs>
                <w:tab w:val="clear" w:pos="720"/>
                <w:tab w:val="num" w:pos="360"/>
              </w:tabs>
              <w:ind w:left="360"/>
              <w:jc w:val="left"/>
              <w:rPr>
                <w:rFonts w:ascii="Arial" w:hAnsi="Arial"/>
                <w:b/>
                <w:sz w:val="20"/>
              </w:rPr>
            </w:pPr>
            <w:r w:rsidRPr="00DE733C">
              <w:rPr>
                <w:rFonts w:ascii="Arial" w:hAnsi="Arial"/>
                <w:sz w:val="20"/>
              </w:rPr>
              <w:t>The extent to which course content, levels of learning, and assessment methodology are successfully sequenced and aligned between courses and across semesters</w:t>
            </w:r>
          </w:p>
        </w:tc>
        <w:tc>
          <w:tcPr>
            <w:tcW w:w="8424" w:type="dxa"/>
            <w:tcMar>
              <w:top w:w="113" w:type="dxa"/>
              <w:bottom w:w="113" w:type="dxa"/>
            </w:tcMar>
          </w:tcPr>
          <w:p w:rsidR="00276F6B" w:rsidRPr="00DE733C" w:rsidRDefault="00DE733C" w:rsidP="00276F6B">
            <w:pPr>
              <w:rPr>
                <w:sz w:val="20"/>
              </w:rPr>
            </w:pPr>
            <w:r w:rsidRPr="00DE733C">
              <w:rPr>
                <w:sz w:val="20"/>
              </w:rPr>
              <w:t>Cou</w:t>
            </w:r>
            <w:r>
              <w:rPr>
                <w:sz w:val="20"/>
              </w:rPr>
              <w:t xml:space="preserve">rses are successfully sequenced across the two semesters. </w:t>
            </w:r>
          </w:p>
        </w:tc>
      </w:tr>
      <w:tr w:rsidR="00276F6B" w:rsidRPr="004B2ADC" w:rsidTr="00B82C30">
        <w:tc>
          <w:tcPr>
            <w:tcW w:w="6379" w:type="dxa"/>
            <w:tcMar>
              <w:top w:w="113" w:type="dxa"/>
              <w:bottom w:w="113" w:type="dxa"/>
            </w:tcMar>
          </w:tcPr>
          <w:p w:rsidR="00276F6B" w:rsidRPr="00DE733C" w:rsidRDefault="00276F6B" w:rsidP="00276F6B">
            <w:pPr>
              <w:rPr>
                <w:b/>
                <w:sz w:val="20"/>
              </w:rPr>
            </w:pPr>
            <w:r w:rsidRPr="00DE733C">
              <w:rPr>
                <w:b/>
                <w:sz w:val="20"/>
              </w:rPr>
              <w:t>2.5 Delivery Mode</w:t>
            </w:r>
          </w:p>
          <w:p w:rsidR="00276F6B" w:rsidRPr="00DE733C" w:rsidRDefault="00276F6B" w:rsidP="00276F6B">
            <w:pPr>
              <w:rPr>
                <w:b/>
                <w:sz w:val="20"/>
              </w:rPr>
            </w:pPr>
          </w:p>
          <w:p w:rsidR="00276F6B" w:rsidRPr="00DE733C" w:rsidRDefault="00276F6B" w:rsidP="00276F6B">
            <w:pPr>
              <w:rPr>
                <w:b/>
                <w:bCs/>
                <w:sz w:val="20"/>
              </w:rPr>
            </w:pPr>
            <w:r w:rsidRPr="00DE733C">
              <w:rPr>
                <w:b/>
                <w:bCs/>
                <w:sz w:val="20"/>
              </w:rPr>
              <w:t>Review / discuss:</w:t>
            </w:r>
          </w:p>
          <w:p w:rsidR="00276F6B" w:rsidRPr="00DE733C" w:rsidRDefault="00276F6B" w:rsidP="00276F6B">
            <w:pPr>
              <w:numPr>
                <w:ilvl w:val="0"/>
                <w:numId w:val="4"/>
              </w:numPr>
              <w:tabs>
                <w:tab w:val="clear" w:pos="720"/>
                <w:tab w:val="num" w:pos="360"/>
              </w:tabs>
              <w:ind w:left="360"/>
              <w:rPr>
                <w:sz w:val="20"/>
              </w:rPr>
            </w:pPr>
            <w:r w:rsidRPr="00DE733C">
              <w:rPr>
                <w:sz w:val="20"/>
              </w:rPr>
              <w:t xml:space="preserve">The </w:t>
            </w:r>
            <w:r w:rsidRPr="00DE733C">
              <w:rPr>
                <w:i/>
                <w:sz w:val="20"/>
              </w:rPr>
              <w:t>primary</w:t>
            </w:r>
            <w:r w:rsidRPr="00DE733C">
              <w:rPr>
                <w:sz w:val="20"/>
              </w:rPr>
              <w:t xml:space="preserve"> modes used to deliver curriculum such as lecture, seminar, lab, applied project, field camp and web based or hybrid courses</w:t>
            </w:r>
          </w:p>
          <w:p w:rsidR="00276F6B" w:rsidRPr="00DE733C" w:rsidRDefault="00276F6B" w:rsidP="00276F6B">
            <w:pPr>
              <w:pStyle w:val="Title"/>
              <w:numPr>
                <w:ilvl w:val="0"/>
                <w:numId w:val="4"/>
              </w:numPr>
              <w:tabs>
                <w:tab w:val="clear" w:pos="720"/>
                <w:tab w:val="num" w:pos="360"/>
              </w:tabs>
              <w:ind w:left="360"/>
              <w:jc w:val="left"/>
              <w:rPr>
                <w:rFonts w:ascii="Arial" w:hAnsi="Arial"/>
                <w:b/>
                <w:sz w:val="20"/>
              </w:rPr>
            </w:pPr>
            <w:r w:rsidRPr="00DE733C">
              <w:rPr>
                <w:rFonts w:ascii="Arial" w:hAnsi="Arial"/>
                <w:sz w:val="20"/>
              </w:rPr>
              <w:t>The rationale for, and appropriateness of, these delivery modes in relation to program learning outcomes</w:t>
            </w:r>
          </w:p>
        </w:tc>
        <w:tc>
          <w:tcPr>
            <w:tcW w:w="8424" w:type="dxa"/>
            <w:tcMar>
              <w:top w:w="113" w:type="dxa"/>
              <w:bottom w:w="113" w:type="dxa"/>
            </w:tcMar>
          </w:tcPr>
          <w:p w:rsidR="00276F6B" w:rsidRPr="00DE733C" w:rsidRDefault="00DC7D98" w:rsidP="00DC7D98">
            <w:pPr>
              <w:rPr>
                <w:sz w:val="20"/>
              </w:rPr>
            </w:pPr>
            <w:r w:rsidRPr="00DE733C">
              <w:rPr>
                <w:sz w:val="20"/>
              </w:rPr>
              <w:t xml:space="preserve">As this is a single cohort program with a limited enrollment, our delivery mode is, by design, small-class focused. Through a combination of teacher-led content delivery and student-driven team simulations and activities, participants in this program get to experience a balance of traditional and applied learning. </w:t>
            </w:r>
          </w:p>
          <w:p w:rsidR="00DC7D98" w:rsidRPr="00DE733C" w:rsidRDefault="00DC7D98" w:rsidP="00DC7D98">
            <w:pPr>
              <w:rPr>
                <w:sz w:val="20"/>
              </w:rPr>
            </w:pPr>
          </w:p>
          <w:p w:rsidR="00DC7D98" w:rsidRPr="00DE733C" w:rsidRDefault="00DC7D98" w:rsidP="00DC7D98">
            <w:pPr>
              <w:rPr>
                <w:sz w:val="20"/>
              </w:rPr>
            </w:pPr>
            <w:r w:rsidRPr="00DE733C">
              <w:rPr>
                <w:sz w:val="20"/>
              </w:rPr>
              <w:t xml:space="preserve">The program focus is on real-life experiences and the result is a graduate who is workplace ready. </w:t>
            </w:r>
          </w:p>
          <w:p w:rsidR="00DC7D98" w:rsidRPr="00DE733C" w:rsidRDefault="00DC7D98" w:rsidP="00DC7D98">
            <w:pPr>
              <w:rPr>
                <w:b/>
                <w:sz w:val="20"/>
              </w:rPr>
            </w:pPr>
          </w:p>
        </w:tc>
      </w:tr>
      <w:tr w:rsidR="00276F6B" w:rsidRPr="004B2ADC" w:rsidTr="00B82C30">
        <w:tc>
          <w:tcPr>
            <w:tcW w:w="6379" w:type="dxa"/>
            <w:tcMar>
              <w:top w:w="113" w:type="dxa"/>
              <w:bottom w:w="113" w:type="dxa"/>
            </w:tcMar>
          </w:tcPr>
          <w:p w:rsidR="00276F6B" w:rsidRPr="00DE733C" w:rsidRDefault="00276F6B" w:rsidP="00276F6B">
            <w:pPr>
              <w:pStyle w:val="Title"/>
              <w:jc w:val="left"/>
              <w:rPr>
                <w:rFonts w:ascii="Arial" w:hAnsi="Arial"/>
                <w:b/>
                <w:sz w:val="20"/>
              </w:rPr>
            </w:pPr>
            <w:r w:rsidRPr="00DE733C">
              <w:rPr>
                <w:rFonts w:ascii="Arial" w:hAnsi="Arial"/>
                <w:b/>
                <w:sz w:val="20"/>
              </w:rPr>
              <w:t>2.6 Evaluation Methods</w:t>
            </w:r>
          </w:p>
          <w:p w:rsidR="00276F6B" w:rsidRPr="00DE733C" w:rsidRDefault="00276F6B" w:rsidP="00276F6B">
            <w:pPr>
              <w:pStyle w:val="Title"/>
              <w:jc w:val="left"/>
              <w:rPr>
                <w:rFonts w:ascii="Arial" w:hAnsi="Arial"/>
                <w:b/>
                <w:sz w:val="20"/>
              </w:rPr>
            </w:pPr>
          </w:p>
          <w:p w:rsidR="00276F6B" w:rsidRPr="00DE733C" w:rsidRDefault="00276F6B" w:rsidP="00276F6B">
            <w:pPr>
              <w:rPr>
                <w:b/>
                <w:bCs/>
                <w:sz w:val="20"/>
              </w:rPr>
            </w:pPr>
            <w:r w:rsidRPr="00DE733C">
              <w:rPr>
                <w:b/>
                <w:bCs/>
                <w:sz w:val="20"/>
              </w:rPr>
              <w:t>Review / discuss:</w:t>
            </w:r>
          </w:p>
          <w:p w:rsidR="00276F6B" w:rsidRPr="00DE733C" w:rsidRDefault="00276F6B" w:rsidP="00276F6B">
            <w:pPr>
              <w:numPr>
                <w:ilvl w:val="0"/>
                <w:numId w:val="23"/>
              </w:numPr>
              <w:tabs>
                <w:tab w:val="clear" w:pos="720"/>
                <w:tab w:val="num" w:pos="360"/>
              </w:tabs>
              <w:ind w:left="360"/>
              <w:rPr>
                <w:sz w:val="20"/>
              </w:rPr>
            </w:pPr>
            <w:r w:rsidRPr="00DE733C">
              <w:rPr>
                <w:sz w:val="20"/>
              </w:rPr>
              <w:t>The program approach to learning assessment</w:t>
            </w:r>
          </w:p>
          <w:p w:rsidR="00276F6B" w:rsidRPr="00DE733C" w:rsidRDefault="00276F6B" w:rsidP="00276F6B">
            <w:pPr>
              <w:numPr>
                <w:ilvl w:val="0"/>
                <w:numId w:val="22"/>
              </w:numPr>
              <w:tabs>
                <w:tab w:val="clear" w:pos="720"/>
                <w:tab w:val="num" w:pos="360"/>
              </w:tabs>
              <w:ind w:left="360"/>
              <w:rPr>
                <w:b/>
                <w:sz w:val="20"/>
              </w:rPr>
            </w:pPr>
            <w:r w:rsidRPr="00DE733C">
              <w:rPr>
                <w:sz w:val="20"/>
              </w:rPr>
              <w:t>The balance and frequency of assessment types across the curriculum and their appropriateness to course / vocational outcomes</w:t>
            </w:r>
          </w:p>
        </w:tc>
        <w:tc>
          <w:tcPr>
            <w:tcW w:w="8424" w:type="dxa"/>
            <w:tcMar>
              <w:top w:w="113" w:type="dxa"/>
              <w:bottom w:w="113" w:type="dxa"/>
            </w:tcMar>
          </w:tcPr>
          <w:p w:rsidR="00276F6B" w:rsidRPr="00DE733C" w:rsidRDefault="00DC7D98" w:rsidP="00DC7D98">
            <w:pPr>
              <w:rPr>
                <w:sz w:val="20"/>
              </w:rPr>
            </w:pPr>
            <w:r w:rsidRPr="00DE733C">
              <w:rPr>
                <w:sz w:val="20"/>
              </w:rPr>
              <w:t xml:space="preserve">There is a balance between tests, assignments, and presentation projects, and some of the practicum courses have been shifted to a Pass/Fail assessment model. </w:t>
            </w:r>
          </w:p>
          <w:p w:rsidR="00DC7D98" w:rsidRPr="00DE733C" w:rsidRDefault="00DC7D98" w:rsidP="00DC7D98">
            <w:pPr>
              <w:rPr>
                <w:sz w:val="20"/>
              </w:rPr>
            </w:pPr>
          </w:p>
          <w:p w:rsidR="00DC7D98" w:rsidRPr="00DE733C" w:rsidRDefault="00B82C30" w:rsidP="00DC7D98">
            <w:pPr>
              <w:rPr>
                <w:sz w:val="20"/>
              </w:rPr>
            </w:pPr>
            <w:r w:rsidRPr="00DE733C">
              <w:rPr>
                <w:sz w:val="20"/>
              </w:rPr>
              <w:t xml:space="preserve">This is a content heavy program, and our alignment to external standards does demand the content rigor of traditional testing. </w:t>
            </w:r>
          </w:p>
        </w:tc>
      </w:tr>
      <w:tr w:rsidR="00276F6B" w:rsidRPr="004B2ADC" w:rsidTr="00B82C30">
        <w:tc>
          <w:tcPr>
            <w:tcW w:w="6379" w:type="dxa"/>
            <w:tcMar>
              <w:top w:w="113" w:type="dxa"/>
              <w:bottom w:w="113" w:type="dxa"/>
            </w:tcMar>
          </w:tcPr>
          <w:p w:rsidR="00276F6B" w:rsidRPr="00DE733C" w:rsidRDefault="00276F6B" w:rsidP="00276F6B">
            <w:pPr>
              <w:pStyle w:val="Title"/>
              <w:jc w:val="left"/>
              <w:rPr>
                <w:rFonts w:ascii="Arial" w:hAnsi="Arial"/>
                <w:b/>
                <w:sz w:val="20"/>
              </w:rPr>
            </w:pPr>
            <w:r w:rsidRPr="00DE733C">
              <w:rPr>
                <w:rFonts w:ascii="Arial" w:hAnsi="Arial"/>
                <w:b/>
                <w:sz w:val="20"/>
              </w:rPr>
              <w:t>2.7 Curriculum and Diversity</w:t>
            </w:r>
          </w:p>
          <w:p w:rsidR="00276F6B" w:rsidRPr="00DE733C" w:rsidRDefault="00276F6B" w:rsidP="00276F6B">
            <w:pPr>
              <w:pStyle w:val="Title"/>
              <w:jc w:val="left"/>
              <w:rPr>
                <w:rFonts w:ascii="Arial" w:hAnsi="Arial"/>
                <w:b/>
                <w:sz w:val="20"/>
              </w:rPr>
            </w:pPr>
          </w:p>
          <w:p w:rsidR="00276F6B" w:rsidRPr="00DE733C" w:rsidRDefault="00276F6B" w:rsidP="00276F6B">
            <w:pPr>
              <w:rPr>
                <w:b/>
                <w:bCs/>
                <w:sz w:val="20"/>
              </w:rPr>
            </w:pPr>
            <w:r w:rsidRPr="00DE733C">
              <w:rPr>
                <w:b/>
                <w:bCs/>
                <w:sz w:val="20"/>
              </w:rPr>
              <w:t>Review / discuss:</w:t>
            </w:r>
            <w:r w:rsidR="00AE5FC9" w:rsidRPr="00DE733C">
              <w:rPr>
                <w:b/>
                <w:bCs/>
                <w:sz w:val="20"/>
              </w:rPr>
              <w:t xml:space="preserve"> </w:t>
            </w:r>
          </w:p>
          <w:p w:rsidR="00276F6B" w:rsidRPr="00DE733C" w:rsidRDefault="00276F6B" w:rsidP="00276F6B">
            <w:pPr>
              <w:numPr>
                <w:ilvl w:val="0"/>
                <w:numId w:val="17"/>
              </w:numPr>
              <w:tabs>
                <w:tab w:val="clear" w:pos="720"/>
                <w:tab w:val="num" w:pos="360"/>
              </w:tabs>
              <w:ind w:left="360"/>
              <w:rPr>
                <w:bCs/>
                <w:sz w:val="20"/>
              </w:rPr>
            </w:pPr>
            <w:r w:rsidRPr="00DE733C">
              <w:rPr>
                <w:bCs/>
                <w:sz w:val="20"/>
              </w:rPr>
              <w:t>Program strategies that support student diversity and promote understanding of diversity, including program culture / climate, curriculum content and approaches to teaching and learning</w:t>
            </w:r>
          </w:p>
          <w:p w:rsidR="00276F6B" w:rsidRPr="00DE733C" w:rsidRDefault="00276F6B" w:rsidP="00276F6B">
            <w:pPr>
              <w:autoSpaceDE w:val="0"/>
              <w:autoSpaceDN w:val="0"/>
              <w:adjustRightInd w:val="0"/>
              <w:rPr>
                <w:sz w:val="20"/>
              </w:rPr>
            </w:pPr>
          </w:p>
        </w:tc>
        <w:tc>
          <w:tcPr>
            <w:tcW w:w="8424" w:type="dxa"/>
            <w:tcMar>
              <w:top w:w="113" w:type="dxa"/>
              <w:bottom w:w="113" w:type="dxa"/>
            </w:tcMar>
          </w:tcPr>
          <w:p w:rsidR="00276F6B" w:rsidRPr="00DE733C" w:rsidRDefault="00EB6944" w:rsidP="00B82C30">
            <w:pPr>
              <w:rPr>
                <w:sz w:val="20"/>
              </w:rPr>
            </w:pPr>
            <w:r w:rsidRPr="00DE733C">
              <w:rPr>
                <w:sz w:val="20"/>
              </w:rPr>
              <w:t xml:space="preserve">Team work is embedded </w:t>
            </w:r>
            <w:r w:rsidR="00B82C30" w:rsidRPr="00DE733C">
              <w:rPr>
                <w:sz w:val="20"/>
              </w:rPr>
              <w:t xml:space="preserve">in EMP which necessitates </w:t>
            </w:r>
            <w:r w:rsidRPr="00DE733C">
              <w:rPr>
                <w:sz w:val="20"/>
              </w:rPr>
              <w:t>tolerance, respect, collaboration, communication, interpersonal difference</w:t>
            </w:r>
            <w:r w:rsidR="00B82C30" w:rsidRPr="00DE733C">
              <w:rPr>
                <w:sz w:val="20"/>
              </w:rPr>
              <w:t>.</w:t>
            </w:r>
          </w:p>
          <w:p w:rsidR="00B82C30" w:rsidRPr="00DE733C" w:rsidRDefault="00B82C30" w:rsidP="00B82C30">
            <w:pPr>
              <w:rPr>
                <w:sz w:val="20"/>
              </w:rPr>
            </w:pPr>
            <w:r w:rsidRPr="00DE733C">
              <w:rPr>
                <w:sz w:val="20"/>
              </w:rPr>
              <w:t xml:space="preserve">Emergency Management work does often include dealing with a diverse range of individuals, cultures, and socio-economic groups. EMP students are taught to see this diversity as a learning opportunity. </w:t>
            </w:r>
          </w:p>
        </w:tc>
      </w:tr>
    </w:tbl>
    <w:p w:rsidR="00276F6B" w:rsidRPr="004B2ADC" w:rsidRDefault="00276F6B" w:rsidP="00276F6B"/>
    <w:tbl>
      <w:tblPr>
        <w:tblStyle w:val="TableGrid"/>
        <w:tblW w:w="14803" w:type="dxa"/>
        <w:tblInd w:w="-1735" w:type="dxa"/>
        <w:tblLayout w:type="fixed"/>
        <w:tblLook w:val="01E0" w:firstRow="1" w:lastRow="1" w:firstColumn="1" w:lastColumn="1" w:noHBand="0" w:noVBand="0"/>
      </w:tblPr>
      <w:tblGrid>
        <w:gridCol w:w="6379"/>
        <w:gridCol w:w="8424"/>
      </w:tblGrid>
      <w:tr w:rsidR="00276F6B" w:rsidRPr="004E75F0" w:rsidTr="00B82C30">
        <w:tc>
          <w:tcPr>
            <w:tcW w:w="6379" w:type="dxa"/>
            <w:tcMar>
              <w:top w:w="113" w:type="dxa"/>
              <w:bottom w:w="113" w:type="dxa"/>
            </w:tcMar>
          </w:tcPr>
          <w:p w:rsidR="00276F6B" w:rsidRPr="004B2ADC" w:rsidRDefault="00276F6B" w:rsidP="00276F6B">
            <w:pPr>
              <w:pStyle w:val="Title"/>
              <w:jc w:val="left"/>
              <w:rPr>
                <w:rFonts w:ascii="Arial" w:hAnsi="Arial"/>
                <w:b/>
                <w:sz w:val="20"/>
              </w:rPr>
            </w:pPr>
            <w:r w:rsidRPr="004B2ADC">
              <w:rPr>
                <w:rFonts w:ascii="Arial" w:hAnsi="Arial"/>
                <w:b/>
                <w:sz w:val="20"/>
              </w:rPr>
              <w:t>2.8 Credentials Framework</w:t>
            </w:r>
          </w:p>
          <w:p w:rsidR="00276F6B" w:rsidRPr="004B2ADC" w:rsidRDefault="00276F6B" w:rsidP="00276F6B">
            <w:pPr>
              <w:pStyle w:val="Title"/>
              <w:jc w:val="left"/>
              <w:rPr>
                <w:rFonts w:ascii="Arial" w:hAnsi="Arial"/>
                <w:b/>
                <w:sz w:val="20"/>
              </w:rPr>
            </w:pPr>
          </w:p>
          <w:p w:rsidR="00276F6B" w:rsidRPr="004B2ADC" w:rsidRDefault="00276F6B" w:rsidP="00276F6B">
            <w:pPr>
              <w:rPr>
                <w:b/>
                <w:bCs/>
                <w:sz w:val="20"/>
              </w:rPr>
            </w:pPr>
            <w:r w:rsidRPr="004B2ADC">
              <w:rPr>
                <w:b/>
                <w:bCs/>
                <w:sz w:val="20"/>
              </w:rPr>
              <w:t>Review / discuss:</w:t>
            </w:r>
          </w:p>
          <w:p w:rsidR="00276F6B" w:rsidRPr="004B2ADC" w:rsidRDefault="00276F6B" w:rsidP="00276F6B">
            <w:pPr>
              <w:numPr>
                <w:ilvl w:val="0"/>
                <w:numId w:val="5"/>
              </w:numPr>
              <w:tabs>
                <w:tab w:val="clear" w:pos="720"/>
                <w:tab w:val="num" w:pos="360"/>
              </w:tabs>
              <w:ind w:left="360"/>
              <w:rPr>
                <w:sz w:val="20"/>
              </w:rPr>
            </w:pPr>
            <w:r w:rsidRPr="004B2ADC">
              <w:rPr>
                <w:sz w:val="20"/>
              </w:rPr>
              <w:t>The Ontario College Credentials Framework and the extent to which the program aligns with the provincial standards</w:t>
            </w:r>
          </w:p>
          <w:p w:rsidR="00276F6B" w:rsidRPr="004B2ADC" w:rsidRDefault="00276F6B" w:rsidP="00276F6B">
            <w:pPr>
              <w:numPr>
                <w:ilvl w:val="0"/>
                <w:numId w:val="5"/>
              </w:numPr>
              <w:tabs>
                <w:tab w:val="clear" w:pos="720"/>
                <w:tab w:val="num" w:pos="360"/>
              </w:tabs>
              <w:ind w:left="360"/>
              <w:rPr>
                <w:b/>
                <w:sz w:val="20"/>
              </w:rPr>
            </w:pPr>
            <w:r w:rsidRPr="004B2ADC">
              <w:rPr>
                <w:sz w:val="20"/>
              </w:rPr>
              <w:lastRenderedPageBreak/>
              <w:t xml:space="preserve">The program’s current admission requirements and their suitability in relation to program </w:t>
            </w:r>
            <w:r w:rsidR="000E3241" w:rsidRPr="004B2ADC">
              <w:rPr>
                <w:sz w:val="20"/>
              </w:rPr>
              <w:t>rigor</w:t>
            </w:r>
            <w:r w:rsidRPr="004B2ADC">
              <w:rPr>
                <w:sz w:val="20"/>
              </w:rPr>
              <w:t xml:space="preserve"> and student preparedness</w:t>
            </w:r>
          </w:p>
        </w:tc>
        <w:tc>
          <w:tcPr>
            <w:tcW w:w="8424" w:type="dxa"/>
            <w:tcMar>
              <w:top w:w="113" w:type="dxa"/>
              <w:bottom w:w="113" w:type="dxa"/>
            </w:tcMar>
          </w:tcPr>
          <w:p w:rsidR="00EB6944" w:rsidRPr="004B2ADC" w:rsidRDefault="00EB6944" w:rsidP="00EB6944">
            <w:pPr>
              <w:rPr>
                <w:sz w:val="20"/>
              </w:rPr>
            </w:pPr>
            <w:r w:rsidRPr="004B2ADC">
              <w:rPr>
                <w:b/>
                <w:sz w:val="20"/>
              </w:rPr>
              <w:lastRenderedPageBreak/>
              <w:t xml:space="preserve">This program has no provincial standards.  </w:t>
            </w:r>
            <w:r w:rsidR="00B82C30" w:rsidRPr="00B82C30">
              <w:rPr>
                <w:sz w:val="20"/>
              </w:rPr>
              <w:t xml:space="preserve">The current EMP </w:t>
            </w:r>
            <w:r w:rsidRPr="00B82C30">
              <w:rPr>
                <w:sz w:val="20"/>
              </w:rPr>
              <w:t>program</w:t>
            </w:r>
            <w:r w:rsidRPr="004B2ADC">
              <w:rPr>
                <w:sz w:val="20"/>
              </w:rPr>
              <w:t xml:space="preserve"> outcomes are </w:t>
            </w:r>
            <w:r w:rsidR="00B82C30">
              <w:rPr>
                <w:sz w:val="20"/>
              </w:rPr>
              <w:t xml:space="preserve">locally determined and </w:t>
            </w:r>
            <w:r w:rsidRPr="004B2ADC">
              <w:rPr>
                <w:sz w:val="20"/>
              </w:rPr>
              <w:t>based on professional standards and ethic</w:t>
            </w:r>
            <w:r w:rsidR="00A062F9">
              <w:rPr>
                <w:sz w:val="20"/>
              </w:rPr>
              <w:t>s in the field and are revised/</w:t>
            </w:r>
            <w:r w:rsidRPr="004B2ADC">
              <w:rPr>
                <w:sz w:val="20"/>
              </w:rPr>
              <w:t>updated as the field changes.</w:t>
            </w:r>
          </w:p>
          <w:p w:rsidR="00EB6944" w:rsidRDefault="00EB6944" w:rsidP="00EB6944">
            <w:pPr>
              <w:rPr>
                <w:sz w:val="20"/>
              </w:rPr>
            </w:pPr>
          </w:p>
          <w:p w:rsidR="00276F6B" w:rsidRPr="004E75F0" w:rsidRDefault="00B82C30" w:rsidP="00A062F9">
            <w:pPr>
              <w:rPr>
                <w:sz w:val="20"/>
              </w:rPr>
            </w:pPr>
            <w:r>
              <w:rPr>
                <w:sz w:val="20"/>
              </w:rPr>
              <w:t xml:space="preserve">As a post-graduate certificate, the admission requirements are an Ontario College Diploma </w:t>
            </w:r>
            <w:r>
              <w:rPr>
                <w:sz w:val="20"/>
              </w:rPr>
              <w:lastRenderedPageBreak/>
              <w:t xml:space="preserve">or an undergraduate university degree. Professionals who are currently Emergency Managers and professionals with equivalent and related work experience in the field of emergency management will also be considered for admission on an individual basis. </w:t>
            </w:r>
          </w:p>
        </w:tc>
      </w:tr>
      <w:tr w:rsidR="00276F6B" w:rsidRPr="004E75F0" w:rsidTr="00B82C30">
        <w:trPr>
          <w:trHeight w:val="1412"/>
        </w:trPr>
        <w:tc>
          <w:tcPr>
            <w:tcW w:w="6379" w:type="dxa"/>
            <w:tcMar>
              <w:top w:w="113" w:type="dxa"/>
              <w:bottom w:w="113" w:type="dxa"/>
            </w:tcMar>
          </w:tcPr>
          <w:p w:rsidR="00276F6B" w:rsidRPr="004E75F0" w:rsidRDefault="00276F6B" w:rsidP="00276F6B">
            <w:pPr>
              <w:rPr>
                <w:b/>
                <w:sz w:val="20"/>
              </w:rPr>
            </w:pPr>
            <w:r w:rsidRPr="004E75F0">
              <w:rPr>
                <w:b/>
                <w:sz w:val="20"/>
              </w:rPr>
              <w:lastRenderedPageBreak/>
              <w:t>2.9 Learning Pathways</w:t>
            </w:r>
          </w:p>
          <w:p w:rsidR="00276F6B" w:rsidRPr="004E75F0" w:rsidRDefault="00276F6B" w:rsidP="00276F6B">
            <w:pPr>
              <w:rPr>
                <w:b/>
                <w:sz w:val="20"/>
              </w:rPr>
            </w:pPr>
          </w:p>
          <w:p w:rsidR="00276F6B" w:rsidRPr="004E75F0" w:rsidRDefault="00276F6B" w:rsidP="00276F6B">
            <w:pPr>
              <w:rPr>
                <w:b/>
                <w:bCs/>
                <w:sz w:val="20"/>
              </w:rPr>
            </w:pPr>
            <w:r w:rsidRPr="004E75F0">
              <w:rPr>
                <w:b/>
                <w:bCs/>
                <w:sz w:val="20"/>
              </w:rPr>
              <w:t>Review</w:t>
            </w:r>
            <w:r>
              <w:rPr>
                <w:b/>
                <w:bCs/>
                <w:sz w:val="20"/>
              </w:rPr>
              <w:t xml:space="preserve"> / discuss</w:t>
            </w:r>
            <w:r w:rsidRPr="004E75F0">
              <w:rPr>
                <w:b/>
                <w:bCs/>
                <w:sz w:val="20"/>
              </w:rPr>
              <w:t>:</w:t>
            </w:r>
          </w:p>
          <w:p w:rsidR="00276F6B" w:rsidRPr="004E75F0" w:rsidRDefault="00276F6B" w:rsidP="00276F6B">
            <w:pPr>
              <w:pStyle w:val="Title"/>
              <w:numPr>
                <w:ilvl w:val="0"/>
                <w:numId w:val="24"/>
              </w:numPr>
              <w:tabs>
                <w:tab w:val="clear" w:pos="720"/>
                <w:tab w:val="num" w:pos="360"/>
              </w:tabs>
              <w:ind w:left="360"/>
              <w:jc w:val="left"/>
              <w:rPr>
                <w:rFonts w:ascii="Arial" w:hAnsi="Arial"/>
                <w:b/>
                <w:sz w:val="20"/>
              </w:rPr>
            </w:pPr>
            <w:r w:rsidRPr="004E75F0">
              <w:rPr>
                <w:rFonts w:ascii="Arial" w:hAnsi="Arial"/>
                <w:sz w:val="20"/>
              </w:rPr>
              <w:t xml:space="preserve">Recent or anticipated initiatives that promote student pathways including high school articulations, dual credit, program laddering, </w:t>
            </w:r>
            <w:r>
              <w:rPr>
                <w:rFonts w:ascii="Arial" w:hAnsi="Arial"/>
                <w:sz w:val="20"/>
              </w:rPr>
              <w:t xml:space="preserve">dual diplomas, </w:t>
            </w:r>
            <w:r w:rsidRPr="004E75F0">
              <w:rPr>
                <w:rFonts w:ascii="Arial" w:hAnsi="Arial"/>
                <w:sz w:val="20"/>
              </w:rPr>
              <w:t>and university transfer</w:t>
            </w:r>
            <w:r>
              <w:rPr>
                <w:rFonts w:ascii="Arial" w:hAnsi="Arial"/>
                <w:sz w:val="20"/>
              </w:rPr>
              <w:t xml:space="preserve">, </w:t>
            </w:r>
            <w:r w:rsidRPr="004E75F0">
              <w:rPr>
                <w:rFonts w:ascii="Arial" w:hAnsi="Arial"/>
                <w:sz w:val="20"/>
              </w:rPr>
              <w:t>articulations, and partnerships</w:t>
            </w:r>
          </w:p>
        </w:tc>
        <w:tc>
          <w:tcPr>
            <w:tcW w:w="8424" w:type="dxa"/>
            <w:tcMar>
              <w:top w:w="113" w:type="dxa"/>
              <w:bottom w:w="113" w:type="dxa"/>
            </w:tcMar>
          </w:tcPr>
          <w:p w:rsidR="00276F6B" w:rsidRDefault="00A062F9" w:rsidP="00276F6B">
            <w:pPr>
              <w:rPr>
                <w:sz w:val="20"/>
              </w:rPr>
            </w:pPr>
            <w:r>
              <w:rPr>
                <w:sz w:val="20"/>
              </w:rPr>
              <w:t xml:space="preserve">Though there are no formalized pathways into the program, many of EMPs students are graduates of Fleming’s Security and Risk Management or Police Foundations programs. </w:t>
            </w:r>
          </w:p>
          <w:p w:rsidR="00A062F9" w:rsidRDefault="00A062F9" w:rsidP="00276F6B">
            <w:pPr>
              <w:rPr>
                <w:sz w:val="20"/>
              </w:rPr>
            </w:pPr>
          </w:p>
          <w:p w:rsidR="00A062F9" w:rsidRPr="004E75F0" w:rsidRDefault="00A062F9" w:rsidP="00276F6B">
            <w:pPr>
              <w:rPr>
                <w:sz w:val="20"/>
              </w:rPr>
            </w:pPr>
            <w:r w:rsidRPr="00DE733C">
              <w:rPr>
                <w:sz w:val="20"/>
              </w:rPr>
              <w:t>York University presently offers a Masters of Arts in Disaster and Emergency Management and it is worth investigating the potential for a formalized pathway relationship between York and Fleming.</w:t>
            </w:r>
            <w:r>
              <w:rPr>
                <w:sz w:val="20"/>
              </w:rPr>
              <w:t xml:space="preserve"> </w:t>
            </w:r>
          </w:p>
        </w:tc>
      </w:tr>
    </w:tbl>
    <w:p w:rsidR="00276F6B" w:rsidRDefault="00276F6B" w:rsidP="00276F6B">
      <w:pPr>
        <w:rPr>
          <w:b/>
        </w:rPr>
      </w:pPr>
    </w:p>
    <w:p w:rsidR="00276F6B" w:rsidRDefault="00276F6B" w:rsidP="00276F6B">
      <w:pPr>
        <w:rPr>
          <w:b/>
        </w:rPr>
      </w:pPr>
    </w:p>
    <w:tbl>
      <w:tblPr>
        <w:tblStyle w:val="TableGrid"/>
        <w:tblW w:w="14803" w:type="dxa"/>
        <w:tblInd w:w="-1735" w:type="dxa"/>
        <w:tblLayout w:type="fixed"/>
        <w:tblLook w:val="01E0" w:firstRow="1" w:lastRow="1" w:firstColumn="1" w:lastColumn="1" w:noHBand="0" w:noVBand="0"/>
      </w:tblPr>
      <w:tblGrid>
        <w:gridCol w:w="6379"/>
        <w:gridCol w:w="8424"/>
      </w:tblGrid>
      <w:tr w:rsidR="00276F6B" w:rsidRPr="004E75F0" w:rsidTr="00A062F9">
        <w:tc>
          <w:tcPr>
            <w:tcW w:w="6379" w:type="dxa"/>
            <w:shd w:val="clear" w:color="auto" w:fill="C0C0C0"/>
            <w:tcMar>
              <w:top w:w="113" w:type="dxa"/>
              <w:bottom w:w="113" w:type="dxa"/>
            </w:tcMar>
          </w:tcPr>
          <w:p w:rsidR="00276F6B" w:rsidRPr="004E75F0" w:rsidRDefault="00276F6B" w:rsidP="00276F6B">
            <w:pPr>
              <w:tabs>
                <w:tab w:val="left" w:pos="72"/>
              </w:tabs>
              <w:rPr>
                <w:b/>
              </w:rPr>
            </w:pPr>
            <w:r w:rsidRPr="004E75F0">
              <w:rPr>
                <w:b/>
                <w:lang w:val="en-CA"/>
              </w:rPr>
              <w:t>3.0 Student and Graduate Satisfaction</w:t>
            </w:r>
          </w:p>
        </w:tc>
        <w:tc>
          <w:tcPr>
            <w:tcW w:w="8424" w:type="dxa"/>
            <w:shd w:val="clear" w:color="auto" w:fill="C0C0C0"/>
            <w:tcMar>
              <w:top w:w="113" w:type="dxa"/>
              <w:bottom w:w="113" w:type="dxa"/>
            </w:tcMar>
          </w:tcPr>
          <w:p w:rsidR="00276F6B" w:rsidRPr="004E75F0" w:rsidRDefault="00276F6B" w:rsidP="00276F6B">
            <w:pPr>
              <w:rPr>
                <w:b/>
              </w:rPr>
            </w:pPr>
            <w:r w:rsidRPr="004E75F0">
              <w:rPr>
                <w:b/>
              </w:rPr>
              <w:t>Summary of Key Findings</w:t>
            </w:r>
          </w:p>
        </w:tc>
      </w:tr>
      <w:tr w:rsidR="00276F6B" w:rsidRPr="004E75F0" w:rsidTr="00DE733C">
        <w:trPr>
          <w:trHeight w:val="502"/>
        </w:trPr>
        <w:tc>
          <w:tcPr>
            <w:tcW w:w="6379" w:type="dxa"/>
            <w:tcMar>
              <w:top w:w="113" w:type="dxa"/>
              <w:bottom w:w="113" w:type="dxa"/>
            </w:tcMar>
          </w:tcPr>
          <w:p w:rsidR="00276F6B" w:rsidRPr="005B0108" w:rsidRDefault="00276F6B" w:rsidP="00276F6B">
            <w:pPr>
              <w:rPr>
                <w:b/>
                <w:bCs/>
                <w:sz w:val="20"/>
              </w:rPr>
            </w:pPr>
            <w:r w:rsidRPr="005B0108">
              <w:rPr>
                <w:b/>
                <w:bCs/>
                <w:sz w:val="20"/>
              </w:rPr>
              <w:t>3.1 Formal Measures of Student and</w:t>
            </w:r>
            <w:r>
              <w:rPr>
                <w:b/>
                <w:bCs/>
                <w:sz w:val="20"/>
              </w:rPr>
              <w:t xml:space="preserve"> </w:t>
            </w:r>
            <w:r w:rsidRPr="005B0108">
              <w:rPr>
                <w:b/>
                <w:bCs/>
                <w:sz w:val="20"/>
              </w:rPr>
              <w:t>/</w:t>
            </w:r>
            <w:r>
              <w:rPr>
                <w:b/>
                <w:bCs/>
                <w:sz w:val="20"/>
              </w:rPr>
              <w:t xml:space="preserve"> </w:t>
            </w:r>
            <w:r w:rsidRPr="005B0108">
              <w:rPr>
                <w:b/>
                <w:bCs/>
                <w:sz w:val="20"/>
              </w:rPr>
              <w:t>or Graduate Satisfaction</w:t>
            </w:r>
          </w:p>
          <w:p w:rsidR="00276F6B" w:rsidRPr="004E75F0" w:rsidRDefault="00276F6B" w:rsidP="00276F6B">
            <w:pPr>
              <w:rPr>
                <w:sz w:val="20"/>
              </w:rPr>
            </w:pPr>
          </w:p>
          <w:p w:rsidR="00276F6B" w:rsidRDefault="00276F6B" w:rsidP="00276F6B">
            <w:pPr>
              <w:rPr>
                <w:b/>
                <w:bCs/>
                <w:sz w:val="20"/>
              </w:rPr>
            </w:pPr>
            <w:r w:rsidRPr="004E75F0">
              <w:rPr>
                <w:b/>
                <w:bCs/>
                <w:sz w:val="20"/>
              </w:rPr>
              <w:t>Review</w:t>
            </w:r>
            <w:r>
              <w:rPr>
                <w:b/>
                <w:bCs/>
                <w:sz w:val="20"/>
              </w:rPr>
              <w:t xml:space="preserve"> / discuss</w:t>
            </w:r>
            <w:r w:rsidRPr="004E75F0">
              <w:rPr>
                <w:b/>
                <w:bCs/>
                <w:sz w:val="20"/>
              </w:rPr>
              <w:t>:</w:t>
            </w:r>
          </w:p>
          <w:p w:rsidR="00276F6B" w:rsidRPr="004E75F0" w:rsidRDefault="00276F6B" w:rsidP="00276F6B">
            <w:pPr>
              <w:rPr>
                <w:b/>
                <w:bCs/>
                <w:sz w:val="20"/>
              </w:rPr>
            </w:pPr>
          </w:p>
          <w:p w:rsidR="00276F6B" w:rsidRDefault="00276F6B" w:rsidP="00276F6B">
            <w:pPr>
              <w:numPr>
                <w:ilvl w:val="0"/>
                <w:numId w:val="24"/>
              </w:numPr>
              <w:tabs>
                <w:tab w:val="clear" w:pos="720"/>
                <w:tab w:val="num" w:pos="360"/>
              </w:tabs>
              <w:ind w:left="360"/>
              <w:rPr>
                <w:sz w:val="20"/>
              </w:rPr>
            </w:pPr>
            <w:r w:rsidRPr="004E75F0">
              <w:rPr>
                <w:sz w:val="20"/>
              </w:rPr>
              <w:t xml:space="preserve">Key </w:t>
            </w:r>
            <w:r>
              <w:rPr>
                <w:sz w:val="20"/>
              </w:rPr>
              <w:t>P</w:t>
            </w:r>
            <w:r w:rsidRPr="004E75F0">
              <w:rPr>
                <w:sz w:val="20"/>
              </w:rPr>
              <w:t xml:space="preserve">erformance </w:t>
            </w:r>
            <w:r>
              <w:rPr>
                <w:sz w:val="20"/>
              </w:rPr>
              <w:t>I</w:t>
            </w:r>
            <w:r w:rsidRPr="004E75F0">
              <w:rPr>
                <w:sz w:val="20"/>
              </w:rPr>
              <w:t xml:space="preserve">ndicator results for the program with </w:t>
            </w:r>
            <w:r>
              <w:rPr>
                <w:sz w:val="20"/>
              </w:rPr>
              <w:t xml:space="preserve">a </w:t>
            </w:r>
            <w:r w:rsidRPr="004E75F0">
              <w:rPr>
                <w:sz w:val="20"/>
              </w:rPr>
              <w:t xml:space="preserve">focus on </w:t>
            </w:r>
            <w:r>
              <w:rPr>
                <w:sz w:val="20"/>
              </w:rPr>
              <w:t xml:space="preserve">#s </w:t>
            </w:r>
            <w:r w:rsidRPr="004E75F0">
              <w:rPr>
                <w:sz w:val="20"/>
              </w:rPr>
              <w:t xml:space="preserve"> 4, 8, 9, and 11</w:t>
            </w:r>
          </w:p>
          <w:p w:rsidR="00276F6B" w:rsidRDefault="00276F6B" w:rsidP="00276F6B">
            <w:pPr>
              <w:numPr>
                <w:ilvl w:val="0"/>
                <w:numId w:val="24"/>
              </w:numPr>
              <w:tabs>
                <w:tab w:val="clear" w:pos="720"/>
                <w:tab w:val="num" w:pos="360"/>
              </w:tabs>
              <w:ind w:left="360"/>
              <w:rPr>
                <w:sz w:val="20"/>
              </w:rPr>
            </w:pPr>
            <w:r w:rsidRPr="004E75F0">
              <w:rPr>
                <w:sz w:val="20"/>
              </w:rPr>
              <w:t xml:space="preserve">Program status and positioning in relation to </w:t>
            </w:r>
            <w:r>
              <w:rPr>
                <w:sz w:val="20"/>
              </w:rPr>
              <w:t xml:space="preserve">the KPIs of </w:t>
            </w:r>
            <w:r w:rsidRPr="004E75F0">
              <w:rPr>
                <w:sz w:val="20"/>
              </w:rPr>
              <w:t>other programs of a similar type (where applicable)</w:t>
            </w:r>
          </w:p>
          <w:p w:rsidR="00276F6B" w:rsidRDefault="00276F6B" w:rsidP="00276F6B">
            <w:pPr>
              <w:numPr>
                <w:ilvl w:val="0"/>
                <w:numId w:val="24"/>
              </w:numPr>
              <w:tabs>
                <w:tab w:val="clear" w:pos="720"/>
                <w:tab w:val="num" w:pos="360"/>
              </w:tabs>
              <w:ind w:left="360"/>
              <w:rPr>
                <w:sz w:val="20"/>
              </w:rPr>
            </w:pPr>
            <w:r>
              <w:rPr>
                <w:sz w:val="20"/>
              </w:rPr>
              <w:t>F</w:t>
            </w:r>
            <w:r w:rsidRPr="004E75F0">
              <w:rPr>
                <w:sz w:val="20"/>
              </w:rPr>
              <w:t xml:space="preserve">eedback </w:t>
            </w:r>
            <w:r>
              <w:rPr>
                <w:sz w:val="20"/>
              </w:rPr>
              <w:t xml:space="preserve">and summary report from </w:t>
            </w:r>
            <w:r w:rsidRPr="004E75F0">
              <w:rPr>
                <w:sz w:val="20"/>
              </w:rPr>
              <w:t>L</w:t>
            </w:r>
            <w:r>
              <w:rPr>
                <w:sz w:val="20"/>
              </w:rPr>
              <w:t>earning Support Services (L</w:t>
            </w:r>
            <w:r w:rsidRPr="004E75F0">
              <w:rPr>
                <w:sz w:val="20"/>
              </w:rPr>
              <w:t>SS</w:t>
            </w:r>
            <w:r>
              <w:rPr>
                <w:sz w:val="20"/>
              </w:rPr>
              <w:t>)</w:t>
            </w:r>
            <w:r w:rsidRPr="004E75F0">
              <w:rPr>
                <w:sz w:val="20"/>
              </w:rPr>
              <w:t xml:space="preserve"> summary </w:t>
            </w:r>
          </w:p>
          <w:p w:rsidR="00276F6B" w:rsidRPr="004E75F0" w:rsidRDefault="00276F6B" w:rsidP="00276F6B">
            <w:pPr>
              <w:numPr>
                <w:ilvl w:val="0"/>
                <w:numId w:val="24"/>
              </w:numPr>
              <w:tabs>
                <w:tab w:val="clear" w:pos="720"/>
                <w:tab w:val="num" w:pos="360"/>
              </w:tabs>
              <w:ind w:left="360"/>
              <w:rPr>
                <w:sz w:val="20"/>
              </w:rPr>
            </w:pPr>
            <w:r w:rsidRPr="004E75F0">
              <w:rPr>
                <w:sz w:val="20"/>
              </w:rPr>
              <w:t xml:space="preserve">Themes or issues emerging from </w:t>
            </w:r>
            <w:r>
              <w:rPr>
                <w:sz w:val="20"/>
              </w:rPr>
              <w:t xml:space="preserve">a </w:t>
            </w:r>
            <w:r w:rsidRPr="004E75F0">
              <w:rPr>
                <w:sz w:val="20"/>
              </w:rPr>
              <w:t xml:space="preserve">review of course </w:t>
            </w:r>
            <w:r>
              <w:rPr>
                <w:sz w:val="20"/>
              </w:rPr>
              <w:t xml:space="preserve">evaluation summaries </w:t>
            </w:r>
          </w:p>
          <w:p w:rsidR="00276F6B" w:rsidRDefault="00276F6B" w:rsidP="00276F6B">
            <w:pPr>
              <w:rPr>
                <w:sz w:val="20"/>
                <w:lang w:val="en-CA"/>
              </w:rPr>
            </w:pPr>
          </w:p>
          <w:p w:rsidR="00276F6B" w:rsidRDefault="00276F6B" w:rsidP="00276F6B">
            <w:pPr>
              <w:rPr>
                <w:sz w:val="20"/>
                <w:lang w:val="en-CA"/>
              </w:rPr>
            </w:pPr>
          </w:p>
          <w:p w:rsidR="00276F6B" w:rsidRPr="004E75F0" w:rsidRDefault="00276F6B" w:rsidP="00276F6B">
            <w:pPr>
              <w:rPr>
                <w:sz w:val="20"/>
                <w:lang w:val="en-CA"/>
              </w:rPr>
            </w:pPr>
          </w:p>
        </w:tc>
        <w:tc>
          <w:tcPr>
            <w:tcW w:w="8424" w:type="dxa"/>
            <w:tcMar>
              <w:top w:w="113" w:type="dxa"/>
              <w:bottom w:w="113" w:type="dxa"/>
            </w:tcMar>
          </w:tcPr>
          <w:p w:rsidR="00DE733C" w:rsidRPr="00DE733C" w:rsidRDefault="00DE733C" w:rsidP="00DE733C">
            <w:pPr>
              <w:tabs>
                <w:tab w:val="left" w:pos="-1440"/>
              </w:tabs>
              <w:rPr>
                <w:sz w:val="20"/>
                <w:szCs w:val="22"/>
              </w:rPr>
            </w:pPr>
            <w:r w:rsidRPr="00DE733C">
              <w:rPr>
                <w:sz w:val="20"/>
                <w:szCs w:val="22"/>
              </w:rPr>
              <w:t xml:space="preserve">It is worth noting that KPI data can be difficult to interpret in single-cohort programs as the samples sizes are, by nature, extremely small. In all of the KPI categories, across all five years of reporting, the single largest sample size is 23, with many significantly smaller than that.  </w:t>
            </w:r>
          </w:p>
          <w:p w:rsidR="00DE733C" w:rsidRPr="00DE733C" w:rsidRDefault="00DE733C" w:rsidP="00DE733C">
            <w:pPr>
              <w:tabs>
                <w:tab w:val="left" w:pos="-1440"/>
              </w:tabs>
              <w:rPr>
                <w:sz w:val="20"/>
                <w:szCs w:val="22"/>
              </w:rPr>
            </w:pPr>
          </w:p>
          <w:p w:rsidR="00DE733C" w:rsidRPr="00DE733C" w:rsidRDefault="00DE733C" w:rsidP="00DE733C">
            <w:pPr>
              <w:tabs>
                <w:tab w:val="left" w:pos="-1440"/>
              </w:tabs>
              <w:rPr>
                <w:sz w:val="20"/>
                <w:szCs w:val="22"/>
              </w:rPr>
            </w:pPr>
            <w:r w:rsidRPr="00DE733C">
              <w:rPr>
                <w:sz w:val="20"/>
                <w:szCs w:val="22"/>
              </w:rPr>
              <w:t xml:space="preserve">KPI 1: Graduation Rate: </w:t>
            </w:r>
          </w:p>
          <w:p w:rsidR="00DE733C" w:rsidRPr="00DE733C" w:rsidRDefault="00DE733C" w:rsidP="00DE733C">
            <w:pPr>
              <w:pStyle w:val="ListParagraph"/>
              <w:numPr>
                <w:ilvl w:val="0"/>
                <w:numId w:val="31"/>
              </w:numPr>
              <w:tabs>
                <w:tab w:val="left" w:pos="-1440"/>
              </w:tabs>
              <w:contextualSpacing/>
              <w:rPr>
                <w:sz w:val="20"/>
                <w:szCs w:val="22"/>
              </w:rPr>
            </w:pPr>
            <w:r w:rsidRPr="00DE733C">
              <w:rPr>
                <w:sz w:val="20"/>
                <w:szCs w:val="22"/>
              </w:rPr>
              <w:t xml:space="preserve">As a post graduate certificate, graduation rates are as is typical, much higher than the College score. We do have graduation rates just slightly below the System scores, but not enough to be cause for significant concern. </w:t>
            </w:r>
          </w:p>
          <w:p w:rsidR="00DE733C" w:rsidRPr="00DE733C" w:rsidRDefault="00DE733C" w:rsidP="00DE733C">
            <w:pPr>
              <w:tabs>
                <w:tab w:val="left" w:pos="-1440"/>
              </w:tabs>
              <w:ind w:left="360"/>
              <w:rPr>
                <w:sz w:val="20"/>
                <w:szCs w:val="22"/>
              </w:rPr>
            </w:pPr>
          </w:p>
          <w:p w:rsidR="00DE733C" w:rsidRPr="00DE733C" w:rsidRDefault="00DE733C" w:rsidP="00DE733C">
            <w:pPr>
              <w:tabs>
                <w:tab w:val="left" w:pos="-1440"/>
              </w:tabs>
              <w:rPr>
                <w:sz w:val="20"/>
                <w:szCs w:val="22"/>
              </w:rPr>
            </w:pPr>
            <w:r w:rsidRPr="00DE733C">
              <w:rPr>
                <w:sz w:val="20"/>
                <w:szCs w:val="22"/>
              </w:rPr>
              <w:t>KPI 2 Overall Employment Rate</w:t>
            </w:r>
          </w:p>
          <w:p w:rsidR="00DE733C" w:rsidRPr="00DE733C" w:rsidRDefault="00DE733C" w:rsidP="00DE733C">
            <w:pPr>
              <w:tabs>
                <w:tab w:val="left" w:pos="-1440"/>
              </w:tabs>
              <w:rPr>
                <w:sz w:val="20"/>
                <w:szCs w:val="22"/>
              </w:rPr>
            </w:pPr>
            <w:r w:rsidRPr="00DE733C">
              <w:rPr>
                <w:sz w:val="20"/>
                <w:szCs w:val="22"/>
              </w:rPr>
              <w:t>KPI 3 Related Employment Rate</w:t>
            </w:r>
          </w:p>
          <w:p w:rsidR="00DE733C" w:rsidRPr="00DE733C" w:rsidRDefault="00DE733C" w:rsidP="00DE733C">
            <w:pPr>
              <w:tabs>
                <w:tab w:val="left" w:pos="-1440"/>
              </w:tabs>
              <w:rPr>
                <w:sz w:val="20"/>
                <w:szCs w:val="22"/>
              </w:rPr>
            </w:pPr>
            <w:r w:rsidRPr="00DE733C">
              <w:rPr>
                <w:sz w:val="20"/>
                <w:szCs w:val="22"/>
              </w:rPr>
              <w:t>KPI 4 Graduate Satisfaction with Generic and Vocational Learning Outcomes</w:t>
            </w:r>
          </w:p>
          <w:p w:rsidR="00DE733C" w:rsidRPr="00DE733C" w:rsidRDefault="00DE733C" w:rsidP="00DE733C">
            <w:pPr>
              <w:tabs>
                <w:tab w:val="left" w:pos="-1440"/>
              </w:tabs>
              <w:rPr>
                <w:sz w:val="20"/>
                <w:szCs w:val="22"/>
              </w:rPr>
            </w:pPr>
            <w:r w:rsidRPr="00DE733C">
              <w:rPr>
                <w:sz w:val="20"/>
                <w:szCs w:val="22"/>
              </w:rPr>
              <w:t>KPI 11 Graduate Satisfaction with Program</w:t>
            </w:r>
          </w:p>
          <w:p w:rsidR="00DE733C" w:rsidRPr="00DE733C" w:rsidRDefault="00DE733C" w:rsidP="00DE733C">
            <w:pPr>
              <w:pStyle w:val="ListParagraph"/>
              <w:numPr>
                <w:ilvl w:val="0"/>
                <w:numId w:val="31"/>
              </w:numPr>
              <w:tabs>
                <w:tab w:val="left" w:pos="-1440"/>
              </w:tabs>
              <w:contextualSpacing/>
              <w:rPr>
                <w:sz w:val="20"/>
                <w:szCs w:val="22"/>
              </w:rPr>
            </w:pPr>
            <w:r w:rsidRPr="00DE733C">
              <w:rPr>
                <w:sz w:val="20"/>
                <w:szCs w:val="22"/>
              </w:rPr>
              <w:t xml:space="preserve">It is difficult to comment on any kind of pattern based on extremely low respondent numbers in the Emergency Management program. See Appendix 1, attached, for originating data.   </w:t>
            </w:r>
          </w:p>
          <w:p w:rsidR="00DE733C" w:rsidRPr="00DE733C" w:rsidRDefault="00DE733C" w:rsidP="00DE733C">
            <w:pPr>
              <w:tabs>
                <w:tab w:val="left" w:pos="-1440"/>
              </w:tabs>
              <w:rPr>
                <w:sz w:val="20"/>
                <w:szCs w:val="22"/>
              </w:rPr>
            </w:pPr>
          </w:p>
          <w:p w:rsidR="00DE733C" w:rsidRPr="00DE733C" w:rsidRDefault="00DE733C" w:rsidP="00DE733C">
            <w:pPr>
              <w:tabs>
                <w:tab w:val="left" w:pos="-1440"/>
              </w:tabs>
              <w:rPr>
                <w:sz w:val="20"/>
                <w:szCs w:val="22"/>
              </w:rPr>
            </w:pPr>
            <w:r w:rsidRPr="00DE733C">
              <w:rPr>
                <w:sz w:val="20"/>
                <w:szCs w:val="22"/>
              </w:rPr>
              <w:t xml:space="preserve">KPI 8: Student Satisfaction with Learning Experience </w:t>
            </w:r>
          </w:p>
          <w:p w:rsidR="00DE733C" w:rsidRPr="00DE733C" w:rsidRDefault="00DE733C" w:rsidP="00DE733C">
            <w:pPr>
              <w:tabs>
                <w:tab w:val="left" w:pos="-1440"/>
              </w:tabs>
              <w:rPr>
                <w:sz w:val="20"/>
                <w:szCs w:val="22"/>
              </w:rPr>
            </w:pPr>
            <w:r w:rsidRPr="00DE733C">
              <w:rPr>
                <w:sz w:val="20"/>
                <w:szCs w:val="22"/>
              </w:rPr>
              <w:t>KPI 9: Student Satisfaction with Teachers</w:t>
            </w:r>
          </w:p>
          <w:p w:rsidR="00276F6B" w:rsidRPr="004E75F0" w:rsidRDefault="00DE733C" w:rsidP="00DE733C">
            <w:pPr>
              <w:pStyle w:val="ListParagraph"/>
              <w:numPr>
                <w:ilvl w:val="0"/>
                <w:numId w:val="31"/>
              </w:numPr>
              <w:tabs>
                <w:tab w:val="left" w:pos="-1440"/>
              </w:tabs>
              <w:contextualSpacing/>
              <w:rPr>
                <w:sz w:val="20"/>
              </w:rPr>
            </w:pPr>
            <w:r w:rsidRPr="00DE733C">
              <w:rPr>
                <w:sz w:val="20"/>
                <w:szCs w:val="22"/>
              </w:rPr>
              <w:t xml:space="preserve">As noted above, it is difficult to determine any clear pattern based on small sample </w:t>
            </w:r>
            <w:proofErr w:type="gramStart"/>
            <w:r w:rsidRPr="00DE733C">
              <w:rPr>
                <w:sz w:val="20"/>
                <w:szCs w:val="22"/>
              </w:rPr>
              <w:t>sizes,</w:t>
            </w:r>
            <w:proofErr w:type="gramEnd"/>
            <w:r w:rsidRPr="00DE733C">
              <w:rPr>
                <w:sz w:val="20"/>
                <w:szCs w:val="22"/>
              </w:rPr>
              <w:t xml:space="preserve"> however, it is worth noting that our scores in both of these categories for 2012 were disappointingly low. A recommendation will be made to devote time to </w:t>
            </w:r>
            <w:r w:rsidRPr="00DE733C">
              <w:rPr>
                <w:sz w:val="20"/>
                <w:szCs w:val="22"/>
              </w:rPr>
              <w:lastRenderedPageBreak/>
              <w:t xml:space="preserve">investigating this further and developing a response plan, if necessary.  </w:t>
            </w:r>
          </w:p>
        </w:tc>
      </w:tr>
      <w:tr w:rsidR="00276F6B" w:rsidRPr="004E75F0" w:rsidTr="00A062F9">
        <w:tc>
          <w:tcPr>
            <w:tcW w:w="6379" w:type="dxa"/>
          </w:tcPr>
          <w:p w:rsidR="00276F6B" w:rsidRDefault="00276F6B" w:rsidP="00276F6B">
            <w:pPr>
              <w:ind w:left="360" w:hanging="360"/>
              <w:rPr>
                <w:b/>
                <w:sz w:val="20"/>
              </w:rPr>
            </w:pPr>
          </w:p>
          <w:p w:rsidR="00276F6B" w:rsidRPr="004E75F0" w:rsidRDefault="00276F6B" w:rsidP="00276F6B">
            <w:pPr>
              <w:ind w:left="360" w:hanging="360"/>
              <w:rPr>
                <w:b/>
                <w:sz w:val="20"/>
              </w:rPr>
            </w:pPr>
            <w:r w:rsidRPr="004E75F0">
              <w:rPr>
                <w:b/>
                <w:sz w:val="20"/>
              </w:rPr>
              <w:t>3.2 Other Measures of Student and Graduate Satisfaction</w:t>
            </w:r>
          </w:p>
          <w:p w:rsidR="00276F6B" w:rsidRPr="004E75F0" w:rsidRDefault="00276F6B" w:rsidP="00276F6B">
            <w:pPr>
              <w:ind w:left="360" w:hanging="360"/>
              <w:rPr>
                <w:b/>
                <w:sz w:val="20"/>
              </w:rPr>
            </w:pPr>
          </w:p>
          <w:p w:rsidR="00276F6B" w:rsidRDefault="00276F6B" w:rsidP="00276F6B">
            <w:pPr>
              <w:ind w:left="360" w:hanging="360"/>
              <w:rPr>
                <w:b/>
                <w:bCs/>
                <w:sz w:val="20"/>
              </w:rPr>
            </w:pPr>
            <w:r w:rsidRPr="004E75F0">
              <w:rPr>
                <w:b/>
                <w:bCs/>
                <w:sz w:val="20"/>
              </w:rPr>
              <w:t xml:space="preserve">Review </w:t>
            </w:r>
            <w:r>
              <w:rPr>
                <w:b/>
                <w:bCs/>
                <w:sz w:val="20"/>
              </w:rPr>
              <w:t>/ discuss outcomes from</w:t>
            </w:r>
            <w:r w:rsidRPr="004E75F0">
              <w:rPr>
                <w:b/>
                <w:bCs/>
                <w:sz w:val="20"/>
              </w:rPr>
              <w:t>:</w:t>
            </w:r>
          </w:p>
          <w:p w:rsidR="00276F6B" w:rsidRPr="004E75F0" w:rsidRDefault="00276F6B" w:rsidP="00276F6B">
            <w:pPr>
              <w:ind w:left="360" w:hanging="360"/>
              <w:rPr>
                <w:b/>
                <w:bCs/>
                <w:sz w:val="20"/>
              </w:rPr>
            </w:pPr>
          </w:p>
          <w:p w:rsidR="00276F6B" w:rsidRPr="004E75F0" w:rsidRDefault="00276F6B" w:rsidP="00276F6B">
            <w:pPr>
              <w:numPr>
                <w:ilvl w:val="0"/>
                <w:numId w:val="8"/>
              </w:numPr>
              <w:tabs>
                <w:tab w:val="clear" w:pos="720"/>
                <w:tab w:val="num" w:pos="360"/>
              </w:tabs>
              <w:ind w:left="360"/>
              <w:rPr>
                <w:sz w:val="20"/>
              </w:rPr>
            </w:pPr>
            <w:r>
              <w:rPr>
                <w:sz w:val="20"/>
              </w:rPr>
              <w:t>S</w:t>
            </w:r>
            <w:r w:rsidRPr="004E75F0">
              <w:rPr>
                <w:sz w:val="20"/>
              </w:rPr>
              <w:t xml:space="preserve">tudent </w:t>
            </w:r>
            <w:r>
              <w:rPr>
                <w:sz w:val="20"/>
              </w:rPr>
              <w:t>or</w:t>
            </w:r>
            <w:r w:rsidRPr="004E75F0">
              <w:rPr>
                <w:sz w:val="20"/>
              </w:rPr>
              <w:t xml:space="preserve"> graduate focus group</w:t>
            </w:r>
            <w:r>
              <w:rPr>
                <w:sz w:val="20"/>
              </w:rPr>
              <w:t>s</w:t>
            </w:r>
            <w:r w:rsidRPr="004E75F0">
              <w:rPr>
                <w:sz w:val="20"/>
              </w:rPr>
              <w:t xml:space="preserve"> </w:t>
            </w:r>
          </w:p>
          <w:p w:rsidR="00276F6B" w:rsidRDefault="00276F6B" w:rsidP="00276F6B">
            <w:pPr>
              <w:numPr>
                <w:ilvl w:val="0"/>
                <w:numId w:val="8"/>
              </w:numPr>
              <w:tabs>
                <w:tab w:val="clear" w:pos="720"/>
                <w:tab w:val="num" w:pos="360"/>
              </w:tabs>
              <w:ind w:left="360"/>
              <w:rPr>
                <w:sz w:val="20"/>
              </w:rPr>
            </w:pPr>
            <w:r w:rsidRPr="004E75F0">
              <w:rPr>
                <w:sz w:val="20"/>
              </w:rPr>
              <w:t>Student Advisor</w:t>
            </w:r>
            <w:r>
              <w:rPr>
                <w:sz w:val="20"/>
              </w:rPr>
              <w:t xml:space="preserve"> observations / reports</w:t>
            </w:r>
          </w:p>
          <w:p w:rsidR="00276F6B" w:rsidRPr="004E75F0" w:rsidRDefault="00276F6B" w:rsidP="00276F6B">
            <w:pPr>
              <w:numPr>
                <w:ilvl w:val="0"/>
                <w:numId w:val="8"/>
              </w:numPr>
              <w:tabs>
                <w:tab w:val="clear" w:pos="720"/>
                <w:tab w:val="num" w:pos="360"/>
              </w:tabs>
              <w:ind w:left="360"/>
              <w:rPr>
                <w:sz w:val="20"/>
              </w:rPr>
            </w:pPr>
            <w:r w:rsidRPr="004E75F0">
              <w:rPr>
                <w:sz w:val="20"/>
              </w:rPr>
              <w:t>Formal or informal discussions with student</w:t>
            </w:r>
            <w:r>
              <w:rPr>
                <w:sz w:val="20"/>
              </w:rPr>
              <w:t>s</w:t>
            </w:r>
            <w:r w:rsidRPr="004E75F0">
              <w:rPr>
                <w:sz w:val="20"/>
              </w:rPr>
              <w:t xml:space="preserve"> and graduates such as class councils, class representatives, </w:t>
            </w:r>
            <w:r>
              <w:rPr>
                <w:sz w:val="20"/>
              </w:rPr>
              <w:t>individuals or delegations</w:t>
            </w:r>
          </w:p>
          <w:p w:rsidR="00276F6B" w:rsidRPr="004E75F0" w:rsidRDefault="00276F6B" w:rsidP="00276F6B">
            <w:pPr>
              <w:numPr>
                <w:ilvl w:val="0"/>
                <w:numId w:val="8"/>
              </w:numPr>
              <w:tabs>
                <w:tab w:val="clear" w:pos="720"/>
                <w:tab w:val="num" w:pos="360"/>
              </w:tabs>
              <w:ind w:left="360"/>
              <w:rPr>
                <w:sz w:val="20"/>
              </w:rPr>
            </w:pPr>
            <w:r>
              <w:rPr>
                <w:sz w:val="20"/>
              </w:rPr>
              <w:t>D</w:t>
            </w:r>
            <w:r w:rsidRPr="004E75F0">
              <w:rPr>
                <w:sz w:val="20"/>
              </w:rPr>
              <w:t xml:space="preserve">ebriefing sessions following </w:t>
            </w:r>
            <w:r>
              <w:rPr>
                <w:sz w:val="20"/>
              </w:rPr>
              <w:t xml:space="preserve">a </w:t>
            </w:r>
            <w:r w:rsidRPr="004E75F0">
              <w:rPr>
                <w:sz w:val="20"/>
              </w:rPr>
              <w:t>field placement, clinical placement, or practicum</w:t>
            </w:r>
          </w:p>
          <w:p w:rsidR="00276F6B" w:rsidRPr="004E75F0" w:rsidRDefault="00276F6B" w:rsidP="00276F6B">
            <w:pPr>
              <w:rPr>
                <w:sz w:val="20"/>
                <w:lang w:val="en-CA"/>
              </w:rPr>
            </w:pPr>
          </w:p>
        </w:tc>
        <w:tc>
          <w:tcPr>
            <w:tcW w:w="8424" w:type="dxa"/>
          </w:tcPr>
          <w:p w:rsidR="00CA013C" w:rsidRDefault="00CA013C" w:rsidP="00A062F9">
            <w:pPr>
              <w:autoSpaceDE w:val="0"/>
              <w:autoSpaceDN w:val="0"/>
              <w:adjustRightInd w:val="0"/>
              <w:rPr>
                <w:sz w:val="20"/>
              </w:rPr>
            </w:pPr>
          </w:p>
          <w:p w:rsidR="00A062F9" w:rsidRDefault="00A062F9" w:rsidP="00A062F9">
            <w:pPr>
              <w:autoSpaceDE w:val="0"/>
              <w:autoSpaceDN w:val="0"/>
              <w:adjustRightInd w:val="0"/>
              <w:rPr>
                <w:sz w:val="20"/>
              </w:rPr>
            </w:pPr>
            <w:r>
              <w:rPr>
                <w:sz w:val="20"/>
              </w:rPr>
              <w:t xml:space="preserve">Student feedback has been critical to the EMP program over the past 6 years. As a single-cohort program, we are in a position to gage student feedback and engagement </w:t>
            </w:r>
            <w:r w:rsidR="00CA013C">
              <w:rPr>
                <w:sz w:val="20"/>
              </w:rPr>
              <w:t xml:space="preserve">in a consistent fashion throughout our two semester program. Student suggestions can be received, reviewed, and potentially implemented relatively quickly. </w:t>
            </w:r>
          </w:p>
          <w:p w:rsidR="00CA013C" w:rsidRDefault="00CA013C" w:rsidP="00A062F9">
            <w:pPr>
              <w:autoSpaceDE w:val="0"/>
              <w:autoSpaceDN w:val="0"/>
              <w:adjustRightInd w:val="0"/>
              <w:rPr>
                <w:sz w:val="20"/>
                <w:highlight w:val="green"/>
              </w:rPr>
            </w:pPr>
          </w:p>
          <w:p w:rsidR="00276F6B" w:rsidRPr="004E75F0" w:rsidRDefault="00CA013C" w:rsidP="00CA013C">
            <w:pPr>
              <w:autoSpaceDE w:val="0"/>
              <w:autoSpaceDN w:val="0"/>
              <w:adjustRightInd w:val="0"/>
              <w:rPr>
                <w:sz w:val="20"/>
                <w:lang w:val="en-CA"/>
              </w:rPr>
            </w:pPr>
            <w:r>
              <w:rPr>
                <w:sz w:val="20"/>
              </w:rPr>
              <w:t xml:space="preserve">Our faculty is also in frequent contact with recent graduates, who get back in touch to let us know how their skills have transferred to the workplace. This valuable information allows us to make shifts in our approach to ensure we are graduating students who are as “job-ready” as possible. A clear example of graduate feedback driving change is connected to the Business Continuity focus within the program. </w:t>
            </w:r>
          </w:p>
        </w:tc>
      </w:tr>
    </w:tbl>
    <w:p w:rsidR="00276F6B" w:rsidRDefault="00276F6B" w:rsidP="00276F6B">
      <w:pPr>
        <w:rPr>
          <w:b/>
        </w:rPr>
      </w:pPr>
    </w:p>
    <w:p w:rsidR="00276F6B" w:rsidRDefault="00276F6B" w:rsidP="00276F6B">
      <w:pPr>
        <w:rPr>
          <w:b/>
        </w:rPr>
      </w:pPr>
    </w:p>
    <w:tbl>
      <w:tblPr>
        <w:tblStyle w:val="TableGrid"/>
        <w:tblW w:w="14803" w:type="dxa"/>
        <w:tblInd w:w="-1735" w:type="dxa"/>
        <w:tblLook w:val="01E0" w:firstRow="1" w:lastRow="1" w:firstColumn="1" w:lastColumn="1" w:noHBand="0" w:noVBand="0"/>
      </w:tblPr>
      <w:tblGrid>
        <w:gridCol w:w="6379"/>
        <w:gridCol w:w="8424"/>
      </w:tblGrid>
      <w:tr w:rsidR="00276F6B" w:rsidRPr="007F14EB" w:rsidTr="00CA013C">
        <w:tc>
          <w:tcPr>
            <w:tcW w:w="6379" w:type="dxa"/>
            <w:shd w:val="clear" w:color="auto" w:fill="C0C0C0"/>
            <w:tcMar>
              <w:top w:w="113" w:type="dxa"/>
              <w:bottom w:w="113" w:type="dxa"/>
            </w:tcMar>
          </w:tcPr>
          <w:p w:rsidR="00276F6B" w:rsidRPr="007F14EB" w:rsidRDefault="00276F6B" w:rsidP="00276F6B">
            <w:pPr>
              <w:tabs>
                <w:tab w:val="left" w:pos="72"/>
              </w:tabs>
              <w:rPr>
                <w:b/>
              </w:rPr>
            </w:pPr>
            <w:r w:rsidRPr="007F14EB">
              <w:rPr>
                <w:b/>
              </w:rPr>
              <w:t>4.0 Employment Trends</w:t>
            </w:r>
          </w:p>
        </w:tc>
        <w:tc>
          <w:tcPr>
            <w:tcW w:w="8424" w:type="dxa"/>
            <w:shd w:val="clear" w:color="auto" w:fill="C0C0C0"/>
            <w:tcMar>
              <w:top w:w="113" w:type="dxa"/>
              <w:bottom w:w="113" w:type="dxa"/>
            </w:tcMar>
          </w:tcPr>
          <w:p w:rsidR="00276F6B" w:rsidRPr="007F14EB" w:rsidRDefault="00276F6B" w:rsidP="00276F6B">
            <w:pPr>
              <w:rPr>
                <w:b/>
              </w:rPr>
            </w:pPr>
            <w:r w:rsidRPr="007F14EB">
              <w:rPr>
                <w:b/>
              </w:rPr>
              <w:t xml:space="preserve">Summary of </w:t>
            </w:r>
            <w:r>
              <w:rPr>
                <w:b/>
              </w:rPr>
              <w:t xml:space="preserve">Key </w:t>
            </w:r>
            <w:r w:rsidRPr="007F14EB">
              <w:rPr>
                <w:b/>
              </w:rPr>
              <w:t>Findings</w:t>
            </w:r>
          </w:p>
        </w:tc>
      </w:tr>
      <w:tr w:rsidR="00276F6B" w:rsidTr="00CA013C">
        <w:tc>
          <w:tcPr>
            <w:tcW w:w="6379" w:type="dxa"/>
            <w:tcMar>
              <w:top w:w="113" w:type="dxa"/>
              <w:bottom w:w="113" w:type="dxa"/>
            </w:tcMar>
          </w:tcPr>
          <w:p w:rsidR="00276F6B" w:rsidRPr="004E75F0" w:rsidRDefault="00276F6B" w:rsidP="00276F6B">
            <w:pPr>
              <w:pStyle w:val="Title"/>
              <w:jc w:val="left"/>
              <w:rPr>
                <w:rFonts w:ascii="Arial" w:hAnsi="Arial"/>
                <w:b/>
                <w:sz w:val="20"/>
              </w:rPr>
            </w:pPr>
            <w:r w:rsidRPr="004E75F0">
              <w:rPr>
                <w:rFonts w:ascii="Arial" w:hAnsi="Arial"/>
                <w:b/>
                <w:sz w:val="20"/>
              </w:rPr>
              <w:t>4.1 Employment</w:t>
            </w:r>
          </w:p>
          <w:p w:rsidR="00276F6B" w:rsidRPr="004E75F0" w:rsidRDefault="00276F6B" w:rsidP="00276F6B">
            <w:pPr>
              <w:pStyle w:val="Title"/>
              <w:jc w:val="left"/>
              <w:rPr>
                <w:rFonts w:ascii="Arial" w:hAnsi="Arial"/>
                <w:b/>
                <w:sz w:val="20"/>
              </w:rPr>
            </w:pPr>
          </w:p>
          <w:p w:rsidR="00276F6B" w:rsidRDefault="00276F6B" w:rsidP="00276F6B">
            <w:pPr>
              <w:rPr>
                <w:b/>
                <w:bCs/>
                <w:sz w:val="20"/>
              </w:rPr>
            </w:pPr>
            <w:r w:rsidRPr="004E75F0">
              <w:rPr>
                <w:b/>
                <w:bCs/>
                <w:sz w:val="20"/>
              </w:rPr>
              <w:t xml:space="preserve">Review </w:t>
            </w:r>
            <w:r>
              <w:rPr>
                <w:b/>
                <w:bCs/>
                <w:sz w:val="20"/>
              </w:rPr>
              <w:t>/ discuss</w:t>
            </w:r>
            <w:r w:rsidRPr="004E75F0">
              <w:rPr>
                <w:b/>
                <w:bCs/>
                <w:sz w:val="20"/>
              </w:rPr>
              <w:t>:</w:t>
            </w:r>
          </w:p>
          <w:p w:rsidR="00276F6B" w:rsidRPr="004E75F0" w:rsidRDefault="00276F6B" w:rsidP="00276F6B">
            <w:pPr>
              <w:rPr>
                <w:b/>
                <w:bCs/>
                <w:sz w:val="20"/>
              </w:rPr>
            </w:pPr>
          </w:p>
          <w:p w:rsidR="00276F6B" w:rsidRPr="004E75F0" w:rsidRDefault="00276F6B" w:rsidP="00276F6B">
            <w:pPr>
              <w:pStyle w:val="Title"/>
              <w:numPr>
                <w:ilvl w:val="0"/>
                <w:numId w:val="6"/>
              </w:numPr>
              <w:tabs>
                <w:tab w:val="clear" w:pos="720"/>
                <w:tab w:val="num" w:pos="360"/>
              </w:tabs>
              <w:ind w:left="360"/>
              <w:jc w:val="left"/>
              <w:rPr>
                <w:rFonts w:ascii="Arial" w:hAnsi="Arial"/>
                <w:sz w:val="20"/>
              </w:rPr>
            </w:pPr>
            <w:r w:rsidRPr="004E75F0">
              <w:rPr>
                <w:rFonts w:ascii="Arial" w:hAnsi="Arial"/>
                <w:sz w:val="20"/>
              </w:rPr>
              <w:t xml:space="preserve">Graduate employment statistics over the last few years, including those </w:t>
            </w:r>
            <w:r>
              <w:rPr>
                <w:rFonts w:ascii="Arial" w:hAnsi="Arial"/>
                <w:sz w:val="20"/>
              </w:rPr>
              <w:t xml:space="preserve">of students </w:t>
            </w:r>
            <w:r w:rsidRPr="004E75F0">
              <w:rPr>
                <w:rFonts w:ascii="Arial" w:hAnsi="Arial"/>
                <w:sz w:val="20"/>
              </w:rPr>
              <w:t>employed in the field, in a related field, outside the field, or unemployed</w:t>
            </w:r>
            <w:r>
              <w:rPr>
                <w:rFonts w:ascii="Arial" w:hAnsi="Arial"/>
                <w:sz w:val="20"/>
              </w:rPr>
              <w:t>,</w:t>
            </w:r>
            <w:r w:rsidRPr="004E75F0">
              <w:rPr>
                <w:rFonts w:ascii="Arial" w:hAnsi="Arial"/>
                <w:sz w:val="20"/>
              </w:rPr>
              <w:t xml:space="preserve"> and any emerging patterns in this data </w:t>
            </w:r>
          </w:p>
          <w:p w:rsidR="00276F6B" w:rsidRPr="004E75F0" w:rsidRDefault="00276F6B" w:rsidP="00276F6B">
            <w:pPr>
              <w:pStyle w:val="Title"/>
              <w:numPr>
                <w:ilvl w:val="0"/>
                <w:numId w:val="6"/>
              </w:numPr>
              <w:tabs>
                <w:tab w:val="clear" w:pos="720"/>
                <w:tab w:val="num" w:pos="360"/>
              </w:tabs>
              <w:ind w:left="360"/>
              <w:jc w:val="left"/>
              <w:rPr>
                <w:rFonts w:ascii="Arial" w:hAnsi="Arial"/>
                <w:sz w:val="20"/>
              </w:rPr>
            </w:pPr>
            <w:r w:rsidRPr="004E75F0">
              <w:rPr>
                <w:rFonts w:ascii="Arial" w:hAnsi="Arial"/>
                <w:sz w:val="20"/>
              </w:rPr>
              <w:t>Student preparedness for entry</w:t>
            </w:r>
            <w:r>
              <w:rPr>
                <w:rFonts w:ascii="Arial" w:hAnsi="Arial"/>
                <w:sz w:val="20"/>
              </w:rPr>
              <w:t>-</w:t>
            </w:r>
            <w:r w:rsidRPr="004E75F0">
              <w:rPr>
                <w:rFonts w:ascii="Arial" w:hAnsi="Arial"/>
                <w:sz w:val="20"/>
              </w:rPr>
              <w:t>level positions</w:t>
            </w:r>
          </w:p>
          <w:p w:rsidR="00276F6B" w:rsidRPr="00902B86" w:rsidRDefault="00276F6B" w:rsidP="00276F6B">
            <w:pPr>
              <w:numPr>
                <w:ilvl w:val="0"/>
                <w:numId w:val="6"/>
              </w:numPr>
              <w:tabs>
                <w:tab w:val="clear" w:pos="720"/>
              </w:tabs>
              <w:ind w:left="360"/>
              <w:rPr>
                <w:sz w:val="20"/>
                <w:lang w:val="en-CA"/>
              </w:rPr>
            </w:pPr>
            <w:r w:rsidRPr="004E75F0">
              <w:rPr>
                <w:sz w:val="20"/>
              </w:rPr>
              <w:t xml:space="preserve">Emergent employment trends such as new types of positions, changing job market, regional </w:t>
            </w:r>
            <w:r>
              <w:rPr>
                <w:sz w:val="20"/>
              </w:rPr>
              <w:t>distinctions</w:t>
            </w:r>
            <w:r w:rsidRPr="004E75F0">
              <w:rPr>
                <w:sz w:val="20"/>
              </w:rPr>
              <w:t xml:space="preserve">, </w:t>
            </w:r>
            <w:r>
              <w:rPr>
                <w:sz w:val="20"/>
              </w:rPr>
              <w:t xml:space="preserve">changing employer profile, </w:t>
            </w:r>
            <w:r w:rsidRPr="004E75F0">
              <w:rPr>
                <w:sz w:val="20"/>
              </w:rPr>
              <w:t>or emerging skill shortages</w:t>
            </w:r>
          </w:p>
          <w:p w:rsidR="00276F6B" w:rsidRPr="004E75F0" w:rsidRDefault="00276F6B" w:rsidP="00276F6B">
            <w:pPr>
              <w:rPr>
                <w:sz w:val="20"/>
                <w:lang w:val="en-CA"/>
              </w:rPr>
            </w:pPr>
          </w:p>
        </w:tc>
        <w:tc>
          <w:tcPr>
            <w:tcW w:w="8424" w:type="dxa"/>
            <w:tcMar>
              <w:top w:w="113" w:type="dxa"/>
              <w:bottom w:w="113" w:type="dxa"/>
            </w:tcMar>
          </w:tcPr>
          <w:p w:rsidR="00107D4F" w:rsidRPr="00DE733C" w:rsidRDefault="00107D4F" w:rsidP="00107D4F">
            <w:pPr>
              <w:rPr>
                <w:sz w:val="20"/>
                <w:lang w:val="en-CA"/>
              </w:rPr>
            </w:pPr>
            <w:r w:rsidRPr="00DE733C">
              <w:rPr>
                <w:sz w:val="20"/>
                <w:lang w:val="en-CA"/>
              </w:rPr>
              <w:t>The overall employment rate (KPI2) was 85% slightly higher than comparator programs with an average of 79%.  The number of graduates in related employment was low at 24%, lower than the comparator colleges at 29% and 57% for all programs at Fleming.</w:t>
            </w:r>
          </w:p>
          <w:p w:rsidR="00107D4F" w:rsidRPr="00DE733C" w:rsidRDefault="00107D4F" w:rsidP="00CA54AD">
            <w:pPr>
              <w:rPr>
                <w:sz w:val="20"/>
                <w:lang w:val="en-CA"/>
              </w:rPr>
            </w:pPr>
          </w:p>
          <w:p w:rsidR="00107D4F" w:rsidRPr="00DE733C" w:rsidRDefault="00107D4F" w:rsidP="00CA54AD">
            <w:pPr>
              <w:rPr>
                <w:sz w:val="20"/>
                <w:lang w:val="en-CA"/>
              </w:rPr>
            </w:pPr>
          </w:p>
          <w:p w:rsidR="00276F6B" w:rsidRPr="00DE733C" w:rsidRDefault="005D7561" w:rsidP="00CA54AD">
            <w:pPr>
              <w:rPr>
                <w:sz w:val="20"/>
                <w:lang w:val="en-CA"/>
              </w:rPr>
            </w:pPr>
            <w:r w:rsidRPr="00DE733C">
              <w:rPr>
                <w:sz w:val="20"/>
                <w:lang w:val="en-CA"/>
              </w:rPr>
              <w:t>The overall employ</w:t>
            </w:r>
            <w:r w:rsidR="00CA54AD" w:rsidRPr="00DE733C">
              <w:rPr>
                <w:sz w:val="20"/>
                <w:lang w:val="en-CA"/>
              </w:rPr>
              <w:t>ment rate in this program was 92</w:t>
            </w:r>
            <w:r w:rsidRPr="00DE733C">
              <w:rPr>
                <w:sz w:val="20"/>
                <w:lang w:val="en-CA"/>
              </w:rPr>
              <w:t>% (KPI2</w:t>
            </w:r>
            <w:r w:rsidR="00CA54AD" w:rsidRPr="00DE733C">
              <w:rPr>
                <w:sz w:val="20"/>
                <w:lang w:val="en-CA"/>
              </w:rPr>
              <w:t>- 2009-10)</w:t>
            </w:r>
            <w:r w:rsidRPr="00DE733C">
              <w:rPr>
                <w:sz w:val="20"/>
                <w:lang w:val="en-CA"/>
              </w:rPr>
              <w:t xml:space="preserve"> higher than Algonquin’s rate of </w:t>
            </w:r>
            <w:r w:rsidR="00CA54AD" w:rsidRPr="00DE733C">
              <w:rPr>
                <w:sz w:val="20"/>
                <w:lang w:val="en-CA"/>
              </w:rPr>
              <w:t>68</w:t>
            </w:r>
            <w:r w:rsidRPr="00DE733C">
              <w:rPr>
                <w:sz w:val="20"/>
                <w:lang w:val="en-CA"/>
              </w:rPr>
              <w:t xml:space="preserve">%.  This was also higher than the system average for all programs of </w:t>
            </w:r>
            <w:r w:rsidR="00CA54AD" w:rsidRPr="00DE733C">
              <w:rPr>
                <w:sz w:val="20"/>
                <w:lang w:val="en-CA"/>
              </w:rPr>
              <w:t>75</w:t>
            </w:r>
            <w:r w:rsidRPr="00DE733C">
              <w:rPr>
                <w:sz w:val="20"/>
                <w:lang w:val="en-CA"/>
              </w:rPr>
              <w:t xml:space="preserve">% </w:t>
            </w:r>
            <w:r w:rsidR="00CA54AD" w:rsidRPr="00DE733C">
              <w:rPr>
                <w:sz w:val="20"/>
                <w:lang w:val="en-CA"/>
              </w:rPr>
              <w:t>and the</w:t>
            </w:r>
            <w:r w:rsidRPr="00DE733C">
              <w:rPr>
                <w:sz w:val="20"/>
                <w:lang w:val="en-CA"/>
              </w:rPr>
              <w:t xml:space="preserve"> Fleming </w:t>
            </w:r>
            <w:r w:rsidR="00CA54AD" w:rsidRPr="00DE733C">
              <w:rPr>
                <w:sz w:val="20"/>
                <w:lang w:val="en-CA"/>
              </w:rPr>
              <w:t xml:space="preserve">rate of 82% </w:t>
            </w:r>
            <w:r w:rsidRPr="00DE733C">
              <w:rPr>
                <w:sz w:val="20"/>
                <w:lang w:val="en-CA"/>
              </w:rPr>
              <w:t xml:space="preserve">for all programs. Related employment data (KPI3) indicated that </w:t>
            </w:r>
            <w:r w:rsidR="00CA54AD" w:rsidRPr="00DE733C">
              <w:rPr>
                <w:sz w:val="20"/>
                <w:lang w:val="en-CA"/>
              </w:rPr>
              <w:t>6</w:t>
            </w:r>
            <w:r w:rsidRPr="00DE733C">
              <w:rPr>
                <w:sz w:val="20"/>
                <w:lang w:val="en-CA"/>
              </w:rPr>
              <w:t>7% of graduates in that reporting year were working in related jobs</w:t>
            </w:r>
            <w:r w:rsidR="00CA54AD" w:rsidRPr="00DE733C">
              <w:rPr>
                <w:sz w:val="20"/>
                <w:lang w:val="en-CA"/>
              </w:rPr>
              <w:t xml:space="preserve"> much higher than Algonquin’s rate of 43%</w:t>
            </w:r>
            <w:r w:rsidR="00867055" w:rsidRPr="00DE733C">
              <w:rPr>
                <w:sz w:val="20"/>
                <w:lang w:val="en-CA"/>
              </w:rPr>
              <w:t>.  This is higher than the system average for related work across all programs of 5</w:t>
            </w:r>
            <w:r w:rsidR="00CA54AD" w:rsidRPr="00DE733C">
              <w:rPr>
                <w:sz w:val="20"/>
                <w:lang w:val="en-CA"/>
              </w:rPr>
              <w:t>0% and Fleming’s average of 53</w:t>
            </w:r>
            <w:r w:rsidR="00867055" w:rsidRPr="00DE733C">
              <w:rPr>
                <w:sz w:val="20"/>
                <w:lang w:val="en-CA"/>
              </w:rPr>
              <w:t>% also.</w:t>
            </w:r>
          </w:p>
          <w:p w:rsidR="00705978" w:rsidRPr="00DE733C" w:rsidRDefault="00705978" w:rsidP="00CA54AD">
            <w:pPr>
              <w:rPr>
                <w:sz w:val="20"/>
                <w:lang w:val="en-CA"/>
              </w:rPr>
            </w:pPr>
          </w:p>
          <w:p w:rsidR="00705978" w:rsidRPr="00DE733C" w:rsidRDefault="00705978" w:rsidP="00705978">
            <w:pPr>
              <w:rPr>
                <w:sz w:val="20"/>
                <w:lang w:val="en-CA"/>
              </w:rPr>
            </w:pPr>
            <w:r w:rsidRPr="00DE733C">
              <w:rPr>
                <w:sz w:val="20"/>
                <w:lang w:val="en-CA"/>
              </w:rPr>
              <w:t>With a 92% employment rate, graduates are prepared for a wide variety of positions with the development of transferable skills within the program.  It should be noted that employment in this sector can fluctuate with changes in government funding etc. Graduates need to be good at what they do and be mobile and flexible in order to be successful when they enter the field.</w:t>
            </w:r>
          </w:p>
          <w:p w:rsidR="00B779B5" w:rsidRPr="00DE733C" w:rsidRDefault="00B779B5" w:rsidP="00705978">
            <w:pPr>
              <w:rPr>
                <w:sz w:val="20"/>
                <w:lang w:val="en-CA"/>
              </w:rPr>
            </w:pPr>
          </w:p>
          <w:p w:rsidR="00B779B5" w:rsidRPr="00DE733C" w:rsidRDefault="00B779B5" w:rsidP="00B779B5">
            <w:pPr>
              <w:rPr>
                <w:sz w:val="20"/>
                <w:lang w:val="en-CA"/>
              </w:rPr>
            </w:pPr>
            <w:r w:rsidRPr="00DE733C">
              <w:rPr>
                <w:sz w:val="20"/>
                <w:lang w:val="en-CA"/>
              </w:rPr>
              <w:lastRenderedPageBreak/>
              <w:t xml:space="preserve">Employment trends require a knowledge and experience base </w:t>
            </w:r>
            <w:r w:rsidR="009B6754" w:rsidRPr="00DE733C">
              <w:rPr>
                <w:sz w:val="20"/>
                <w:lang w:val="en-CA"/>
              </w:rPr>
              <w:t>in relevant</w:t>
            </w:r>
            <w:r w:rsidRPr="00DE733C">
              <w:rPr>
                <w:sz w:val="20"/>
                <w:lang w:val="en-CA"/>
              </w:rPr>
              <w:t xml:space="preserve"> technologies, digital graphic design, environmental monitoring systems, digitization and digital photography. </w:t>
            </w:r>
          </w:p>
        </w:tc>
      </w:tr>
      <w:tr w:rsidR="00276F6B" w:rsidTr="00CA013C">
        <w:tc>
          <w:tcPr>
            <w:tcW w:w="6379" w:type="dxa"/>
            <w:tcMar>
              <w:top w:w="113" w:type="dxa"/>
              <w:bottom w:w="113" w:type="dxa"/>
            </w:tcMar>
          </w:tcPr>
          <w:p w:rsidR="00276F6B" w:rsidRPr="004E75F0" w:rsidRDefault="00276F6B" w:rsidP="00276F6B">
            <w:pPr>
              <w:pStyle w:val="Title"/>
              <w:jc w:val="left"/>
              <w:rPr>
                <w:rFonts w:ascii="Arial" w:hAnsi="Arial"/>
                <w:b/>
                <w:sz w:val="20"/>
              </w:rPr>
            </w:pPr>
            <w:r w:rsidRPr="004E75F0">
              <w:rPr>
                <w:rFonts w:ascii="Arial" w:hAnsi="Arial"/>
                <w:b/>
                <w:sz w:val="20"/>
              </w:rPr>
              <w:lastRenderedPageBreak/>
              <w:t>4.2 Other Graduate Destinations</w:t>
            </w:r>
          </w:p>
          <w:p w:rsidR="00276F6B" w:rsidRPr="004E75F0" w:rsidRDefault="00276F6B" w:rsidP="00276F6B">
            <w:pPr>
              <w:pStyle w:val="Title"/>
              <w:jc w:val="left"/>
              <w:rPr>
                <w:rFonts w:ascii="Arial" w:hAnsi="Arial"/>
                <w:b/>
                <w:sz w:val="20"/>
              </w:rPr>
            </w:pPr>
          </w:p>
          <w:p w:rsidR="00276F6B" w:rsidRDefault="00276F6B" w:rsidP="00276F6B">
            <w:pPr>
              <w:rPr>
                <w:b/>
                <w:bCs/>
                <w:sz w:val="20"/>
              </w:rPr>
            </w:pPr>
            <w:r w:rsidRPr="004E75F0">
              <w:rPr>
                <w:b/>
                <w:bCs/>
                <w:sz w:val="20"/>
              </w:rPr>
              <w:t xml:space="preserve">Review </w:t>
            </w:r>
            <w:r>
              <w:rPr>
                <w:b/>
                <w:bCs/>
                <w:sz w:val="20"/>
              </w:rPr>
              <w:t>/ discuss</w:t>
            </w:r>
            <w:r w:rsidRPr="004E75F0">
              <w:rPr>
                <w:b/>
                <w:bCs/>
                <w:sz w:val="20"/>
              </w:rPr>
              <w:t>:</w:t>
            </w:r>
          </w:p>
          <w:p w:rsidR="00276F6B" w:rsidRPr="004E75F0" w:rsidRDefault="00276F6B" w:rsidP="00276F6B">
            <w:pPr>
              <w:rPr>
                <w:b/>
                <w:bCs/>
                <w:sz w:val="20"/>
              </w:rPr>
            </w:pPr>
          </w:p>
          <w:p w:rsidR="00276F6B" w:rsidRPr="004E75F0" w:rsidRDefault="00276F6B" w:rsidP="00276F6B">
            <w:pPr>
              <w:pStyle w:val="Title"/>
              <w:numPr>
                <w:ilvl w:val="0"/>
                <w:numId w:val="20"/>
              </w:numPr>
              <w:tabs>
                <w:tab w:val="clear" w:pos="720"/>
                <w:tab w:val="num" w:pos="360"/>
              </w:tabs>
              <w:ind w:left="360"/>
              <w:jc w:val="left"/>
              <w:rPr>
                <w:rFonts w:ascii="Arial" w:hAnsi="Arial"/>
                <w:sz w:val="20"/>
              </w:rPr>
            </w:pPr>
            <w:r>
              <w:rPr>
                <w:rFonts w:ascii="Arial" w:hAnsi="Arial"/>
                <w:sz w:val="20"/>
              </w:rPr>
              <w:t>Alternative</w:t>
            </w:r>
            <w:r w:rsidRPr="004E75F0">
              <w:rPr>
                <w:rFonts w:ascii="Arial" w:hAnsi="Arial"/>
                <w:sz w:val="20"/>
              </w:rPr>
              <w:t xml:space="preserve"> graduate destinations such as </w:t>
            </w:r>
            <w:r>
              <w:rPr>
                <w:rFonts w:ascii="Arial" w:hAnsi="Arial"/>
                <w:sz w:val="20"/>
              </w:rPr>
              <w:t>further</w:t>
            </w:r>
            <w:r w:rsidRPr="004E75F0">
              <w:rPr>
                <w:rFonts w:ascii="Arial" w:hAnsi="Arial"/>
                <w:sz w:val="20"/>
              </w:rPr>
              <w:t xml:space="preserve"> education,</w:t>
            </w:r>
            <w:r>
              <w:rPr>
                <w:rFonts w:ascii="Arial" w:hAnsi="Arial"/>
                <w:sz w:val="20"/>
              </w:rPr>
              <w:t xml:space="preserve"> international opportunities, volunteer service,</w:t>
            </w:r>
            <w:r w:rsidRPr="004E75F0">
              <w:rPr>
                <w:rFonts w:ascii="Arial" w:hAnsi="Arial"/>
                <w:sz w:val="20"/>
              </w:rPr>
              <w:t xml:space="preserve"> or other</w:t>
            </w:r>
            <w:r>
              <w:rPr>
                <w:rFonts w:ascii="Arial" w:hAnsi="Arial"/>
                <w:sz w:val="20"/>
              </w:rPr>
              <w:t xml:space="preserve"> experiences</w:t>
            </w:r>
          </w:p>
        </w:tc>
        <w:tc>
          <w:tcPr>
            <w:tcW w:w="8424" w:type="dxa"/>
            <w:tcMar>
              <w:top w:w="113" w:type="dxa"/>
              <w:bottom w:w="113" w:type="dxa"/>
            </w:tcMar>
          </w:tcPr>
          <w:p w:rsidR="00276F6B" w:rsidRPr="00107D4F" w:rsidRDefault="00107D4F" w:rsidP="00107D4F">
            <w:pPr>
              <w:pStyle w:val="ListParagraph"/>
              <w:numPr>
                <w:ilvl w:val="0"/>
                <w:numId w:val="20"/>
              </w:numPr>
              <w:rPr>
                <w:sz w:val="20"/>
              </w:rPr>
            </w:pPr>
            <w:r w:rsidRPr="00107D4F">
              <w:rPr>
                <w:sz w:val="20"/>
              </w:rPr>
              <w:t>Graduate programs, such as York’s MA in Disaster and Emergency Management</w:t>
            </w:r>
          </w:p>
          <w:p w:rsidR="00107D4F" w:rsidRPr="00107D4F" w:rsidRDefault="00107D4F" w:rsidP="00107D4F">
            <w:pPr>
              <w:pStyle w:val="ListParagraph"/>
              <w:numPr>
                <w:ilvl w:val="0"/>
                <w:numId w:val="20"/>
              </w:numPr>
              <w:rPr>
                <w:sz w:val="20"/>
              </w:rPr>
            </w:pPr>
            <w:r w:rsidRPr="00107D4F">
              <w:rPr>
                <w:sz w:val="20"/>
              </w:rPr>
              <w:t>International volunteering opportunities, e.g. Red Cross</w:t>
            </w:r>
          </w:p>
          <w:p w:rsidR="00107D4F" w:rsidRPr="00107D4F" w:rsidRDefault="00107D4F" w:rsidP="00107D4F">
            <w:pPr>
              <w:pStyle w:val="ListParagraph"/>
              <w:numPr>
                <w:ilvl w:val="0"/>
                <w:numId w:val="20"/>
              </w:numPr>
            </w:pPr>
            <w:r w:rsidRPr="00107D4F">
              <w:rPr>
                <w:sz w:val="20"/>
              </w:rPr>
              <w:t>Other sectors that value the EMP education, e.g. police and fire</w:t>
            </w:r>
          </w:p>
        </w:tc>
      </w:tr>
    </w:tbl>
    <w:p w:rsidR="00276F6B" w:rsidRDefault="00276F6B" w:rsidP="00276F6B">
      <w:pPr>
        <w:rPr>
          <w:b/>
        </w:rPr>
      </w:pPr>
    </w:p>
    <w:p w:rsidR="00276F6B" w:rsidRDefault="00276F6B" w:rsidP="00276F6B">
      <w:pPr>
        <w:rPr>
          <w:b/>
        </w:rPr>
      </w:pPr>
      <w:r>
        <w:rPr>
          <w:b/>
        </w:rPr>
        <w:br w:type="page"/>
      </w:r>
    </w:p>
    <w:tbl>
      <w:tblPr>
        <w:tblStyle w:val="TableGrid"/>
        <w:tblW w:w="14803" w:type="dxa"/>
        <w:tblInd w:w="-1735" w:type="dxa"/>
        <w:tblLayout w:type="fixed"/>
        <w:tblLook w:val="01E0" w:firstRow="1" w:lastRow="1" w:firstColumn="1" w:lastColumn="1" w:noHBand="0" w:noVBand="0"/>
      </w:tblPr>
      <w:tblGrid>
        <w:gridCol w:w="6379"/>
        <w:gridCol w:w="8424"/>
      </w:tblGrid>
      <w:tr w:rsidR="00276F6B" w:rsidRPr="00133F70" w:rsidTr="00CA013C">
        <w:tc>
          <w:tcPr>
            <w:tcW w:w="6379" w:type="dxa"/>
            <w:shd w:val="clear" w:color="auto" w:fill="C0C0C0"/>
            <w:tcMar>
              <w:top w:w="113" w:type="dxa"/>
              <w:bottom w:w="113" w:type="dxa"/>
            </w:tcMar>
          </w:tcPr>
          <w:p w:rsidR="00276F6B" w:rsidRPr="00133F70" w:rsidRDefault="00276F6B" w:rsidP="00276F6B">
            <w:pPr>
              <w:tabs>
                <w:tab w:val="left" w:pos="72"/>
              </w:tabs>
              <w:rPr>
                <w:b/>
              </w:rPr>
            </w:pPr>
            <w:r w:rsidRPr="00133F70">
              <w:rPr>
                <w:b/>
              </w:rPr>
              <w:lastRenderedPageBreak/>
              <w:t>5.0 Strategic Positioning</w:t>
            </w:r>
          </w:p>
        </w:tc>
        <w:tc>
          <w:tcPr>
            <w:tcW w:w="8424" w:type="dxa"/>
            <w:shd w:val="clear" w:color="auto" w:fill="C0C0C0"/>
            <w:tcMar>
              <w:top w:w="113" w:type="dxa"/>
              <w:bottom w:w="113" w:type="dxa"/>
            </w:tcMar>
          </w:tcPr>
          <w:p w:rsidR="00276F6B" w:rsidRPr="00133F70" w:rsidRDefault="00276F6B" w:rsidP="00276F6B">
            <w:pPr>
              <w:rPr>
                <w:b/>
              </w:rPr>
            </w:pPr>
            <w:r w:rsidRPr="00133F70">
              <w:rPr>
                <w:b/>
              </w:rPr>
              <w:t xml:space="preserve">Summary of </w:t>
            </w:r>
            <w:r>
              <w:rPr>
                <w:b/>
              </w:rPr>
              <w:t xml:space="preserve">Key </w:t>
            </w:r>
            <w:r w:rsidRPr="00133F70">
              <w:rPr>
                <w:b/>
              </w:rPr>
              <w:t>Findings</w:t>
            </w:r>
          </w:p>
        </w:tc>
      </w:tr>
      <w:tr w:rsidR="00276F6B" w:rsidRPr="00C97927" w:rsidTr="00CA013C">
        <w:tc>
          <w:tcPr>
            <w:tcW w:w="6379" w:type="dxa"/>
            <w:tcMar>
              <w:top w:w="113" w:type="dxa"/>
              <w:bottom w:w="113" w:type="dxa"/>
            </w:tcMar>
          </w:tcPr>
          <w:p w:rsidR="00276F6B" w:rsidRPr="004E75F0" w:rsidRDefault="00276F6B" w:rsidP="00276F6B">
            <w:pPr>
              <w:pStyle w:val="Title"/>
              <w:jc w:val="left"/>
              <w:rPr>
                <w:rFonts w:ascii="Arial" w:hAnsi="Arial"/>
                <w:b/>
                <w:sz w:val="20"/>
              </w:rPr>
            </w:pPr>
            <w:r w:rsidRPr="004E75F0">
              <w:rPr>
                <w:rFonts w:ascii="Arial" w:hAnsi="Arial"/>
                <w:b/>
                <w:sz w:val="20"/>
              </w:rPr>
              <w:t>5.1</w:t>
            </w:r>
            <w:r w:rsidRPr="004E75F0">
              <w:rPr>
                <w:rFonts w:ascii="Arial" w:hAnsi="Arial"/>
                <w:sz w:val="20"/>
              </w:rPr>
              <w:t xml:space="preserve"> </w:t>
            </w:r>
            <w:r w:rsidRPr="004E75F0">
              <w:rPr>
                <w:rFonts w:ascii="Arial" w:hAnsi="Arial"/>
                <w:b/>
                <w:sz w:val="20"/>
              </w:rPr>
              <w:t>College Alignment</w:t>
            </w:r>
          </w:p>
          <w:p w:rsidR="00276F6B" w:rsidRPr="004E75F0" w:rsidRDefault="00276F6B" w:rsidP="00276F6B">
            <w:pPr>
              <w:pStyle w:val="Title"/>
              <w:jc w:val="left"/>
              <w:rPr>
                <w:rFonts w:ascii="Arial" w:hAnsi="Arial"/>
                <w:b/>
                <w:sz w:val="20"/>
              </w:rPr>
            </w:pPr>
          </w:p>
          <w:p w:rsidR="00276F6B" w:rsidRDefault="00276F6B" w:rsidP="00276F6B">
            <w:pPr>
              <w:rPr>
                <w:b/>
                <w:bCs/>
                <w:sz w:val="20"/>
              </w:rPr>
            </w:pPr>
            <w:r w:rsidRPr="004E75F0">
              <w:rPr>
                <w:b/>
                <w:bCs/>
                <w:sz w:val="20"/>
              </w:rPr>
              <w:t xml:space="preserve">Review </w:t>
            </w:r>
            <w:r>
              <w:rPr>
                <w:b/>
                <w:bCs/>
                <w:sz w:val="20"/>
              </w:rPr>
              <w:t>/ discuss</w:t>
            </w:r>
            <w:r w:rsidRPr="004E75F0">
              <w:rPr>
                <w:b/>
                <w:bCs/>
                <w:sz w:val="20"/>
              </w:rPr>
              <w:t>:</w:t>
            </w:r>
          </w:p>
          <w:p w:rsidR="00276F6B" w:rsidRPr="004E75F0" w:rsidRDefault="00276F6B" w:rsidP="00276F6B">
            <w:pPr>
              <w:rPr>
                <w:b/>
                <w:bCs/>
                <w:sz w:val="20"/>
              </w:rPr>
            </w:pPr>
          </w:p>
          <w:p w:rsidR="00276F6B" w:rsidRPr="004E75F0" w:rsidRDefault="00276F6B" w:rsidP="00276F6B">
            <w:pPr>
              <w:pStyle w:val="Title"/>
              <w:numPr>
                <w:ilvl w:val="0"/>
                <w:numId w:val="9"/>
              </w:numPr>
              <w:tabs>
                <w:tab w:val="clear" w:pos="720"/>
                <w:tab w:val="num" w:pos="360"/>
              </w:tabs>
              <w:ind w:left="360"/>
              <w:jc w:val="left"/>
              <w:rPr>
                <w:rFonts w:ascii="Arial" w:hAnsi="Arial"/>
                <w:sz w:val="20"/>
              </w:rPr>
            </w:pPr>
            <w:r w:rsidRPr="004E75F0">
              <w:rPr>
                <w:rFonts w:ascii="Arial" w:hAnsi="Arial"/>
                <w:sz w:val="20"/>
              </w:rPr>
              <w:t xml:space="preserve">Program alignment with college priorities such as vision, mission, values, </w:t>
            </w:r>
            <w:r w:rsidRPr="004E75F0">
              <w:rPr>
                <w:rFonts w:ascii="Arial" w:hAnsi="Arial"/>
                <w:bCs/>
                <w:sz w:val="20"/>
              </w:rPr>
              <w:t xml:space="preserve">strategic plan, academic framework, </w:t>
            </w:r>
            <w:r>
              <w:rPr>
                <w:rFonts w:ascii="Arial" w:hAnsi="Arial"/>
                <w:bCs/>
                <w:sz w:val="20"/>
              </w:rPr>
              <w:t xml:space="preserve">and </w:t>
            </w:r>
            <w:r w:rsidRPr="004E75F0">
              <w:rPr>
                <w:rFonts w:ascii="Arial" w:hAnsi="Arial"/>
                <w:bCs/>
                <w:sz w:val="20"/>
              </w:rPr>
              <w:t>the educational mandate, and</w:t>
            </w:r>
            <w:r>
              <w:rPr>
                <w:rFonts w:ascii="Arial" w:hAnsi="Arial"/>
                <w:bCs/>
                <w:sz w:val="20"/>
              </w:rPr>
              <w:t xml:space="preserve"> </w:t>
            </w:r>
            <w:r w:rsidRPr="004E75F0">
              <w:rPr>
                <w:rFonts w:ascii="Arial" w:hAnsi="Arial"/>
                <w:bCs/>
                <w:sz w:val="20"/>
              </w:rPr>
              <w:t>/</w:t>
            </w:r>
            <w:r>
              <w:rPr>
                <w:rFonts w:ascii="Arial" w:hAnsi="Arial"/>
                <w:bCs/>
                <w:sz w:val="20"/>
              </w:rPr>
              <w:t xml:space="preserve"> </w:t>
            </w:r>
            <w:r w:rsidRPr="004E75F0">
              <w:rPr>
                <w:rFonts w:ascii="Arial" w:hAnsi="Arial"/>
                <w:bCs/>
                <w:sz w:val="20"/>
              </w:rPr>
              <w:t xml:space="preserve">or academic priorities of the School </w:t>
            </w:r>
          </w:p>
          <w:p w:rsidR="00276F6B" w:rsidRPr="004E75F0" w:rsidRDefault="00276F6B" w:rsidP="00276F6B">
            <w:pPr>
              <w:pStyle w:val="Title"/>
              <w:numPr>
                <w:ilvl w:val="0"/>
                <w:numId w:val="9"/>
              </w:numPr>
              <w:tabs>
                <w:tab w:val="clear" w:pos="720"/>
                <w:tab w:val="num" w:pos="360"/>
              </w:tabs>
              <w:ind w:left="360"/>
              <w:jc w:val="left"/>
              <w:rPr>
                <w:sz w:val="20"/>
                <w:lang w:val="en-CA"/>
              </w:rPr>
            </w:pPr>
            <w:r w:rsidRPr="007508A3">
              <w:rPr>
                <w:rFonts w:ascii="Arial" w:hAnsi="Arial"/>
                <w:sz w:val="20"/>
              </w:rPr>
              <w:t>Opportunities for new program initiatives based on Program, School, or community strengths</w:t>
            </w:r>
            <w:r>
              <w:rPr>
                <w:rFonts w:ascii="Arial" w:hAnsi="Arial"/>
                <w:sz w:val="20"/>
              </w:rPr>
              <w:t xml:space="preserve"> and alliances</w:t>
            </w:r>
          </w:p>
        </w:tc>
        <w:tc>
          <w:tcPr>
            <w:tcW w:w="8424" w:type="dxa"/>
            <w:tcMar>
              <w:top w:w="113" w:type="dxa"/>
              <w:bottom w:w="113" w:type="dxa"/>
            </w:tcMar>
          </w:tcPr>
          <w:p w:rsidR="00C97927" w:rsidRPr="00C97927" w:rsidRDefault="00FE2367" w:rsidP="00C97927">
            <w:pPr>
              <w:rPr>
                <w:sz w:val="20"/>
              </w:rPr>
            </w:pPr>
            <w:r w:rsidRPr="00C97927">
              <w:rPr>
                <w:sz w:val="20"/>
                <w:lang w:val="en-CA"/>
              </w:rPr>
              <w:t xml:space="preserve">The program aligns with the college priorities and values including a focus on applied learning and community involvement.  </w:t>
            </w:r>
            <w:r w:rsidR="00C97927" w:rsidRPr="00C97927">
              <w:rPr>
                <w:sz w:val="20"/>
              </w:rPr>
              <w:t xml:space="preserve">This program aligns with the college’s vision and mission including high expectations, close relationships with faculty, and applied learning. </w:t>
            </w:r>
            <w:r w:rsidR="00C97927" w:rsidRPr="00C97927">
              <w:rPr>
                <w:sz w:val="20"/>
                <w:highlight w:val="yellow"/>
              </w:rPr>
              <w:t xml:space="preserve"> </w:t>
            </w:r>
          </w:p>
          <w:p w:rsidR="00C97927" w:rsidRPr="00C97927" w:rsidRDefault="00C97927" w:rsidP="00C97927">
            <w:pPr>
              <w:rPr>
                <w:sz w:val="20"/>
              </w:rPr>
            </w:pPr>
          </w:p>
          <w:p w:rsidR="00276F6B" w:rsidRPr="00C97927" w:rsidRDefault="00FE2367" w:rsidP="00C97927">
            <w:pPr>
              <w:rPr>
                <w:sz w:val="20"/>
              </w:rPr>
            </w:pPr>
            <w:r w:rsidRPr="00C97927">
              <w:rPr>
                <w:sz w:val="20"/>
                <w:lang w:val="en-CA"/>
              </w:rPr>
              <w:t xml:space="preserve">This program’s unique setting </w:t>
            </w:r>
            <w:r w:rsidR="00C97927" w:rsidRPr="00C97927">
              <w:rPr>
                <w:sz w:val="20"/>
                <w:lang w:val="en-CA"/>
              </w:rPr>
              <w:t>in the community of</w:t>
            </w:r>
            <w:r w:rsidRPr="00C97927">
              <w:rPr>
                <w:sz w:val="20"/>
                <w:lang w:val="en-CA"/>
              </w:rPr>
              <w:t xml:space="preserve"> Peterborough </w:t>
            </w:r>
            <w:r w:rsidR="00C97927" w:rsidRPr="00C97927">
              <w:rPr>
                <w:sz w:val="20"/>
                <w:lang w:val="en-CA"/>
              </w:rPr>
              <w:t xml:space="preserve">supports the development of strong collaborations and </w:t>
            </w:r>
            <w:r w:rsidRPr="00C97927">
              <w:rPr>
                <w:sz w:val="20"/>
                <w:lang w:val="en-CA"/>
              </w:rPr>
              <w:t>partnership</w:t>
            </w:r>
            <w:r w:rsidR="00C97927" w:rsidRPr="00C97927">
              <w:rPr>
                <w:sz w:val="20"/>
                <w:lang w:val="en-CA"/>
              </w:rPr>
              <w:t>s</w:t>
            </w:r>
            <w:r w:rsidRPr="00C97927">
              <w:rPr>
                <w:sz w:val="20"/>
                <w:lang w:val="en-CA"/>
              </w:rPr>
              <w:t>.</w:t>
            </w:r>
            <w:r w:rsidR="00EB6944" w:rsidRPr="00C97927">
              <w:rPr>
                <w:sz w:val="20"/>
              </w:rPr>
              <w:t xml:space="preserve"> </w:t>
            </w:r>
            <w:r w:rsidR="00C97927" w:rsidRPr="00C97927">
              <w:rPr>
                <w:sz w:val="20"/>
              </w:rPr>
              <w:t xml:space="preserve">The program is </w:t>
            </w:r>
            <w:r w:rsidR="00EB6944" w:rsidRPr="00C97927">
              <w:rPr>
                <w:sz w:val="20"/>
              </w:rPr>
              <w:t xml:space="preserve">well-known and respected within the community </w:t>
            </w:r>
            <w:r w:rsidR="00C97927" w:rsidRPr="00C97927">
              <w:rPr>
                <w:sz w:val="20"/>
              </w:rPr>
              <w:t xml:space="preserve">and beyond, uses </w:t>
            </w:r>
            <w:r w:rsidR="00EB6944" w:rsidRPr="00C97927">
              <w:rPr>
                <w:sz w:val="20"/>
              </w:rPr>
              <w:t>innovation in its</w:t>
            </w:r>
            <w:r w:rsidR="00C97927" w:rsidRPr="00C97927">
              <w:rPr>
                <w:sz w:val="20"/>
              </w:rPr>
              <w:t xml:space="preserve"> teaching, </w:t>
            </w:r>
            <w:r w:rsidR="00EB6944" w:rsidRPr="00C97927">
              <w:rPr>
                <w:sz w:val="20"/>
              </w:rPr>
              <w:t>projects and stays current with the new trends and practices</w:t>
            </w:r>
            <w:r w:rsidR="00C97927" w:rsidRPr="00C97927">
              <w:rPr>
                <w:sz w:val="20"/>
              </w:rPr>
              <w:t>.</w:t>
            </w:r>
          </w:p>
          <w:p w:rsidR="00C97927" w:rsidRPr="00C97927" w:rsidRDefault="00C97927" w:rsidP="00C97927">
            <w:pPr>
              <w:rPr>
                <w:sz w:val="20"/>
              </w:rPr>
            </w:pPr>
          </w:p>
          <w:p w:rsidR="00C97927" w:rsidRPr="00C97927" w:rsidRDefault="00C97927" w:rsidP="00C97927">
            <w:pPr>
              <w:rPr>
                <w:sz w:val="20"/>
                <w:lang w:val="en-CA"/>
              </w:rPr>
            </w:pPr>
            <w:r w:rsidRPr="00C97927">
              <w:rPr>
                <w:sz w:val="20"/>
              </w:rPr>
              <w:t>Students have completed their curriculum based internships across Canada and around the world.</w:t>
            </w:r>
          </w:p>
        </w:tc>
      </w:tr>
      <w:tr w:rsidR="00276F6B" w:rsidRPr="00087C96" w:rsidTr="00CA013C">
        <w:trPr>
          <w:trHeight w:val="1762"/>
        </w:trPr>
        <w:tc>
          <w:tcPr>
            <w:tcW w:w="6379" w:type="dxa"/>
            <w:tcMar>
              <w:top w:w="113" w:type="dxa"/>
              <w:bottom w:w="113" w:type="dxa"/>
            </w:tcMar>
          </w:tcPr>
          <w:p w:rsidR="00276F6B" w:rsidRPr="004E75F0" w:rsidRDefault="00276F6B" w:rsidP="00276F6B">
            <w:pPr>
              <w:pStyle w:val="Title"/>
              <w:jc w:val="left"/>
              <w:rPr>
                <w:rFonts w:ascii="Arial" w:hAnsi="Arial"/>
                <w:b/>
                <w:sz w:val="20"/>
              </w:rPr>
            </w:pPr>
            <w:r w:rsidRPr="004E75F0">
              <w:rPr>
                <w:rFonts w:ascii="Arial" w:hAnsi="Arial"/>
                <w:b/>
                <w:sz w:val="20"/>
              </w:rPr>
              <w:t>5.2 Competitor Programs</w:t>
            </w:r>
          </w:p>
          <w:p w:rsidR="00276F6B" w:rsidRPr="004E75F0" w:rsidRDefault="00276F6B" w:rsidP="00276F6B">
            <w:pPr>
              <w:pStyle w:val="Title"/>
              <w:jc w:val="left"/>
              <w:rPr>
                <w:rFonts w:ascii="Arial" w:hAnsi="Arial"/>
                <w:b/>
                <w:sz w:val="20"/>
              </w:rPr>
            </w:pPr>
          </w:p>
          <w:p w:rsidR="00276F6B" w:rsidRDefault="00276F6B" w:rsidP="00276F6B">
            <w:pPr>
              <w:rPr>
                <w:b/>
                <w:bCs/>
                <w:sz w:val="20"/>
              </w:rPr>
            </w:pPr>
            <w:r w:rsidRPr="004E75F0">
              <w:rPr>
                <w:b/>
                <w:bCs/>
                <w:sz w:val="20"/>
              </w:rPr>
              <w:t xml:space="preserve">Review </w:t>
            </w:r>
            <w:r>
              <w:rPr>
                <w:b/>
                <w:bCs/>
                <w:sz w:val="20"/>
              </w:rPr>
              <w:t>/ discuss</w:t>
            </w:r>
            <w:r w:rsidRPr="004E75F0">
              <w:rPr>
                <w:b/>
                <w:bCs/>
                <w:sz w:val="20"/>
              </w:rPr>
              <w:t>:</w:t>
            </w:r>
          </w:p>
          <w:p w:rsidR="00276F6B" w:rsidRPr="004E75F0" w:rsidRDefault="00276F6B" w:rsidP="00276F6B">
            <w:pPr>
              <w:rPr>
                <w:b/>
                <w:bCs/>
                <w:sz w:val="20"/>
              </w:rPr>
            </w:pPr>
          </w:p>
          <w:p w:rsidR="00276F6B" w:rsidRDefault="00276F6B" w:rsidP="00276F6B">
            <w:pPr>
              <w:pStyle w:val="Title"/>
              <w:numPr>
                <w:ilvl w:val="0"/>
                <w:numId w:val="19"/>
              </w:numPr>
              <w:tabs>
                <w:tab w:val="clear" w:pos="720"/>
              </w:tabs>
              <w:ind w:left="360"/>
              <w:jc w:val="left"/>
              <w:rPr>
                <w:rFonts w:ascii="Arial" w:hAnsi="Arial"/>
                <w:sz w:val="20"/>
              </w:rPr>
            </w:pPr>
            <w:r w:rsidRPr="004E75F0">
              <w:rPr>
                <w:rFonts w:ascii="Arial" w:hAnsi="Arial"/>
                <w:sz w:val="20"/>
              </w:rPr>
              <w:t>Key parallels and differences between this program and those of its closest competitors</w:t>
            </w:r>
            <w:r>
              <w:rPr>
                <w:rFonts w:ascii="Arial" w:hAnsi="Arial"/>
                <w:sz w:val="20"/>
              </w:rPr>
              <w:t>,</w:t>
            </w:r>
            <w:r w:rsidRPr="004E75F0">
              <w:rPr>
                <w:rFonts w:ascii="Arial" w:hAnsi="Arial"/>
                <w:sz w:val="20"/>
              </w:rPr>
              <w:t xml:space="preserve"> where applicable</w:t>
            </w:r>
          </w:p>
          <w:p w:rsidR="00276F6B" w:rsidRPr="004E75F0" w:rsidRDefault="00276F6B" w:rsidP="00276F6B">
            <w:pPr>
              <w:pStyle w:val="Title"/>
              <w:numPr>
                <w:ilvl w:val="0"/>
                <w:numId w:val="18"/>
              </w:numPr>
              <w:tabs>
                <w:tab w:val="clear" w:pos="720"/>
              </w:tabs>
              <w:ind w:left="360"/>
              <w:jc w:val="left"/>
              <w:rPr>
                <w:rFonts w:ascii="Arial" w:hAnsi="Arial"/>
                <w:b/>
                <w:sz w:val="20"/>
              </w:rPr>
            </w:pPr>
            <w:r>
              <w:rPr>
                <w:rFonts w:ascii="Arial" w:hAnsi="Arial"/>
                <w:sz w:val="20"/>
              </w:rPr>
              <w:t>’</w:t>
            </w:r>
            <w:r w:rsidRPr="004E75F0">
              <w:rPr>
                <w:rFonts w:ascii="Arial" w:hAnsi="Arial"/>
                <w:sz w:val="20"/>
              </w:rPr>
              <w:t>Value-add</w:t>
            </w:r>
            <w:r>
              <w:rPr>
                <w:rFonts w:ascii="Arial" w:hAnsi="Arial"/>
                <w:sz w:val="20"/>
              </w:rPr>
              <w:t>ed’</w:t>
            </w:r>
            <w:r w:rsidRPr="004E75F0">
              <w:rPr>
                <w:rFonts w:ascii="Arial" w:hAnsi="Arial"/>
                <w:sz w:val="20"/>
              </w:rPr>
              <w:t xml:space="preserve"> program distinctions and </w:t>
            </w:r>
            <w:r>
              <w:rPr>
                <w:rFonts w:ascii="Arial" w:hAnsi="Arial"/>
                <w:sz w:val="20"/>
              </w:rPr>
              <w:t xml:space="preserve">their </w:t>
            </w:r>
            <w:r w:rsidRPr="004E75F0">
              <w:rPr>
                <w:rFonts w:ascii="Arial" w:hAnsi="Arial"/>
                <w:sz w:val="20"/>
              </w:rPr>
              <w:t>attractiveness to prospective students</w:t>
            </w:r>
          </w:p>
        </w:tc>
        <w:tc>
          <w:tcPr>
            <w:tcW w:w="8424" w:type="dxa"/>
            <w:tcMar>
              <w:top w:w="113" w:type="dxa"/>
              <w:bottom w:w="113" w:type="dxa"/>
            </w:tcMar>
          </w:tcPr>
          <w:p w:rsidR="00276F6B" w:rsidRDefault="00107D4F" w:rsidP="00107D4F">
            <w:pPr>
              <w:rPr>
                <w:sz w:val="20"/>
                <w:szCs w:val="22"/>
                <w:lang w:val="en-CA"/>
              </w:rPr>
            </w:pPr>
            <w:r w:rsidRPr="00107D4F">
              <w:rPr>
                <w:sz w:val="20"/>
                <w:szCs w:val="22"/>
                <w:lang w:val="en-CA"/>
              </w:rPr>
              <w:t xml:space="preserve">There are only two competitor programs, at Durham and Sheridan. </w:t>
            </w:r>
            <w:r>
              <w:rPr>
                <w:sz w:val="20"/>
                <w:szCs w:val="22"/>
                <w:lang w:val="en-CA"/>
              </w:rPr>
              <w:t xml:space="preserve">The key parallel that exists is that both Durham and Sheridan originally based their Emergency Management programs on Fleming’s model. </w:t>
            </w:r>
          </w:p>
          <w:p w:rsidR="00107D4F" w:rsidRDefault="00107D4F" w:rsidP="00107D4F">
            <w:pPr>
              <w:rPr>
                <w:sz w:val="20"/>
                <w:szCs w:val="22"/>
                <w:lang w:val="en-CA"/>
              </w:rPr>
            </w:pPr>
          </w:p>
          <w:p w:rsidR="00107D4F" w:rsidRPr="00087C96" w:rsidRDefault="00107D4F" w:rsidP="00107D4F">
            <w:pPr>
              <w:rPr>
                <w:szCs w:val="22"/>
                <w:lang w:val="en-CA"/>
              </w:rPr>
            </w:pPr>
            <w:r>
              <w:rPr>
                <w:sz w:val="20"/>
                <w:szCs w:val="22"/>
                <w:lang w:val="en-CA"/>
              </w:rPr>
              <w:t xml:space="preserve">Fleming has worked to distinguish its program, however, and continues to do so with its focus on Business Continuity in both in-class and practicum applications. Fleming’s EMP program also provides students with an opportunity to build strong client relationships in the industry while completing CSA and EMO certificates. </w:t>
            </w:r>
          </w:p>
        </w:tc>
      </w:tr>
    </w:tbl>
    <w:p w:rsidR="00276F6B" w:rsidRDefault="00276F6B" w:rsidP="00276F6B">
      <w:pPr>
        <w:rPr>
          <w:b/>
        </w:rPr>
      </w:pPr>
    </w:p>
    <w:p w:rsidR="00276F6B" w:rsidRDefault="00276F6B" w:rsidP="00276F6B">
      <w:pPr>
        <w:rPr>
          <w:b/>
        </w:rPr>
      </w:pPr>
    </w:p>
    <w:tbl>
      <w:tblPr>
        <w:tblStyle w:val="TableGrid"/>
        <w:tblW w:w="14803" w:type="dxa"/>
        <w:tblInd w:w="-1735" w:type="dxa"/>
        <w:tblLook w:val="01E0" w:firstRow="1" w:lastRow="1" w:firstColumn="1" w:lastColumn="1" w:noHBand="0" w:noVBand="0"/>
      </w:tblPr>
      <w:tblGrid>
        <w:gridCol w:w="6379"/>
        <w:gridCol w:w="8424"/>
      </w:tblGrid>
      <w:tr w:rsidR="00276F6B" w:rsidRPr="00087C96" w:rsidTr="00CA013C">
        <w:tc>
          <w:tcPr>
            <w:tcW w:w="6379" w:type="dxa"/>
            <w:shd w:val="clear" w:color="auto" w:fill="C0C0C0"/>
            <w:tcMar>
              <w:top w:w="113" w:type="dxa"/>
              <w:bottom w:w="113" w:type="dxa"/>
            </w:tcMar>
          </w:tcPr>
          <w:p w:rsidR="00276F6B" w:rsidRPr="00133F70" w:rsidRDefault="00276F6B" w:rsidP="00276F6B">
            <w:pPr>
              <w:tabs>
                <w:tab w:val="left" w:pos="72"/>
              </w:tabs>
              <w:rPr>
                <w:b/>
              </w:rPr>
            </w:pPr>
            <w:r w:rsidRPr="00133F70">
              <w:rPr>
                <w:b/>
              </w:rPr>
              <w:t>6.0 Enrolment Trends</w:t>
            </w:r>
          </w:p>
        </w:tc>
        <w:tc>
          <w:tcPr>
            <w:tcW w:w="8424" w:type="dxa"/>
            <w:shd w:val="clear" w:color="auto" w:fill="C0C0C0"/>
            <w:tcMar>
              <w:top w:w="113" w:type="dxa"/>
              <w:bottom w:w="113" w:type="dxa"/>
            </w:tcMar>
          </w:tcPr>
          <w:p w:rsidR="00276F6B" w:rsidRPr="00133F70" w:rsidRDefault="00276F6B" w:rsidP="00276F6B">
            <w:pPr>
              <w:rPr>
                <w:b/>
              </w:rPr>
            </w:pPr>
            <w:r w:rsidRPr="00133F70">
              <w:rPr>
                <w:b/>
              </w:rPr>
              <w:t>Summary of</w:t>
            </w:r>
            <w:r>
              <w:rPr>
                <w:b/>
              </w:rPr>
              <w:t xml:space="preserve"> Key</w:t>
            </w:r>
            <w:r w:rsidRPr="00133F70">
              <w:rPr>
                <w:b/>
              </w:rPr>
              <w:t xml:space="preserve"> Findings</w:t>
            </w:r>
          </w:p>
        </w:tc>
      </w:tr>
      <w:tr w:rsidR="00276F6B" w:rsidRPr="00087C96" w:rsidTr="00CA013C">
        <w:tc>
          <w:tcPr>
            <w:tcW w:w="6379" w:type="dxa"/>
            <w:shd w:val="clear" w:color="auto" w:fill="auto"/>
            <w:tcMar>
              <w:top w:w="113" w:type="dxa"/>
              <w:bottom w:w="113" w:type="dxa"/>
            </w:tcMar>
          </w:tcPr>
          <w:p w:rsidR="00276F6B" w:rsidRPr="004E75F0" w:rsidRDefault="00276F6B" w:rsidP="00276F6B">
            <w:pPr>
              <w:pStyle w:val="Title"/>
              <w:jc w:val="left"/>
              <w:rPr>
                <w:rFonts w:ascii="Arial" w:hAnsi="Arial"/>
                <w:b/>
                <w:sz w:val="20"/>
              </w:rPr>
            </w:pPr>
            <w:r w:rsidRPr="004E75F0">
              <w:rPr>
                <w:rFonts w:ascii="Arial" w:hAnsi="Arial"/>
                <w:b/>
                <w:sz w:val="20"/>
              </w:rPr>
              <w:t xml:space="preserve">6.1 Demand for the Program </w:t>
            </w:r>
          </w:p>
          <w:p w:rsidR="00276F6B" w:rsidRPr="004E75F0" w:rsidRDefault="00276F6B" w:rsidP="00276F6B">
            <w:pPr>
              <w:pStyle w:val="Title"/>
              <w:jc w:val="left"/>
              <w:rPr>
                <w:rFonts w:ascii="Arial" w:hAnsi="Arial"/>
                <w:b/>
                <w:sz w:val="20"/>
              </w:rPr>
            </w:pPr>
          </w:p>
          <w:p w:rsidR="00276F6B" w:rsidRDefault="00276F6B" w:rsidP="00276F6B">
            <w:pPr>
              <w:rPr>
                <w:b/>
                <w:bCs/>
                <w:sz w:val="20"/>
              </w:rPr>
            </w:pPr>
            <w:r w:rsidRPr="004E75F0">
              <w:rPr>
                <w:b/>
                <w:bCs/>
                <w:sz w:val="20"/>
              </w:rPr>
              <w:t xml:space="preserve">Review </w:t>
            </w:r>
            <w:r>
              <w:rPr>
                <w:b/>
                <w:bCs/>
                <w:sz w:val="20"/>
              </w:rPr>
              <w:t>/ discuss</w:t>
            </w:r>
            <w:r w:rsidRPr="004E75F0">
              <w:rPr>
                <w:b/>
                <w:bCs/>
                <w:sz w:val="20"/>
              </w:rPr>
              <w:t>:</w:t>
            </w:r>
          </w:p>
          <w:p w:rsidR="00276F6B" w:rsidRPr="004E75F0" w:rsidRDefault="00276F6B" w:rsidP="00276F6B">
            <w:pPr>
              <w:rPr>
                <w:b/>
                <w:bCs/>
                <w:sz w:val="20"/>
              </w:rPr>
            </w:pPr>
          </w:p>
          <w:p w:rsidR="00276F6B" w:rsidRPr="004E75F0" w:rsidRDefault="00276F6B" w:rsidP="00276F6B">
            <w:pPr>
              <w:numPr>
                <w:ilvl w:val="0"/>
                <w:numId w:val="10"/>
              </w:numPr>
              <w:tabs>
                <w:tab w:val="clear" w:pos="720"/>
                <w:tab w:val="num" w:pos="360"/>
              </w:tabs>
              <w:ind w:left="360"/>
              <w:rPr>
                <w:sz w:val="20"/>
              </w:rPr>
            </w:pPr>
            <w:r w:rsidRPr="004E75F0">
              <w:rPr>
                <w:sz w:val="20"/>
              </w:rPr>
              <w:t xml:space="preserve">Patterns in the number of program applicants, qualified applicants, and </w:t>
            </w:r>
            <w:r>
              <w:rPr>
                <w:sz w:val="20"/>
              </w:rPr>
              <w:t xml:space="preserve">actual </w:t>
            </w:r>
            <w:r w:rsidRPr="004E75F0">
              <w:rPr>
                <w:sz w:val="20"/>
              </w:rPr>
              <w:t>registrants over the past 6 years</w:t>
            </w:r>
          </w:p>
          <w:p w:rsidR="00276F6B" w:rsidRPr="004E75F0" w:rsidRDefault="00276F6B" w:rsidP="00276F6B">
            <w:pPr>
              <w:numPr>
                <w:ilvl w:val="0"/>
                <w:numId w:val="10"/>
              </w:numPr>
              <w:tabs>
                <w:tab w:val="clear" w:pos="720"/>
                <w:tab w:val="num" w:pos="360"/>
              </w:tabs>
              <w:ind w:left="360"/>
              <w:rPr>
                <w:sz w:val="20"/>
              </w:rPr>
            </w:pPr>
            <w:r>
              <w:rPr>
                <w:sz w:val="20"/>
              </w:rPr>
              <w:t xml:space="preserve">Changes, if any, in the </w:t>
            </w:r>
            <w:r w:rsidRPr="004E75F0">
              <w:rPr>
                <w:sz w:val="20"/>
              </w:rPr>
              <w:t>student demographic profile, including level of maturity,</w:t>
            </w:r>
            <w:r>
              <w:rPr>
                <w:sz w:val="20"/>
              </w:rPr>
              <w:t xml:space="preserve"> diversity, </w:t>
            </w:r>
            <w:r w:rsidRPr="004E75F0">
              <w:rPr>
                <w:sz w:val="20"/>
              </w:rPr>
              <w:t xml:space="preserve">prior knowledge, technological literacy, work experience, and expectations </w:t>
            </w:r>
          </w:p>
          <w:p w:rsidR="00276F6B" w:rsidRPr="004E75F0" w:rsidRDefault="00276F6B" w:rsidP="00276F6B">
            <w:pPr>
              <w:numPr>
                <w:ilvl w:val="0"/>
                <w:numId w:val="10"/>
              </w:numPr>
              <w:tabs>
                <w:tab w:val="clear" w:pos="720"/>
                <w:tab w:val="num" w:pos="360"/>
              </w:tabs>
              <w:ind w:left="360"/>
              <w:rPr>
                <w:b/>
                <w:sz w:val="20"/>
              </w:rPr>
            </w:pPr>
            <w:r w:rsidRPr="004E75F0">
              <w:rPr>
                <w:sz w:val="20"/>
              </w:rPr>
              <w:t>Impact</w:t>
            </w:r>
            <w:r>
              <w:rPr>
                <w:sz w:val="20"/>
              </w:rPr>
              <w:t xml:space="preserve">, if any, </w:t>
            </w:r>
            <w:r w:rsidRPr="004E75F0">
              <w:rPr>
                <w:sz w:val="20"/>
              </w:rPr>
              <w:t xml:space="preserve">of this changing student profile on program curriculum </w:t>
            </w:r>
          </w:p>
        </w:tc>
        <w:tc>
          <w:tcPr>
            <w:tcW w:w="8424" w:type="dxa"/>
            <w:shd w:val="clear" w:color="auto" w:fill="auto"/>
            <w:tcMar>
              <w:top w:w="113" w:type="dxa"/>
              <w:bottom w:w="113" w:type="dxa"/>
            </w:tcMar>
          </w:tcPr>
          <w:p w:rsidR="009474CC" w:rsidRDefault="009474CC" w:rsidP="009474CC">
            <w:pPr>
              <w:autoSpaceDE w:val="0"/>
              <w:autoSpaceDN w:val="0"/>
              <w:adjustRightInd w:val="0"/>
              <w:rPr>
                <w:sz w:val="20"/>
                <w:lang w:val="en-CA"/>
              </w:rPr>
            </w:pPr>
            <w:r>
              <w:rPr>
                <w:sz w:val="20"/>
                <w:lang w:val="en-CA"/>
              </w:rPr>
              <w:t xml:space="preserve">Application numbers have ranged from a high in 2007 of 67 to a low of 39 the following year. The conversion ratio has historically been 4:1 or 3:1, but this most recent year was 2:1 and it was also in this most recent year that we had our largest cohort of 29. </w:t>
            </w:r>
          </w:p>
          <w:p w:rsidR="009474CC" w:rsidRDefault="009474CC" w:rsidP="009474CC">
            <w:pPr>
              <w:autoSpaceDE w:val="0"/>
              <w:autoSpaceDN w:val="0"/>
              <w:adjustRightInd w:val="0"/>
              <w:rPr>
                <w:sz w:val="20"/>
                <w:lang w:val="en-CA"/>
              </w:rPr>
            </w:pPr>
          </w:p>
          <w:p w:rsidR="007A17A0" w:rsidRPr="00212468" w:rsidRDefault="009474CC" w:rsidP="00463E89">
            <w:pPr>
              <w:autoSpaceDE w:val="0"/>
              <w:autoSpaceDN w:val="0"/>
              <w:adjustRightInd w:val="0"/>
              <w:rPr>
                <w:sz w:val="20"/>
              </w:rPr>
            </w:pPr>
            <w:r>
              <w:rPr>
                <w:sz w:val="20"/>
                <w:lang w:val="en-CA"/>
              </w:rPr>
              <w:t>As a post grad certificate, the majority of the students in this program fall in the 20-25</w:t>
            </w:r>
            <w:r w:rsidR="00463E89">
              <w:rPr>
                <w:sz w:val="20"/>
                <w:lang w:val="en-CA"/>
              </w:rPr>
              <w:t xml:space="preserve"> age </w:t>
            </w:r>
            <w:proofErr w:type="gramStart"/>
            <w:r w:rsidR="00463E89">
              <w:rPr>
                <w:sz w:val="20"/>
                <w:lang w:val="en-CA"/>
              </w:rPr>
              <w:t>group</w:t>
            </w:r>
            <w:proofErr w:type="gramEnd"/>
            <w:r w:rsidR="00463E89">
              <w:rPr>
                <w:sz w:val="20"/>
                <w:lang w:val="en-CA"/>
              </w:rPr>
              <w:t xml:space="preserve">. Demographics also show that there appears to be an increasing appeal to import students, and in fact, some international students are currently in the program. Though there is no immediate impact to the program curriculum based on changing demographics, </w:t>
            </w:r>
            <w:proofErr w:type="spellStart"/>
            <w:r w:rsidR="00463E89">
              <w:rPr>
                <w:sz w:val="20"/>
                <w:lang w:val="en-CA"/>
              </w:rPr>
              <w:t>i</w:t>
            </w:r>
            <w:r w:rsidR="00463E89">
              <w:rPr>
                <w:sz w:val="20"/>
              </w:rPr>
              <w:t>f</w:t>
            </w:r>
            <w:proofErr w:type="spellEnd"/>
            <w:r w:rsidR="00463E89">
              <w:rPr>
                <w:sz w:val="20"/>
              </w:rPr>
              <w:t xml:space="preserve"> the numbers of international students continues to rise, some faculty development around best practices for instructing international students may be required. </w:t>
            </w:r>
          </w:p>
        </w:tc>
      </w:tr>
    </w:tbl>
    <w:p w:rsidR="00276F6B" w:rsidRDefault="00276F6B" w:rsidP="00276F6B"/>
    <w:tbl>
      <w:tblPr>
        <w:tblStyle w:val="TableGrid"/>
        <w:tblW w:w="14803" w:type="dxa"/>
        <w:tblInd w:w="-1735" w:type="dxa"/>
        <w:tblLook w:val="01E0" w:firstRow="1" w:lastRow="1" w:firstColumn="1" w:lastColumn="1" w:noHBand="0" w:noVBand="0"/>
      </w:tblPr>
      <w:tblGrid>
        <w:gridCol w:w="6379"/>
        <w:gridCol w:w="8424"/>
      </w:tblGrid>
      <w:tr w:rsidR="00276F6B" w:rsidRPr="00F35BBA" w:rsidTr="00CA013C">
        <w:tc>
          <w:tcPr>
            <w:tcW w:w="6379" w:type="dxa"/>
            <w:shd w:val="clear" w:color="auto" w:fill="auto"/>
            <w:tcMar>
              <w:top w:w="113" w:type="dxa"/>
              <w:bottom w:w="113" w:type="dxa"/>
            </w:tcMar>
          </w:tcPr>
          <w:p w:rsidR="00276F6B" w:rsidRPr="004E75F0" w:rsidRDefault="00276F6B" w:rsidP="00276F6B">
            <w:pPr>
              <w:pStyle w:val="Title"/>
              <w:jc w:val="left"/>
              <w:rPr>
                <w:rFonts w:ascii="Arial" w:hAnsi="Arial"/>
                <w:b/>
                <w:sz w:val="20"/>
              </w:rPr>
            </w:pPr>
            <w:r w:rsidRPr="004E75F0">
              <w:rPr>
                <w:rFonts w:ascii="Arial" w:hAnsi="Arial"/>
                <w:b/>
                <w:sz w:val="20"/>
              </w:rPr>
              <w:t>6.2 Student Progression</w:t>
            </w:r>
          </w:p>
          <w:p w:rsidR="00276F6B" w:rsidRPr="004E75F0" w:rsidRDefault="00276F6B" w:rsidP="00276F6B">
            <w:pPr>
              <w:pStyle w:val="Title"/>
              <w:jc w:val="left"/>
              <w:rPr>
                <w:rFonts w:ascii="Arial" w:hAnsi="Arial"/>
                <w:b/>
                <w:sz w:val="20"/>
              </w:rPr>
            </w:pPr>
          </w:p>
          <w:p w:rsidR="00276F6B" w:rsidRDefault="00276F6B" w:rsidP="00276F6B">
            <w:pPr>
              <w:rPr>
                <w:b/>
                <w:bCs/>
                <w:sz w:val="20"/>
              </w:rPr>
            </w:pPr>
            <w:r w:rsidRPr="004E75F0">
              <w:rPr>
                <w:b/>
                <w:bCs/>
                <w:sz w:val="20"/>
              </w:rPr>
              <w:t xml:space="preserve">Review </w:t>
            </w:r>
            <w:r>
              <w:rPr>
                <w:b/>
                <w:bCs/>
                <w:sz w:val="20"/>
              </w:rPr>
              <w:t>/ discuss</w:t>
            </w:r>
            <w:r w:rsidRPr="004E75F0">
              <w:rPr>
                <w:b/>
                <w:bCs/>
                <w:sz w:val="20"/>
              </w:rPr>
              <w:t>:</w:t>
            </w:r>
          </w:p>
          <w:p w:rsidR="00276F6B" w:rsidRPr="004E75F0" w:rsidRDefault="00276F6B" w:rsidP="00276F6B">
            <w:pPr>
              <w:rPr>
                <w:b/>
                <w:bCs/>
                <w:sz w:val="20"/>
              </w:rPr>
            </w:pPr>
          </w:p>
          <w:p w:rsidR="00276F6B" w:rsidRPr="004E75F0" w:rsidRDefault="00276F6B" w:rsidP="00276F6B">
            <w:pPr>
              <w:pStyle w:val="Title"/>
              <w:numPr>
                <w:ilvl w:val="0"/>
                <w:numId w:val="11"/>
              </w:numPr>
              <w:tabs>
                <w:tab w:val="clear" w:pos="720"/>
                <w:tab w:val="num" w:pos="360"/>
              </w:tabs>
              <w:ind w:left="360"/>
              <w:jc w:val="left"/>
              <w:rPr>
                <w:rFonts w:ascii="Arial" w:hAnsi="Arial"/>
                <w:sz w:val="20"/>
              </w:rPr>
            </w:pPr>
            <w:r>
              <w:rPr>
                <w:rFonts w:ascii="Arial" w:hAnsi="Arial"/>
                <w:sz w:val="20"/>
              </w:rPr>
              <w:t>Patterns of s</w:t>
            </w:r>
            <w:r w:rsidRPr="004E75F0">
              <w:rPr>
                <w:rFonts w:ascii="Arial" w:hAnsi="Arial"/>
                <w:sz w:val="20"/>
              </w:rPr>
              <w:t xml:space="preserve">tudent success </w:t>
            </w:r>
            <w:r>
              <w:rPr>
                <w:rFonts w:ascii="Arial" w:hAnsi="Arial"/>
                <w:sz w:val="20"/>
              </w:rPr>
              <w:t xml:space="preserve">and retention </w:t>
            </w:r>
            <w:r w:rsidRPr="004E75F0">
              <w:rPr>
                <w:rFonts w:ascii="Arial" w:hAnsi="Arial"/>
                <w:sz w:val="20"/>
              </w:rPr>
              <w:t>on a semester by semester basis over the last six years</w:t>
            </w:r>
          </w:p>
          <w:p w:rsidR="00276F6B" w:rsidRPr="004E75F0" w:rsidRDefault="00276F6B" w:rsidP="00276F6B">
            <w:pPr>
              <w:pStyle w:val="Title"/>
              <w:numPr>
                <w:ilvl w:val="0"/>
                <w:numId w:val="11"/>
              </w:numPr>
              <w:tabs>
                <w:tab w:val="clear" w:pos="720"/>
                <w:tab w:val="num" w:pos="360"/>
              </w:tabs>
              <w:ind w:left="360"/>
              <w:jc w:val="left"/>
              <w:rPr>
                <w:rFonts w:ascii="Arial" w:hAnsi="Arial"/>
                <w:sz w:val="20"/>
              </w:rPr>
            </w:pPr>
            <w:r>
              <w:rPr>
                <w:rFonts w:ascii="Arial" w:hAnsi="Arial"/>
                <w:sz w:val="20"/>
              </w:rPr>
              <w:t>The effectiveness of any</w:t>
            </w:r>
            <w:r w:rsidRPr="004E75F0">
              <w:rPr>
                <w:rFonts w:ascii="Arial" w:hAnsi="Arial"/>
                <w:sz w:val="20"/>
              </w:rPr>
              <w:t xml:space="preserve"> strategies adopted to improve student success and retention </w:t>
            </w:r>
          </w:p>
          <w:p w:rsidR="00276F6B" w:rsidRPr="004E75F0" w:rsidRDefault="00276F6B" w:rsidP="00276F6B">
            <w:pPr>
              <w:pStyle w:val="Title"/>
              <w:jc w:val="left"/>
              <w:rPr>
                <w:rFonts w:ascii="Arial" w:hAnsi="Arial"/>
                <w:b/>
                <w:sz w:val="20"/>
              </w:rPr>
            </w:pPr>
          </w:p>
        </w:tc>
        <w:tc>
          <w:tcPr>
            <w:tcW w:w="8424" w:type="dxa"/>
            <w:shd w:val="clear" w:color="auto" w:fill="auto"/>
            <w:tcMar>
              <w:top w:w="113" w:type="dxa"/>
              <w:bottom w:w="113" w:type="dxa"/>
            </w:tcMar>
          </w:tcPr>
          <w:p w:rsidR="00463E89" w:rsidRDefault="00463E89" w:rsidP="00463E89">
            <w:pPr>
              <w:rPr>
                <w:sz w:val="20"/>
              </w:rPr>
            </w:pPr>
            <w:r>
              <w:rPr>
                <w:sz w:val="20"/>
              </w:rPr>
              <w:t xml:space="preserve">As a </w:t>
            </w:r>
            <w:r w:rsidR="001C1120">
              <w:rPr>
                <w:sz w:val="20"/>
              </w:rPr>
              <w:t xml:space="preserve">single-cohort, </w:t>
            </w:r>
            <w:r>
              <w:rPr>
                <w:sz w:val="20"/>
              </w:rPr>
              <w:t>post grad certificate program, rete</w:t>
            </w:r>
            <w:r w:rsidR="001C1120">
              <w:rPr>
                <w:sz w:val="20"/>
              </w:rPr>
              <w:t xml:space="preserve">ntion rates are extremely high and well above the college rates. </w:t>
            </w:r>
          </w:p>
          <w:p w:rsidR="00463E89" w:rsidRDefault="00463E89" w:rsidP="00463E89">
            <w:pPr>
              <w:rPr>
                <w:sz w:val="20"/>
              </w:rPr>
            </w:pPr>
          </w:p>
          <w:p w:rsidR="007A17A0" w:rsidRPr="00463E89" w:rsidRDefault="00463E89" w:rsidP="00463E89">
            <w:pPr>
              <w:rPr>
                <w:sz w:val="20"/>
              </w:rPr>
            </w:pPr>
            <w:r>
              <w:rPr>
                <w:sz w:val="20"/>
              </w:rPr>
              <w:t xml:space="preserve"> </w:t>
            </w:r>
          </w:p>
        </w:tc>
      </w:tr>
    </w:tbl>
    <w:p w:rsidR="00276F6B" w:rsidRDefault="00276F6B" w:rsidP="00276F6B">
      <w:pPr>
        <w:rPr>
          <w:b/>
        </w:rPr>
      </w:pPr>
    </w:p>
    <w:p w:rsidR="00276F6B" w:rsidRDefault="00276F6B" w:rsidP="00276F6B">
      <w:pPr>
        <w:rPr>
          <w:b/>
        </w:rPr>
      </w:pPr>
    </w:p>
    <w:tbl>
      <w:tblPr>
        <w:tblStyle w:val="TableGrid"/>
        <w:tblW w:w="14803" w:type="dxa"/>
        <w:tblInd w:w="-1735" w:type="dxa"/>
        <w:tblLook w:val="01E0" w:firstRow="1" w:lastRow="1" w:firstColumn="1" w:lastColumn="1" w:noHBand="0" w:noVBand="0"/>
      </w:tblPr>
      <w:tblGrid>
        <w:gridCol w:w="6379"/>
        <w:gridCol w:w="8424"/>
      </w:tblGrid>
      <w:tr w:rsidR="00276F6B" w:rsidRPr="00F35BBA" w:rsidTr="00CA013C">
        <w:tc>
          <w:tcPr>
            <w:tcW w:w="6379" w:type="dxa"/>
            <w:shd w:val="clear" w:color="auto" w:fill="C0C0C0"/>
            <w:tcMar>
              <w:top w:w="113" w:type="dxa"/>
              <w:bottom w:w="113" w:type="dxa"/>
            </w:tcMar>
          </w:tcPr>
          <w:p w:rsidR="00276F6B" w:rsidRPr="00361644" w:rsidRDefault="00276F6B" w:rsidP="00276F6B">
            <w:pPr>
              <w:tabs>
                <w:tab w:val="left" w:pos="72"/>
              </w:tabs>
              <w:rPr>
                <w:b/>
              </w:rPr>
            </w:pPr>
            <w:r w:rsidRPr="00361644">
              <w:rPr>
                <w:b/>
              </w:rPr>
              <w:t>7.0 External Relations</w:t>
            </w:r>
          </w:p>
        </w:tc>
        <w:tc>
          <w:tcPr>
            <w:tcW w:w="8424" w:type="dxa"/>
            <w:shd w:val="clear" w:color="auto" w:fill="C0C0C0"/>
            <w:tcMar>
              <w:top w:w="113" w:type="dxa"/>
              <w:bottom w:w="113" w:type="dxa"/>
            </w:tcMar>
          </w:tcPr>
          <w:p w:rsidR="00276F6B" w:rsidRPr="00361644" w:rsidRDefault="00276F6B" w:rsidP="00276F6B">
            <w:pPr>
              <w:rPr>
                <w:b/>
              </w:rPr>
            </w:pPr>
            <w:r w:rsidRPr="00361644">
              <w:rPr>
                <w:b/>
              </w:rPr>
              <w:t xml:space="preserve">Summary of </w:t>
            </w:r>
            <w:r>
              <w:rPr>
                <w:b/>
              </w:rPr>
              <w:t xml:space="preserve">Key </w:t>
            </w:r>
            <w:r w:rsidRPr="00361644">
              <w:rPr>
                <w:b/>
              </w:rPr>
              <w:t>Findings</w:t>
            </w:r>
          </w:p>
        </w:tc>
      </w:tr>
      <w:tr w:rsidR="00276F6B" w:rsidRPr="00F35BBA" w:rsidTr="00CA013C">
        <w:tc>
          <w:tcPr>
            <w:tcW w:w="6379" w:type="dxa"/>
            <w:shd w:val="clear" w:color="auto" w:fill="auto"/>
            <w:tcMar>
              <w:top w:w="113" w:type="dxa"/>
              <w:bottom w:w="113" w:type="dxa"/>
            </w:tcMar>
          </w:tcPr>
          <w:p w:rsidR="00276F6B" w:rsidRPr="004E75F0" w:rsidRDefault="00276F6B" w:rsidP="00276F6B">
            <w:pPr>
              <w:pStyle w:val="Title"/>
              <w:jc w:val="left"/>
              <w:rPr>
                <w:rFonts w:ascii="Arial" w:hAnsi="Arial"/>
                <w:b/>
                <w:sz w:val="20"/>
              </w:rPr>
            </w:pPr>
            <w:r w:rsidRPr="004E75F0">
              <w:rPr>
                <w:rFonts w:ascii="Arial" w:hAnsi="Arial"/>
                <w:b/>
                <w:sz w:val="20"/>
              </w:rPr>
              <w:t xml:space="preserve">7.1 Alumnae </w:t>
            </w:r>
          </w:p>
          <w:p w:rsidR="00276F6B" w:rsidRPr="004E75F0" w:rsidRDefault="00276F6B" w:rsidP="00276F6B">
            <w:pPr>
              <w:pStyle w:val="Title"/>
              <w:jc w:val="left"/>
              <w:rPr>
                <w:rFonts w:ascii="Arial" w:hAnsi="Arial"/>
                <w:b/>
                <w:sz w:val="20"/>
              </w:rPr>
            </w:pPr>
          </w:p>
          <w:p w:rsidR="00276F6B" w:rsidRDefault="00276F6B" w:rsidP="00276F6B">
            <w:pPr>
              <w:rPr>
                <w:b/>
                <w:bCs/>
                <w:sz w:val="20"/>
              </w:rPr>
            </w:pPr>
            <w:r w:rsidRPr="004E75F0">
              <w:rPr>
                <w:b/>
                <w:bCs/>
                <w:sz w:val="20"/>
              </w:rPr>
              <w:t xml:space="preserve">Review </w:t>
            </w:r>
            <w:r>
              <w:rPr>
                <w:b/>
                <w:bCs/>
                <w:sz w:val="20"/>
              </w:rPr>
              <w:t>/ discuss</w:t>
            </w:r>
            <w:r w:rsidRPr="004E75F0">
              <w:rPr>
                <w:b/>
                <w:bCs/>
                <w:sz w:val="20"/>
              </w:rPr>
              <w:t>:</w:t>
            </w:r>
          </w:p>
          <w:p w:rsidR="00276F6B" w:rsidRPr="004E75F0" w:rsidRDefault="00276F6B" w:rsidP="00276F6B">
            <w:pPr>
              <w:pStyle w:val="Title"/>
              <w:numPr>
                <w:ilvl w:val="0"/>
                <w:numId w:val="12"/>
              </w:numPr>
              <w:tabs>
                <w:tab w:val="clear" w:pos="720"/>
                <w:tab w:val="num" w:pos="360"/>
              </w:tabs>
              <w:ind w:hanging="720"/>
              <w:jc w:val="left"/>
              <w:rPr>
                <w:rFonts w:ascii="Arial" w:hAnsi="Arial"/>
                <w:sz w:val="20"/>
              </w:rPr>
            </w:pPr>
            <w:r>
              <w:rPr>
                <w:rFonts w:ascii="Arial" w:hAnsi="Arial"/>
                <w:sz w:val="20"/>
              </w:rPr>
              <w:t>The type and range of a</w:t>
            </w:r>
            <w:r w:rsidRPr="004E75F0">
              <w:rPr>
                <w:rFonts w:ascii="Arial" w:hAnsi="Arial"/>
                <w:sz w:val="20"/>
              </w:rPr>
              <w:t>lumnae involvement in the program</w:t>
            </w:r>
          </w:p>
          <w:p w:rsidR="00276F6B" w:rsidRPr="004E75F0" w:rsidRDefault="00276F6B" w:rsidP="00276F6B">
            <w:pPr>
              <w:pStyle w:val="Title"/>
              <w:numPr>
                <w:ilvl w:val="0"/>
                <w:numId w:val="12"/>
              </w:numPr>
              <w:tabs>
                <w:tab w:val="clear" w:pos="720"/>
                <w:tab w:val="num" w:pos="360"/>
              </w:tabs>
              <w:ind w:hanging="720"/>
              <w:jc w:val="left"/>
              <w:rPr>
                <w:rFonts w:ascii="Arial" w:hAnsi="Arial"/>
                <w:sz w:val="20"/>
              </w:rPr>
            </w:pPr>
            <w:r>
              <w:rPr>
                <w:rFonts w:ascii="Arial" w:hAnsi="Arial"/>
                <w:sz w:val="20"/>
              </w:rPr>
              <w:t xml:space="preserve">Current and future </w:t>
            </w:r>
            <w:r w:rsidRPr="004E75F0">
              <w:rPr>
                <w:rFonts w:ascii="Arial" w:hAnsi="Arial"/>
                <w:sz w:val="20"/>
              </w:rPr>
              <w:t>strategies to engage alumnae in the program</w:t>
            </w:r>
            <w:r>
              <w:rPr>
                <w:rFonts w:ascii="Arial" w:hAnsi="Arial"/>
                <w:sz w:val="20"/>
              </w:rPr>
              <w:t xml:space="preserve"> </w:t>
            </w:r>
          </w:p>
          <w:p w:rsidR="00276F6B" w:rsidRPr="004E75F0" w:rsidRDefault="00276F6B" w:rsidP="00276F6B">
            <w:pPr>
              <w:pStyle w:val="Title"/>
              <w:jc w:val="left"/>
              <w:rPr>
                <w:b/>
                <w:sz w:val="20"/>
              </w:rPr>
            </w:pPr>
          </w:p>
        </w:tc>
        <w:tc>
          <w:tcPr>
            <w:tcW w:w="8424" w:type="dxa"/>
            <w:shd w:val="clear" w:color="auto" w:fill="auto"/>
            <w:tcMar>
              <w:top w:w="113" w:type="dxa"/>
              <w:bottom w:w="113" w:type="dxa"/>
            </w:tcMar>
          </w:tcPr>
          <w:p w:rsidR="00EB6944" w:rsidRPr="00E7214D" w:rsidRDefault="00EB6944" w:rsidP="00EB6944">
            <w:pPr>
              <w:numPr>
                <w:ilvl w:val="0"/>
                <w:numId w:val="12"/>
              </w:numPr>
              <w:tabs>
                <w:tab w:val="clear" w:pos="720"/>
                <w:tab w:val="num" w:pos="554"/>
              </w:tabs>
              <w:ind w:hanging="720"/>
              <w:rPr>
                <w:sz w:val="20"/>
              </w:rPr>
            </w:pPr>
            <w:r w:rsidRPr="00E7214D">
              <w:rPr>
                <w:sz w:val="20"/>
              </w:rPr>
              <w:t>Sit on the advisory committee</w:t>
            </w:r>
          </w:p>
          <w:p w:rsidR="00EB6944" w:rsidRPr="00E7214D" w:rsidRDefault="00EB6944" w:rsidP="00EB6944">
            <w:pPr>
              <w:numPr>
                <w:ilvl w:val="0"/>
                <w:numId w:val="12"/>
              </w:numPr>
              <w:tabs>
                <w:tab w:val="clear" w:pos="720"/>
                <w:tab w:val="num" w:pos="554"/>
              </w:tabs>
              <w:ind w:hanging="720"/>
              <w:rPr>
                <w:sz w:val="20"/>
              </w:rPr>
            </w:pPr>
            <w:r w:rsidRPr="00E7214D">
              <w:rPr>
                <w:sz w:val="20"/>
              </w:rPr>
              <w:t>Teach in the program</w:t>
            </w:r>
          </w:p>
          <w:p w:rsidR="00EB6944" w:rsidRPr="00E7214D" w:rsidRDefault="00EB6944" w:rsidP="00EB6944">
            <w:pPr>
              <w:numPr>
                <w:ilvl w:val="0"/>
                <w:numId w:val="12"/>
              </w:numPr>
              <w:tabs>
                <w:tab w:val="clear" w:pos="720"/>
                <w:tab w:val="num" w:pos="554"/>
              </w:tabs>
              <w:ind w:hanging="720"/>
              <w:rPr>
                <w:sz w:val="20"/>
              </w:rPr>
            </w:pPr>
            <w:r w:rsidRPr="00E7214D">
              <w:rPr>
                <w:sz w:val="20"/>
              </w:rPr>
              <w:t xml:space="preserve">Staff at partner sites </w:t>
            </w:r>
          </w:p>
          <w:p w:rsidR="00EB6944" w:rsidRPr="00E7214D" w:rsidRDefault="00EB6944" w:rsidP="00EB6944">
            <w:pPr>
              <w:numPr>
                <w:ilvl w:val="0"/>
                <w:numId w:val="12"/>
              </w:numPr>
              <w:tabs>
                <w:tab w:val="clear" w:pos="720"/>
                <w:tab w:val="num" w:pos="554"/>
              </w:tabs>
              <w:ind w:hanging="720"/>
              <w:rPr>
                <w:sz w:val="20"/>
              </w:rPr>
            </w:pPr>
            <w:r w:rsidRPr="00E7214D">
              <w:rPr>
                <w:sz w:val="20"/>
              </w:rPr>
              <w:t xml:space="preserve">Send us job postings </w:t>
            </w:r>
          </w:p>
          <w:p w:rsidR="00EB6944" w:rsidRPr="00E7214D" w:rsidRDefault="00EB6944" w:rsidP="00EB6944">
            <w:pPr>
              <w:numPr>
                <w:ilvl w:val="0"/>
                <w:numId w:val="12"/>
              </w:numPr>
              <w:tabs>
                <w:tab w:val="clear" w:pos="720"/>
                <w:tab w:val="num" w:pos="554"/>
              </w:tabs>
              <w:ind w:hanging="720"/>
              <w:rPr>
                <w:sz w:val="20"/>
              </w:rPr>
            </w:pPr>
            <w:r w:rsidRPr="00E7214D">
              <w:rPr>
                <w:sz w:val="20"/>
              </w:rPr>
              <w:t xml:space="preserve">Provide resources to stay connected in the field </w:t>
            </w:r>
          </w:p>
          <w:p w:rsidR="00E7214D" w:rsidRPr="00E7214D" w:rsidRDefault="00E7214D" w:rsidP="00EB6944">
            <w:pPr>
              <w:numPr>
                <w:ilvl w:val="0"/>
                <w:numId w:val="12"/>
              </w:numPr>
              <w:tabs>
                <w:tab w:val="clear" w:pos="720"/>
                <w:tab w:val="num" w:pos="554"/>
              </w:tabs>
              <w:ind w:hanging="720"/>
              <w:rPr>
                <w:sz w:val="20"/>
              </w:rPr>
            </w:pPr>
            <w:r w:rsidRPr="00E7214D">
              <w:rPr>
                <w:sz w:val="20"/>
              </w:rPr>
              <w:t>Employers of new graduates</w:t>
            </w:r>
          </w:p>
          <w:p w:rsidR="00276F6B" w:rsidRPr="00F35BBA" w:rsidRDefault="00276F6B" w:rsidP="00EB6944">
            <w:pPr>
              <w:rPr>
                <w:b/>
                <w:sz w:val="28"/>
                <w:szCs w:val="28"/>
              </w:rPr>
            </w:pPr>
          </w:p>
        </w:tc>
      </w:tr>
      <w:tr w:rsidR="00276F6B" w:rsidRPr="00F35BBA" w:rsidTr="00CA013C">
        <w:tc>
          <w:tcPr>
            <w:tcW w:w="6379" w:type="dxa"/>
            <w:shd w:val="clear" w:color="auto" w:fill="auto"/>
            <w:tcMar>
              <w:top w:w="113" w:type="dxa"/>
              <w:bottom w:w="113" w:type="dxa"/>
            </w:tcMar>
          </w:tcPr>
          <w:p w:rsidR="00276F6B" w:rsidRPr="004E75F0" w:rsidRDefault="00276F6B" w:rsidP="00276F6B">
            <w:pPr>
              <w:pStyle w:val="Title"/>
              <w:jc w:val="left"/>
              <w:rPr>
                <w:rFonts w:ascii="Arial" w:hAnsi="Arial"/>
                <w:b/>
                <w:sz w:val="20"/>
              </w:rPr>
            </w:pPr>
            <w:r w:rsidRPr="004E75F0">
              <w:rPr>
                <w:rFonts w:ascii="Arial" w:hAnsi="Arial"/>
                <w:b/>
                <w:sz w:val="20"/>
              </w:rPr>
              <w:t>7.2 Community Relations</w:t>
            </w:r>
          </w:p>
          <w:p w:rsidR="00276F6B" w:rsidRPr="004E75F0" w:rsidRDefault="00276F6B" w:rsidP="00276F6B">
            <w:pPr>
              <w:pStyle w:val="Title"/>
              <w:jc w:val="left"/>
              <w:rPr>
                <w:rFonts w:ascii="Arial" w:hAnsi="Arial"/>
                <w:b/>
                <w:sz w:val="20"/>
              </w:rPr>
            </w:pPr>
            <w:r w:rsidRPr="004E75F0">
              <w:rPr>
                <w:rFonts w:ascii="Arial" w:hAnsi="Arial"/>
                <w:b/>
                <w:sz w:val="20"/>
              </w:rPr>
              <w:t xml:space="preserve"> </w:t>
            </w:r>
          </w:p>
          <w:p w:rsidR="00276F6B" w:rsidRPr="004E75F0" w:rsidRDefault="00276F6B" w:rsidP="00276F6B">
            <w:pPr>
              <w:rPr>
                <w:b/>
                <w:bCs/>
                <w:sz w:val="20"/>
              </w:rPr>
            </w:pPr>
            <w:r w:rsidRPr="004E75F0">
              <w:rPr>
                <w:b/>
                <w:bCs/>
                <w:sz w:val="20"/>
              </w:rPr>
              <w:t xml:space="preserve">Review </w:t>
            </w:r>
            <w:r>
              <w:rPr>
                <w:b/>
                <w:bCs/>
                <w:sz w:val="20"/>
              </w:rPr>
              <w:t>/ discuss</w:t>
            </w:r>
            <w:r w:rsidRPr="004E75F0">
              <w:rPr>
                <w:b/>
                <w:bCs/>
                <w:sz w:val="20"/>
              </w:rPr>
              <w:t>:</w:t>
            </w:r>
          </w:p>
          <w:p w:rsidR="00276F6B" w:rsidRPr="004E75F0" w:rsidRDefault="00276F6B" w:rsidP="00276F6B">
            <w:pPr>
              <w:numPr>
                <w:ilvl w:val="0"/>
                <w:numId w:val="13"/>
              </w:numPr>
              <w:tabs>
                <w:tab w:val="clear" w:pos="720"/>
                <w:tab w:val="num" w:pos="360"/>
              </w:tabs>
              <w:ind w:left="360"/>
              <w:rPr>
                <w:sz w:val="20"/>
              </w:rPr>
            </w:pPr>
            <w:r w:rsidRPr="004E75F0">
              <w:rPr>
                <w:sz w:val="20"/>
              </w:rPr>
              <w:t>Significant partnerships, relationships, connections, or offers of support from the community that help to enrich the program and the student experience</w:t>
            </w:r>
          </w:p>
          <w:p w:rsidR="00276F6B" w:rsidRPr="0060287F" w:rsidRDefault="00276F6B" w:rsidP="00276F6B">
            <w:pPr>
              <w:numPr>
                <w:ilvl w:val="0"/>
                <w:numId w:val="13"/>
              </w:numPr>
              <w:tabs>
                <w:tab w:val="clear" w:pos="720"/>
                <w:tab w:val="num" w:pos="360"/>
              </w:tabs>
              <w:ind w:left="360"/>
              <w:rPr>
                <w:sz w:val="20"/>
              </w:rPr>
            </w:pPr>
            <w:r w:rsidRPr="0060287F">
              <w:rPr>
                <w:sz w:val="20"/>
              </w:rPr>
              <w:t>Faculty,</w:t>
            </w:r>
            <w:r>
              <w:rPr>
                <w:sz w:val="20"/>
              </w:rPr>
              <w:t xml:space="preserve"> </w:t>
            </w:r>
            <w:r w:rsidRPr="0060287F">
              <w:rPr>
                <w:sz w:val="20"/>
              </w:rPr>
              <w:t xml:space="preserve">staff, and student involvement </w:t>
            </w:r>
            <w:r w:rsidRPr="0060287F">
              <w:rPr>
                <w:sz w:val="20"/>
                <w:lang w:val="en-CA" w:eastAsia="en-CA"/>
              </w:rPr>
              <w:t>in volunteer projects and events</w:t>
            </w:r>
          </w:p>
          <w:p w:rsidR="00276F6B" w:rsidRPr="00162C88" w:rsidRDefault="00276F6B" w:rsidP="00276F6B">
            <w:pPr>
              <w:numPr>
                <w:ilvl w:val="0"/>
                <w:numId w:val="13"/>
              </w:numPr>
              <w:tabs>
                <w:tab w:val="clear" w:pos="720"/>
                <w:tab w:val="num" w:pos="360"/>
              </w:tabs>
              <w:ind w:left="360"/>
              <w:rPr>
                <w:sz w:val="20"/>
              </w:rPr>
            </w:pPr>
            <w:r w:rsidRPr="0060287F">
              <w:rPr>
                <w:sz w:val="20"/>
                <w:lang w:val="en-CA" w:eastAsia="en-CA"/>
              </w:rPr>
              <w:t xml:space="preserve">Contributions to the </w:t>
            </w:r>
            <w:r>
              <w:rPr>
                <w:sz w:val="20"/>
                <w:lang w:val="en-CA" w:eastAsia="en-CA"/>
              </w:rPr>
              <w:t xml:space="preserve">not for profit sector such as </w:t>
            </w:r>
            <w:r w:rsidRPr="0060287F">
              <w:rPr>
                <w:sz w:val="20"/>
                <w:lang w:val="en-CA" w:eastAsia="en-CA"/>
              </w:rPr>
              <w:t>committee or board service</w:t>
            </w:r>
            <w:r>
              <w:rPr>
                <w:sz w:val="20"/>
                <w:lang w:val="en-CA" w:eastAsia="en-CA"/>
              </w:rPr>
              <w:t xml:space="preserve"> by </w:t>
            </w:r>
            <w:r w:rsidRPr="0060287F">
              <w:rPr>
                <w:sz w:val="20"/>
                <w:lang w:val="en-CA" w:eastAsia="en-CA"/>
              </w:rPr>
              <w:t>program</w:t>
            </w:r>
            <w:r>
              <w:rPr>
                <w:sz w:val="20"/>
                <w:lang w:val="en-CA" w:eastAsia="en-CA"/>
              </w:rPr>
              <w:t>-</w:t>
            </w:r>
            <w:r w:rsidRPr="0060287F">
              <w:rPr>
                <w:sz w:val="20"/>
                <w:lang w:val="en-CA" w:eastAsia="en-CA"/>
              </w:rPr>
              <w:t xml:space="preserve">associated faculty and staff </w:t>
            </w:r>
          </w:p>
          <w:p w:rsidR="00276F6B" w:rsidRPr="004E75F0" w:rsidRDefault="00276F6B" w:rsidP="00276F6B">
            <w:pPr>
              <w:numPr>
                <w:ilvl w:val="0"/>
                <w:numId w:val="13"/>
              </w:numPr>
              <w:tabs>
                <w:tab w:val="clear" w:pos="720"/>
                <w:tab w:val="num" w:pos="360"/>
              </w:tabs>
              <w:ind w:left="360"/>
              <w:rPr>
                <w:sz w:val="20"/>
              </w:rPr>
            </w:pPr>
            <w:r>
              <w:rPr>
                <w:sz w:val="20"/>
              </w:rPr>
              <w:t>Community recognition in the form of student bursaries, awards and s</w:t>
            </w:r>
            <w:r w:rsidRPr="004E75F0">
              <w:rPr>
                <w:sz w:val="20"/>
              </w:rPr>
              <w:t xml:space="preserve">cholarships </w:t>
            </w:r>
          </w:p>
          <w:p w:rsidR="00276F6B" w:rsidRPr="004E75F0" w:rsidRDefault="00276F6B" w:rsidP="00276F6B">
            <w:pPr>
              <w:rPr>
                <w:b/>
                <w:sz w:val="20"/>
              </w:rPr>
            </w:pPr>
          </w:p>
        </w:tc>
        <w:tc>
          <w:tcPr>
            <w:tcW w:w="8424" w:type="dxa"/>
            <w:shd w:val="clear" w:color="auto" w:fill="auto"/>
            <w:tcMar>
              <w:top w:w="113" w:type="dxa"/>
              <w:bottom w:w="113" w:type="dxa"/>
            </w:tcMar>
          </w:tcPr>
          <w:p w:rsidR="004B2ADC" w:rsidRPr="009B6754" w:rsidRDefault="004B2ADC" w:rsidP="004B2ADC">
            <w:pPr>
              <w:rPr>
                <w:sz w:val="20"/>
              </w:rPr>
            </w:pPr>
            <w:r w:rsidRPr="009B6754">
              <w:rPr>
                <w:sz w:val="20"/>
              </w:rPr>
              <w:t>Significant community partnerships:</w:t>
            </w:r>
          </w:p>
          <w:p w:rsidR="00463E89" w:rsidRDefault="00463E89" w:rsidP="00290BED">
            <w:pPr>
              <w:pStyle w:val="ListParagraph"/>
              <w:numPr>
                <w:ilvl w:val="0"/>
                <w:numId w:val="29"/>
              </w:numPr>
              <w:autoSpaceDE w:val="0"/>
              <w:autoSpaceDN w:val="0"/>
              <w:adjustRightInd w:val="0"/>
              <w:rPr>
                <w:sz w:val="20"/>
              </w:rPr>
            </w:pPr>
            <w:r w:rsidRPr="00463E89">
              <w:rPr>
                <w:sz w:val="20"/>
              </w:rPr>
              <w:t>Municipal and County</w:t>
            </w:r>
            <w:r>
              <w:rPr>
                <w:sz w:val="20"/>
              </w:rPr>
              <w:t xml:space="preserve"> government</w:t>
            </w:r>
          </w:p>
          <w:p w:rsidR="00463E89" w:rsidRDefault="00463E89" w:rsidP="00290BED">
            <w:pPr>
              <w:pStyle w:val="ListParagraph"/>
              <w:numPr>
                <w:ilvl w:val="0"/>
                <w:numId w:val="29"/>
              </w:numPr>
              <w:autoSpaceDE w:val="0"/>
              <w:autoSpaceDN w:val="0"/>
              <w:adjustRightInd w:val="0"/>
              <w:rPr>
                <w:sz w:val="20"/>
              </w:rPr>
            </w:pPr>
            <w:r>
              <w:rPr>
                <w:sz w:val="20"/>
              </w:rPr>
              <w:t>P</w:t>
            </w:r>
            <w:r w:rsidRPr="00463E89">
              <w:rPr>
                <w:sz w:val="20"/>
              </w:rPr>
              <w:t>rivate s</w:t>
            </w:r>
            <w:r>
              <w:rPr>
                <w:sz w:val="20"/>
              </w:rPr>
              <w:t>e</w:t>
            </w:r>
            <w:r w:rsidRPr="00463E89">
              <w:rPr>
                <w:sz w:val="20"/>
              </w:rPr>
              <w:t xml:space="preserve">ctor </w:t>
            </w:r>
            <w:r>
              <w:rPr>
                <w:sz w:val="20"/>
              </w:rPr>
              <w:t xml:space="preserve">industry </w:t>
            </w:r>
            <w:r w:rsidRPr="00463E89">
              <w:rPr>
                <w:sz w:val="20"/>
              </w:rPr>
              <w:t>relationships</w:t>
            </w:r>
          </w:p>
          <w:p w:rsidR="00463E89" w:rsidRDefault="00463E89" w:rsidP="00290BED">
            <w:pPr>
              <w:pStyle w:val="ListParagraph"/>
              <w:numPr>
                <w:ilvl w:val="0"/>
                <w:numId w:val="29"/>
              </w:numPr>
              <w:autoSpaceDE w:val="0"/>
              <w:autoSpaceDN w:val="0"/>
              <w:adjustRightInd w:val="0"/>
              <w:rPr>
                <w:sz w:val="20"/>
              </w:rPr>
            </w:pPr>
            <w:r w:rsidRPr="00463E89">
              <w:rPr>
                <w:sz w:val="20"/>
              </w:rPr>
              <w:t>Canadian Red Cross</w:t>
            </w:r>
          </w:p>
          <w:p w:rsidR="00463E89" w:rsidRPr="00463E89" w:rsidRDefault="00463E89" w:rsidP="00290BED">
            <w:pPr>
              <w:pStyle w:val="ListParagraph"/>
              <w:numPr>
                <w:ilvl w:val="0"/>
                <w:numId w:val="29"/>
              </w:numPr>
              <w:autoSpaceDE w:val="0"/>
              <w:autoSpaceDN w:val="0"/>
              <w:adjustRightInd w:val="0"/>
              <w:rPr>
                <w:sz w:val="20"/>
              </w:rPr>
            </w:pPr>
            <w:r>
              <w:rPr>
                <w:sz w:val="20"/>
              </w:rPr>
              <w:t>Student awards from municipalities, private industry, and Peterborough’s Emergency Management Department</w:t>
            </w:r>
          </w:p>
          <w:p w:rsidR="00463E89" w:rsidRDefault="00463E89" w:rsidP="00463E89">
            <w:pPr>
              <w:tabs>
                <w:tab w:val="left" w:pos="398"/>
              </w:tabs>
              <w:autoSpaceDE w:val="0"/>
              <w:autoSpaceDN w:val="0"/>
              <w:adjustRightInd w:val="0"/>
              <w:ind w:left="398" w:hanging="426"/>
              <w:rPr>
                <w:sz w:val="20"/>
              </w:rPr>
            </w:pPr>
          </w:p>
          <w:p w:rsidR="004B2ADC" w:rsidRPr="009B6754" w:rsidRDefault="004B2ADC" w:rsidP="00463E89">
            <w:pPr>
              <w:rPr>
                <w:b/>
                <w:sz w:val="28"/>
                <w:szCs w:val="28"/>
              </w:rPr>
            </w:pPr>
          </w:p>
        </w:tc>
      </w:tr>
      <w:tr w:rsidR="00EB6944" w:rsidRPr="00F35BBA" w:rsidTr="00CA013C">
        <w:tc>
          <w:tcPr>
            <w:tcW w:w="6379" w:type="dxa"/>
            <w:shd w:val="clear" w:color="auto" w:fill="auto"/>
            <w:tcMar>
              <w:top w:w="113" w:type="dxa"/>
              <w:bottom w:w="113" w:type="dxa"/>
            </w:tcMar>
          </w:tcPr>
          <w:p w:rsidR="00463E89" w:rsidRDefault="00463E89" w:rsidP="00276F6B">
            <w:pPr>
              <w:pStyle w:val="Title"/>
              <w:jc w:val="left"/>
              <w:rPr>
                <w:rFonts w:ascii="Arial" w:hAnsi="Arial"/>
                <w:b/>
                <w:sz w:val="20"/>
              </w:rPr>
            </w:pPr>
          </w:p>
          <w:p w:rsidR="00EB6944" w:rsidRPr="004E75F0" w:rsidRDefault="00EB6944" w:rsidP="00276F6B">
            <w:pPr>
              <w:pStyle w:val="Title"/>
              <w:jc w:val="left"/>
              <w:rPr>
                <w:rFonts w:ascii="Arial" w:hAnsi="Arial"/>
                <w:b/>
                <w:sz w:val="20"/>
              </w:rPr>
            </w:pPr>
            <w:r w:rsidRPr="004E75F0">
              <w:rPr>
                <w:rFonts w:ascii="Arial" w:hAnsi="Arial"/>
                <w:b/>
                <w:sz w:val="20"/>
              </w:rPr>
              <w:lastRenderedPageBreak/>
              <w:t>7.3 Program Advisory Committee</w:t>
            </w:r>
          </w:p>
          <w:p w:rsidR="00EB6944" w:rsidRPr="004E75F0" w:rsidRDefault="00EB6944" w:rsidP="00276F6B">
            <w:pPr>
              <w:pStyle w:val="Title"/>
              <w:jc w:val="left"/>
              <w:rPr>
                <w:rFonts w:ascii="Arial" w:hAnsi="Arial"/>
                <w:b/>
                <w:sz w:val="20"/>
              </w:rPr>
            </w:pPr>
          </w:p>
          <w:p w:rsidR="00EB6944" w:rsidRPr="004E75F0" w:rsidRDefault="00EB6944" w:rsidP="00276F6B">
            <w:pPr>
              <w:rPr>
                <w:b/>
                <w:bCs/>
                <w:sz w:val="20"/>
              </w:rPr>
            </w:pPr>
            <w:r w:rsidRPr="004E75F0">
              <w:rPr>
                <w:b/>
                <w:bCs/>
                <w:sz w:val="20"/>
              </w:rPr>
              <w:t xml:space="preserve">Review </w:t>
            </w:r>
            <w:r>
              <w:rPr>
                <w:b/>
                <w:bCs/>
                <w:sz w:val="20"/>
              </w:rPr>
              <w:t>/ discuss</w:t>
            </w:r>
            <w:r w:rsidRPr="004E75F0">
              <w:rPr>
                <w:b/>
                <w:bCs/>
                <w:sz w:val="20"/>
              </w:rPr>
              <w:t>:</w:t>
            </w:r>
          </w:p>
          <w:p w:rsidR="00EB6944" w:rsidRPr="0060287F" w:rsidRDefault="00EB6944" w:rsidP="00276F6B">
            <w:pPr>
              <w:numPr>
                <w:ilvl w:val="0"/>
                <w:numId w:val="21"/>
              </w:numPr>
              <w:tabs>
                <w:tab w:val="clear" w:pos="720"/>
                <w:tab w:val="num" w:pos="360"/>
              </w:tabs>
              <w:autoSpaceDE w:val="0"/>
              <w:autoSpaceDN w:val="0"/>
              <w:adjustRightInd w:val="0"/>
              <w:ind w:left="360"/>
              <w:rPr>
                <w:sz w:val="20"/>
                <w:lang w:val="en-CA" w:eastAsia="en-CA"/>
              </w:rPr>
            </w:pPr>
            <w:r>
              <w:rPr>
                <w:sz w:val="20"/>
                <w:lang w:val="en-CA" w:eastAsia="en-CA"/>
              </w:rPr>
              <w:t>T</w:t>
            </w:r>
            <w:r w:rsidRPr="0060287F">
              <w:rPr>
                <w:sz w:val="20"/>
                <w:lang w:val="en-CA" w:eastAsia="en-CA"/>
              </w:rPr>
              <w:t>he distribution of Committee membership by constituency, sector</w:t>
            </w:r>
            <w:r>
              <w:rPr>
                <w:sz w:val="20"/>
                <w:lang w:val="en-CA" w:eastAsia="en-CA"/>
              </w:rPr>
              <w:t>,</w:t>
            </w:r>
            <w:r w:rsidRPr="0060287F">
              <w:rPr>
                <w:sz w:val="20"/>
                <w:lang w:val="en-CA" w:eastAsia="en-CA"/>
              </w:rPr>
              <w:t xml:space="preserve"> and</w:t>
            </w:r>
            <w:r>
              <w:rPr>
                <w:sz w:val="20"/>
                <w:lang w:val="en-CA" w:eastAsia="en-CA"/>
              </w:rPr>
              <w:t xml:space="preserve"> </w:t>
            </w:r>
            <w:r w:rsidRPr="0060287F">
              <w:rPr>
                <w:sz w:val="20"/>
                <w:lang w:val="en-CA" w:eastAsia="en-CA"/>
              </w:rPr>
              <w:t>/</w:t>
            </w:r>
            <w:r>
              <w:rPr>
                <w:sz w:val="20"/>
                <w:lang w:val="en-CA" w:eastAsia="en-CA"/>
              </w:rPr>
              <w:t xml:space="preserve"> </w:t>
            </w:r>
            <w:r w:rsidRPr="0060287F">
              <w:rPr>
                <w:sz w:val="20"/>
                <w:lang w:val="en-CA" w:eastAsia="en-CA"/>
              </w:rPr>
              <w:t>or region</w:t>
            </w:r>
          </w:p>
          <w:p w:rsidR="00EB6944" w:rsidRPr="0060287F" w:rsidRDefault="00EB6944" w:rsidP="00276F6B">
            <w:pPr>
              <w:numPr>
                <w:ilvl w:val="0"/>
                <w:numId w:val="21"/>
              </w:numPr>
              <w:tabs>
                <w:tab w:val="clear" w:pos="720"/>
                <w:tab w:val="num" w:pos="360"/>
              </w:tabs>
              <w:autoSpaceDE w:val="0"/>
              <w:autoSpaceDN w:val="0"/>
              <w:adjustRightInd w:val="0"/>
              <w:ind w:left="360"/>
              <w:rPr>
                <w:sz w:val="20"/>
                <w:lang w:val="en-CA" w:eastAsia="en-CA"/>
              </w:rPr>
            </w:pPr>
            <w:r>
              <w:rPr>
                <w:sz w:val="20"/>
                <w:lang w:val="en-CA" w:eastAsia="en-CA"/>
              </w:rPr>
              <w:t>T</w:t>
            </w:r>
            <w:r w:rsidRPr="0060287F">
              <w:rPr>
                <w:sz w:val="20"/>
                <w:lang w:val="en-CA" w:eastAsia="en-CA"/>
              </w:rPr>
              <w:t xml:space="preserve">he vitality of the Committee such as </w:t>
            </w:r>
            <w:r>
              <w:rPr>
                <w:sz w:val="20"/>
                <w:lang w:val="en-CA" w:eastAsia="en-CA"/>
              </w:rPr>
              <w:t xml:space="preserve">the </w:t>
            </w:r>
            <w:r w:rsidRPr="0060287F">
              <w:rPr>
                <w:sz w:val="20"/>
                <w:lang w:val="en-CA" w:eastAsia="en-CA"/>
              </w:rPr>
              <w:t>frequency of meetings, and members’ level of participation, engagement</w:t>
            </w:r>
            <w:r>
              <w:rPr>
                <w:sz w:val="20"/>
                <w:lang w:val="en-CA" w:eastAsia="en-CA"/>
              </w:rPr>
              <w:t>,</w:t>
            </w:r>
            <w:r w:rsidRPr="0060287F">
              <w:rPr>
                <w:sz w:val="20"/>
                <w:lang w:val="en-CA" w:eastAsia="en-CA"/>
              </w:rPr>
              <w:t xml:space="preserve"> and turnover</w:t>
            </w:r>
          </w:p>
          <w:p w:rsidR="00EB6944" w:rsidRDefault="00EB6944" w:rsidP="00276F6B">
            <w:pPr>
              <w:numPr>
                <w:ilvl w:val="0"/>
                <w:numId w:val="21"/>
              </w:numPr>
              <w:tabs>
                <w:tab w:val="clear" w:pos="720"/>
                <w:tab w:val="num" w:pos="360"/>
              </w:tabs>
              <w:autoSpaceDE w:val="0"/>
              <w:autoSpaceDN w:val="0"/>
              <w:adjustRightInd w:val="0"/>
              <w:ind w:left="360"/>
              <w:rPr>
                <w:rFonts w:ascii="Tahoma" w:hAnsi="Tahoma" w:cs="Tahoma"/>
                <w:sz w:val="20"/>
                <w:lang w:val="en-CA" w:eastAsia="en-CA"/>
              </w:rPr>
            </w:pPr>
            <w:r w:rsidRPr="0060287F">
              <w:rPr>
                <w:sz w:val="20"/>
                <w:lang w:val="en-CA" w:eastAsia="en-CA"/>
              </w:rPr>
              <w:t>The extent to which Committee operations are aligned with the Fleming College Advisory Committee Orientation Manual and Advisory Committee policy</w:t>
            </w:r>
            <w:r>
              <w:rPr>
                <w:sz w:val="20"/>
                <w:lang w:val="en-CA" w:eastAsia="en-CA"/>
              </w:rPr>
              <w:t>.</w:t>
            </w:r>
          </w:p>
          <w:p w:rsidR="00EB6944" w:rsidRPr="004E75F0" w:rsidRDefault="00EB6944" w:rsidP="00276F6B">
            <w:pPr>
              <w:pStyle w:val="Title"/>
              <w:jc w:val="left"/>
              <w:rPr>
                <w:rFonts w:ascii="Arial" w:hAnsi="Arial"/>
                <w:b/>
                <w:sz w:val="20"/>
              </w:rPr>
            </w:pPr>
            <w:r>
              <w:rPr>
                <w:rFonts w:ascii="Tahoma" w:hAnsi="Tahoma" w:cs="Tahoma"/>
                <w:lang w:val="en-CA" w:eastAsia="en-CA"/>
              </w:rPr>
              <w:t xml:space="preserve"> </w:t>
            </w:r>
          </w:p>
        </w:tc>
        <w:tc>
          <w:tcPr>
            <w:tcW w:w="8424" w:type="dxa"/>
            <w:shd w:val="clear" w:color="auto" w:fill="auto"/>
            <w:tcMar>
              <w:top w:w="113" w:type="dxa"/>
              <w:bottom w:w="113" w:type="dxa"/>
            </w:tcMar>
          </w:tcPr>
          <w:p w:rsidR="00463E89" w:rsidRDefault="00463E89" w:rsidP="00EB6944">
            <w:pPr>
              <w:rPr>
                <w:sz w:val="20"/>
              </w:rPr>
            </w:pPr>
          </w:p>
          <w:p w:rsidR="00EB6944" w:rsidRPr="009B6754" w:rsidRDefault="00EB6944" w:rsidP="00EB6944">
            <w:pPr>
              <w:rPr>
                <w:sz w:val="20"/>
              </w:rPr>
            </w:pPr>
            <w:r w:rsidRPr="009B6754">
              <w:rPr>
                <w:sz w:val="20"/>
              </w:rPr>
              <w:lastRenderedPageBreak/>
              <w:t xml:space="preserve">The committee meets once per year and </w:t>
            </w:r>
            <w:r w:rsidR="00290BED">
              <w:rPr>
                <w:sz w:val="20"/>
              </w:rPr>
              <w:t>is very engaged. They routinely bring new ideas and concepts and all members are actively involved in the industry and the success of Fleming’s program</w:t>
            </w:r>
            <w:r w:rsidRPr="009B6754">
              <w:rPr>
                <w:sz w:val="20"/>
              </w:rPr>
              <w:t>.</w:t>
            </w:r>
            <w:r w:rsidR="00290BED">
              <w:rPr>
                <w:sz w:val="20"/>
              </w:rPr>
              <w:t xml:space="preserve"> </w:t>
            </w:r>
            <w:r w:rsidR="00290BED" w:rsidRPr="009B6754">
              <w:rPr>
                <w:sz w:val="20"/>
              </w:rPr>
              <w:t xml:space="preserve">This advisory committee is well managed and functions at a high level according to the Dean of the </w:t>
            </w:r>
            <w:r w:rsidR="00290BED">
              <w:rPr>
                <w:sz w:val="20"/>
              </w:rPr>
              <w:t>School of Justice and Business Studies</w:t>
            </w:r>
            <w:r w:rsidR="00290BED" w:rsidRPr="009B6754">
              <w:rPr>
                <w:sz w:val="20"/>
              </w:rPr>
              <w:t>.  The prescribed advisory meeting format is respected, followed and adhered to</w:t>
            </w:r>
            <w:r w:rsidR="00290BED">
              <w:rPr>
                <w:sz w:val="20"/>
              </w:rPr>
              <w:t xml:space="preserve"> in meetings</w:t>
            </w:r>
            <w:r w:rsidR="00290BED" w:rsidRPr="009B6754">
              <w:rPr>
                <w:sz w:val="20"/>
              </w:rPr>
              <w:t xml:space="preserve">. </w:t>
            </w:r>
            <w:r w:rsidR="00290BED">
              <w:rPr>
                <w:sz w:val="20"/>
              </w:rPr>
              <w:t xml:space="preserve">All committee operations are aligned with the Fleming College Advisory Committee Orientation Manual and Advisory Committee policy. </w:t>
            </w:r>
          </w:p>
          <w:p w:rsidR="00EB6944" w:rsidRPr="009B6754" w:rsidRDefault="00EB6944" w:rsidP="00EB6944">
            <w:pPr>
              <w:rPr>
                <w:sz w:val="20"/>
              </w:rPr>
            </w:pPr>
          </w:p>
          <w:p w:rsidR="00EB6944" w:rsidRPr="009B6754" w:rsidRDefault="00EB6944" w:rsidP="00EB6944">
            <w:pPr>
              <w:rPr>
                <w:sz w:val="20"/>
              </w:rPr>
            </w:pPr>
            <w:r w:rsidRPr="009B6754">
              <w:rPr>
                <w:sz w:val="20"/>
              </w:rPr>
              <w:t>Membership includes representation from:</w:t>
            </w:r>
          </w:p>
          <w:p w:rsidR="00463E89" w:rsidRDefault="00463E89" w:rsidP="00290BED">
            <w:pPr>
              <w:pStyle w:val="ListParagraph"/>
              <w:numPr>
                <w:ilvl w:val="0"/>
                <w:numId w:val="30"/>
              </w:numPr>
              <w:autoSpaceDE w:val="0"/>
              <w:autoSpaceDN w:val="0"/>
              <w:adjustRightInd w:val="0"/>
              <w:rPr>
                <w:sz w:val="20"/>
              </w:rPr>
            </w:pPr>
            <w:r>
              <w:rPr>
                <w:sz w:val="20"/>
              </w:rPr>
              <w:t xml:space="preserve">provincial, municipal and county </w:t>
            </w:r>
            <w:r w:rsidRPr="00463E89">
              <w:rPr>
                <w:sz w:val="20"/>
              </w:rPr>
              <w:t>gover</w:t>
            </w:r>
            <w:r>
              <w:rPr>
                <w:sz w:val="20"/>
              </w:rPr>
              <w:t>n</w:t>
            </w:r>
            <w:r w:rsidRPr="00463E89">
              <w:rPr>
                <w:sz w:val="20"/>
              </w:rPr>
              <w:t xml:space="preserve">ments </w:t>
            </w:r>
          </w:p>
          <w:p w:rsidR="00463E89" w:rsidRDefault="00463E89" w:rsidP="00290BED">
            <w:pPr>
              <w:pStyle w:val="ListParagraph"/>
              <w:numPr>
                <w:ilvl w:val="0"/>
                <w:numId w:val="30"/>
              </w:numPr>
              <w:autoSpaceDE w:val="0"/>
              <w:autoSpaceDN w:val="0"/>
              <w:adjustRightInd w:val="0"/>
              <w:rPr>
                <w:sz w:val="20"/>
              </w:rPr>
            </w:pPr>
            <w:r>
              <w:rPr>
                <w:sz w:val="20"/>
              </w:rPr>
              <w:t>past students</w:t>
            </w:r>
          </w:p>
          <w:p w:rsidR="00463E89" w:rsidRDefault="00463E89" w:rsidP="00290BED">
            <w:pPr>
              <w:pStyle w:val="ListParagraph"/>
              <w:numPr>
                <w:ilvl w:val="0"/>
                <w:numId w:val="30"/>
              </w:numPr>
              <w:autoSpaceDE w:val="0"/>
              <w:autoSpaceDN w:val="0"/>
              <w:adjustRightInd w:val="0"/>
              <w:rPr>
                <w:sz w:val="20"/>
              </w:rPr>
            </w:pPr>
            <w:r w:rsidRPr="00463E89">
              <w:rPr>
                <w:sz w:val="20"/>
              </w:rPr>
              <w:t>private sector</w:t>
            </w:r>
            <w:r>
              <w:rPr>
                <w:sz w:val="20"/>
              </w:rPr>
              <w:t xml:space="preserve"> </w:t>
            </w:r>
          </w:p>
          <w:p w:rsidR="00EB6944" w:rsidRPr="009B6754" w:rsidRDefault="00463E89" w:rsidP="00290BED">
            <w:pPr>
              <w:pStyle w:val="ListParagraph"/>
              <w:numPr>
                <w:ilvl w:val="0"/>
                <w:numId w:val="30"/>
              </w:numPr>
              <w:autoSpaceDE w:val="0"/>
              <w:autoSpaceDN w:val="0"/>
              <w:adjustRightInd w:val="0"/>
              <w:rPr>
                <w:sz w:val="20"/>
              </w:rPr>
            </w:pPr>
            <w:r>
              <w:rPr>
                <w:sz w:val="20"/>
              </w:rPr>
              <w:t xml:space="preserve">community services: fire and </w:t>
            </w:r>
            <w:r w:rsidRPr="00463E89">
              <w:rPr>
                <w:sz w:val="20"/>
              </w:rPr>
              <w:t>police</w:t>
            </w:r>
          </w:p>
        </w:tc>
      </w:tr>
    </w:tbl>
    <w:p w:rsidR="00276F6B" w:rsidRDefault="00276F6B" w:rsidP="00276F6B"/>
    <w:p w:rsidR="00276F6B" w:rsidRDefault="00276F6B" w:rsidP="00276F6B">
      <w:pPr>
        <w:rPr>
          <w:b/>
        </w:rPr>
      </w:pPr>
    </w:p>
    <w:p w:rsidR="00276F6B" w:rsidRDefault="00276F6B" w:rsidP="00276F6B">
      <w:pPr>
        <w:rPr>
          <w:b/>
        </w:rPr>
      </w:pPr>
    </w:p>
    <w:tbl>
      <w:tblPr>
        <w:tblStyle w:val="TableGrid"/>
        <w:tblW w:w="14803" w:type="dxa"/>
        <w:tblInd w:w="-1735" w:type="dxa"/>
        <w:tblLook w:val="01E0" w:firstRow="1" w:lastRow="1" w:firstColumn="1" w:lastColumn="1" w:noHBand="0" w:noVBand="0"/>
      </w:tblPr>
      <w:tblGrid>
        <w:gridCol w:w="6379"/>
        <w:gridCol w:w="8424"/>
      </w:tblGrid>
      <w:tr w:rsidR="00276F6B" w:rsidRPr="00F35BBA" w:rsidTr="00CA013C">
        <w:tc>
          <w:tcPr>
            <w:tcW w:w="6379" w:type="dxa"/>
            <w:shd w:val="clear" w:color="auto" w:fill="C0C0C0"/>
            <w:tcMar>
              <w:top w:w="113" w:type="dxa"/>
              <w:bottom w:w="113" w:type="dxa"/>
            </w:tcMar>
          </w:tcPr>
          <w:p w:rsidR="00276F6B" w:rsidRPr="00F73516" w:rsidRDefault="00276F6B" w:rsidP="00276F6B">
            <w:pPr>
              <w:tabs>
                <w:tab w:val="left" w:pos="72"/>
              </w:tabs>
              <w:rPr>
                <w:b/>
              </w:rPr>
            </w:pPr>
            <w:r w:rsidRPr="00F73516">
              <w:rPr>
                <w:b/>
              </w:rPr>
              <w:t xml:space="preserve">8.0 Program Resources </w:t>
            </w:r>
          </w:p>
        </w:tc>
        <w:tc>
          <w:tcPr>
            <w:tcW w:w="8424" w:type="dxa"/>
            <w:shd w:val="clear" w:color="auto" w:fill="C0C0C0"/>
            <w:tcMar>
              <w:top w:w="113" w:type="dxa"/>
              <w:bottom w:w="113" w:type="dxa"/>
            </w:tcMar>
          </w:tcPr>
          <w:p w:rsidR="00276F6B" w:rsidRPr="00F73516" w:rsidRDefault="00276F6B" w:rsidP="00276F6B">
            <w:pPr>
              <w:rPr>
                <w:b/>
              </w:rPr>
            </w:pPr>
            <w:r w:rsidRPr="00F73516">
              <w:rPr>
                <w:b/>
              </w:rPr>
              <w:t xml:space="preserve">Summary of </w:t>
            </w:r>
            <w:r>
              <w:rPr>
                <w:b/>
              </w:rPr>
              <w:t xml:space="preserve">Key </w:t>
            </w:r>
            <w:r w:rsidRPr="00F73516">
              <w:rPr>
                <w:b/>
              </w:rPr>
              <w:t>Findings</w:t>
            </w:r>
          </w:p>
        </w:tc>
      </w:tr>
      <w:tr w:rsidR="00276F6B" w:rsidRPr="00087C96" w:rsidTr="00CA013C">
        <w:tc>
          <w:tcPr>
            <w:tcW w:w="6379" w:type="dxa"/>
            <w:shd w:val="clear" w:color="auto" w:fill="auto"/>
            <w:tcMar>
              <w:top w:w="113" w:type="dxa"/>
              <w:bottom w:w="113" w:type="dxa"/>
            </w:tcMar>
          </w:tcPr>
          <w:p w:rsidR="00276F6B" w:rsidRPr="004E75F0" w:rsidRDefault="00276F6B" w:rsidP="00276F6B">
            <w:pPr>
              <w:pStyle w:val="Title"/>
              <w:ind w:left="360" w:hanging="360"/>
              <w:jc w:val="left"/>
              <w:rPr>
                <w:rFonts w:ascii="Arial" w:hAnsi="Arial"/>
                <w:b/>
                <w:sz w:val="20"/>
              </w:rPr>
            </w:pPr>
            <w:r w:rsidRPr="004E75F0">
              <w:rPr>
                <w:rFonts w:ascii="Arial" w:hAnsi="Arial"/>
                <w:b/>
                <w:sz w:val="20"/>
              </w:rPr>
              <w:t xml:space="preserve">8.1 Human Resources </w:t>
            </w:r>
          </w:p>
          <w:p w:rsidR="00276F6B" w:rsidRPr="004E75F0" w:rsidRDefault="00276F6B" w:rsidP="00276F6B">
            <w:pPr>
              <w:pStyle w:val="Title"/>
              <w:ind w:left="360" w:hanging="360"/>
              <w:jc w:val="left"/>
              <w:rPr>
                <w:rFonts w:ascii="Arial" w:hAnsi="Arial"/>
                <w:b/>
                <w:sz w:val="20"/>
              </w:rPr>
            </w:pPr>
          </w:p>
          <w:p w:rsidR="00276F6B" w:rsidRPr="004E75F0" w:rsidRDefault="00276F6B" w:rsidP="00276F6B">
            <w:pPr>
              <w:pStyle w:val="Title"/>
              <w:ind w:left="360" w:hanging="360"/>
              <w:jc w:val="left"/>
              <w:rPr>
                <w:rFonts w:ascii="Arial" w:hAnsi="Arial"/>
                <w:b/>
                <w:bCs/>
                <w:sz w:val="20"/>
              </w:rPr>
            </w:pPr>
            <w:r w:rsidRPr="004E75F0">
              <w:rPr>
                <w:rFonts w:ascii="Arial" w:hAnsi="Arial"/>
                <w:b/>
                <w:bCs/>
                <w:sz w:val="20"/>
              </w:rPr>
              <w:t xml:space="preserve">Review </w:t>
            </w:r>
            <w:r>
              <w:rPr>
                <w:rFonts w:ascii="Arial" w:hAnsi="Arial"/>
                <w:b/>
                <w:bCs/>
                <w:sz w:val="20"/>
              </w:rPr>
              <w:t>/ discuss</w:t>
            </w:r>
            <w:r w:rsidRPr="004E75F0">
              <w:rPr>
                <w:rFonts w:ascii="Arial" w:hAnsi="Arial"/>
                <w:b/>
                <w:bCs/>
                <w:sz w:val="20"/>
              </w:rPr>
              <w:t>:</w:t>
            </w:r>
          </w:p>
          <w:p w:rsidR="00276F6B" w:rsidRPr="004E75F0" w:rsidRDefault="00276F6B" w:rsidP="00276F6B">
            <w:pPr>
              <w:pStyle w:val="Title"/>
              <w:numPr>
                <w:ilvl w:val="0"/>
                <w:numId w:val="14"/>
              </w:numPr>
              <w:tabs>
                <w:tab w:val="clear" w:pos="800"/>
              </w:tabs>
              <w:ind w:left="360"/>
              <w:jc w:val="left"/>
              <w:rPr>
                <w:rFonts w:ascii="Arial" w:hAnsi="Arial"/>
                <w:sz w:val="20"/>
              </w:rPr>
            </w:pPr>
            <w:r>
              <w:rPr>
                <w:rFonts w:ascii="Arial" w:hAnsi="Arial"/>
                <w:sz w:val="20"/>
              </w:rPr>
              <w:t xml:space="preserve">The number and distribution of all </w:t>
            </w:r>
            <w:r w:rsidRPr="004E75F0">
              <w:rPr>
                <w:rFonts w:ascii="Arial" w:hAnsi="Arial"/>
                <w:sz w:val="20"/>
              </w:rPr>
              <w:t>faculty, technician</w:t>
            </w:r>
            <w:r>
              <w:rPr>
                <w:rFonts w:ascii="Arial" w:hAnsi="Arial"/>
                <w:sz w:val="20"/>
              </w:rPr>
              <w:t>s</w:t>
            </w:r>
            <w:r w:rsidRPr="004E75F0">
              <w:rPr>
                <w:rFonts w:ascii="Arial" w:hAnsi="Arial"/>
                <w:sz w:val="20"/>
              </w:rPr>
              <w:t>, and technologist</w:t>
            </w:r>
            <w:r>
              <w:rPr>
                <w:rFonts w:ascii="Arial" w:hAnsi="Arial"/>
                <w:sz w:val="20"/>
              </w:rPr>
              <w:t xml:space="preserve">s associated with the program including </w:t>
            </w:r>
            <w:r w:rsidRPr="004E75F0">
              <w:rPr>
                <w:rFonts w:ascii="Arial" w:hAnsi="Arial"/>
                <w:sz w:val="20"/>
              </w:rPr>
              <w:t>full</w:t>
            </w:r>
            <w:r>
              <w:rPr>
                <w:rFonts w:ascii="Arial" w:hAnsi="Arial"/>
                <w:sz w:val="20"/>
              </w:rPr>
              <w:t>-</w:t>
            </w:r>
            <w:r w:rsidRPr="004E75F0">
              <w:rPr>
                <w:rFonts w:ascii="Arial" w:hAnsi="Arial"/>
                <w:sz w:val="20"/>
              </w:rPr>
              <w:t>time, part-time, sessional</w:t>
            </w:r>
            <w:r>
              <w:rPr>
                <w:rFonts w:ascii="Arial" w:hAnsi="Arial"/>
                <w:sz w:val="20"/>
              </w:rPr>
              <w:t>,</w:t>
            </w:r>
            <w:r w:rsidRPr="004E75F0">
              <w:rPr>
                <w:rFonts w:ascii="Arial" w:hAnsi="Arial"/>
                <w:sz w:val="20"/>
              </w:rPr>
              <w:t xml:space="preserve"> and cross</w:t>
            </w:r>
            <w:r>
              <w:rPr>
                <w:rFonts w:ascii="Arial" w:hAnsi="Arial"/>
                <w:sz w:val="20"/>
              </w:rPr>
              <w:t>-</w:t>
            </w:r>
            <w:r w:rsidRPr="004E75F0">
              <w:rPr>
                <w:rFonts w:ascii="Arial" w:hAnsi="Arial"/>
                <w:sz w:val="20"/>
              </w:rPr>
              <w:t>appointments</w:t>
            </w:r>
          </w:p>
          <w:p w:rsidR="00276F6B" w:rsidRPr="004E75F0" w:rsidRDefault="00276F6B" w:rsidP="00276F6B">
            <w:pPr>
              <w:pStyle w:val="Title"/>
              <w:numPr>
                <w:ilvl w:val="0"/>
                <w:numId w:val="14"/>
              </w:numPr>
              <w:tabs>
                <w:tab w:val="clear" w:pos="800"/>
                <w:tab w:val="num" w:pos="360"/>
              </w:tabs>
              <w:ind w:left="360"/>
              <w:jc w:val="left"/>
              <w:rPr>
                <w:rFonts w:ascii="Arial" w:hAnsi="Arial"/>
                <w:sz w:val="20"/>
              </w:rPr>
            </w:pPr>
            <w:r w:rsidRPr="004E75F0">
              <w:rPr>
                <w:rFonts w:ascii="Arial" w:hAnsi="Arial"/>
                <w:sz w:val="20"/>
              </w:rPr>
              <w:t xml:space="preserve">Profile of </w:t>
            </w:r>
            <w:r>
              <w:rPr>
                <w:rFonts w:ascii="Arial" w:hAnsi="Arial"/>
                <w:sz w:val="20"/>
              </w:rPr>
              <w:t xml:space="preserve">the </w:t>
            </w:r>
            <w:r w:rsidRPr="004E75F0">
              <w:rPr>
                <w:rFonts w:ascii="Arial" w:hAnsi="Arial"/>
                <w:sz w:val="20"/>
              </w:rPr>
              <w:t>Dean, faculty</w:t>
            </w:r>
            <w:r>
              <w:rPr>
                <w:rFonts w:ascii="Arial" w:hAnsi="Arial"/>
                <w:sz w:val="20"/>
              </w:rPr>
              <w:t>,</w:t>
            </w:r>
            <w:r w:rsidRPr="004E75F0">
              <w:rPr>
                <w:rFonts w:ascii="Arial" w:hAnsi="Arial"/>
                <w:sz w:val="20"/>
              </w:rPr>
              <w:t xml:space="preserve"> and staff associated with the program including cumulative credentials, scholarship, work-related </w:t>
            </w:r>
            <w:r>
              <w:rPr>
                <w:rFonts w:ascii="Arial" w:hAnsi="Arial"/>
                <w:sz w:val="20"/>
              </w:rPr>
              <w:t xml:space="preserve">and teaching </w:t>
            </w:r>
            <w:r w:rsidRPr="004E75F0">
              <w:rPr>
                <w:rFonts w:ascii="Arial" w:hAnsi="Arial"/>
                <w:sz w:val="20"/>
              </w:rPr>
              <w:t>experience, and expertise</w:t>
            </w:r>
            <w:r>
              <w:rPr>
                <w:rFonts w:ascii="Arial" w:hAnsi="Arial"/>
                <w:sz w:val="20"/>
              </w:rPr>
              <w:t xml:space="preserve"> in education</w:t>
            </w:r>
            <w:r w:rsidRPr="004E75F0">
              <w:rPr>
                <w:rFonts w:ascii="Arial" w:hAnsi="Arial"/>
                <w:sz w:val="20"/>
              </w:rPr>
              <w:t xml:space="preserve"> </w:t>
            </w:r>
          </w:p>
          <w:p w:rsidR="00276F6B" w:rsidRPr="004E75F0" w:rsidRDefault="00276F6B" w:rsidP="00276F6B">
            <w:pPr>
              <w:pStyle w:val="Title"/>
              <w:numPr>
                <w:ilvl w:val="0"/>
                <w:numId w:val="14"/>
              </w:numPr>
              <w:tabs>
                <w:tab w:val="clear" w:pos="800"/>
                <w:tab w:val="num" w:pos="360"/>
              </w:tabs>
              <w:ind w:left="360"/>
              <w:jc w:val="left"/>
              <w:rPr>
                <w:rFonts w:ascii="Arial" w:hAnsi="Arial"/>
                <w:sz w:val="20"/>
              </w:rPr>
            </w:pPr>
            <w:r w:rsidRPr="004E75F0">
              <w:rPr>
                <w:rFonts w:ascii="Arial" w:hAnsi="Arial"/>
                <w:sz w:val="20"/>
              </w:rPr>
              <w:t xml:space="preserve">Significant faculty or staff accomplishments such as </w:t>
            </w:r>
            <w:r>
              <w:rPr>
                <w:rFonts w:ascii="Arial" w:hAnsi="Arial"/>
                <w:sz w:val="20"/>
              </w:rPr>
              <w:t xml:space="preserve">professional recognition and </w:t>
            </w:r>
            <w:r w:rsidRPr="004E75F0">
              <w:rPr>
                <w:rFonts w:ascii="Arial" w:hAnsi="Arial"/>
                <w:sz w:val="20"/>
              </w:rPr>
              <w:t xml:space="preserve">awards, </w:t>
            </w:r>
            <w:r>
              <w:rPr>
                <w:rFonts w:ascii="Arial" w:hAnsi="Arial"/>
                <w:sz w:val="20"/>
              </w:rPr>
              <w:t xml:space="preserve">achievement of </w:t>
            </w:r>
            <w:r w:rsidRPr="004E75F0">
              <w:rPr>
                <w:rFonts w:ascii="Arial" w:hAnsi="Arial"/>
                <w:sz w:val="20"/>
              </w:rPr>
              <w:t xml:space="preserve">credentials, and </w:t>
            </w:r>
            <w:r>
              <w:rPr>
                <w:rFonts w:ascii="Arial" w:hAnsi="Arial"/>
                <w:sz w:val="20"/>
              </w:rPr>
              <w:t>appointments</w:t>
            </w:r>
          </w:p>
          <w:p w:rsidR="00276F6B" w:rsidRPr="004E75F0" w:rsidRDefault="00276F6B" w:rsidP="00276F6B">
            <w:pPr>
              <w:pStyle w:val="Title"/>
              <w:numPr>
                <w:ilvl w:val="0"/>
                <w:numId w:val="14"/>
              </w:numPr>
              <w:tabs>
                <w:tab w:val="clear" w:pos="800"/>
                <w:tab w:val="num" w:pos="360"/>
              </w:tabs>
              <w:ind w:left="360"/>
              <w:jc w:val="left"/>
              <w:rPr>
                <w:rFonts w:ascii="Arial" w:hAnsi="Arial"/>
                <w:sz w:val="20"/>
              </w:rPr>
            </w:pPr>
            <w:r w:rsidRPr="004E75F0">
              <w:rPr>
                <w:rFonts w:ascii="Arial" w:hAnsi="Arial"/>
                <w:sz w:val="20"/>
              </w:rPr>
              <w:t>Contributions to the professional community or industry by program</w:t>
            </w:r>
            <w:r>
              <w:rPr>
                <w:rFonts w:ascii="Arial" w:hAnsi="Arial"/>
                <w:sz w:val="20"/>
              </w:rPr>
              <w:t>-</w:t>
            </w:r>
            <w:r w:rsidRPr="004E75F0">
              <w:rPr>
                <w:rFonts w:ascii="Arial" w:hAnsi="Arial"/>
                <w:sz w:val="20"/>
              </w:rPr>
              <w:t xml:space="preserve">associated faculty and staff including </w:t>
            </w:r>
            <w:r>
              <w:rPr>
                <w:rFonts w:ascii="Arial" w:hAnsi="Arial"/>
                <w:sz w:val="20"/>
              </w:rPr>
              <w:t xml:space="preserve">board / committee service, </w:t>
            </w:r>
            <w:r w:rsidRPr="004E75F0">
              <w:rPr>
                <w:rFonts w:ascii="Arial" w:hAnsi="Arial"/>
                <w:sz w:val="20"/>
              </w:rPr>
              <w:t>research</w:t>
            </w:r>
            <w:r>
              <w:rPr>
                <w:rFonts w:ascii="Arial" w:hAnsi="Arial"/>
                <w:sz w:val="20"/>
              </w:rPr>
              <w:t>,</w:t>
            </w:r>
            <w:r w:rsidRPr="004E75F0">
              <w:rPr>
                <w:rFonts w:ascii="Arial" w:hAnsi="Arial"/>
                <w:sz w:val="20"/>
              </w:rPr>
              <w:t xml:space="preserve"> and presentations</w:t>
            </w:r>
            <w:r>
              <w:rPr>
                <w:rFonts w:ascii="Arial" w:hAnsi="Arial"/>
                <w:sz w:val="20"/>
              </w:rPr>
              <w:t xml:space="preserve"> / publications</w:t>
            </w:r>
          </w:p>
          <w:p w:rsidR="00276F6B" w:rsidRPr="00407567" w:rsidRDefault="00276F6B" w:rsidP="00276F6B">
            <w:pPr>
              <w:pStyle w:val="Title"/>
              <w:numPr>
                <w:ilvl w:val="0"/>
                <w:numId w:val="14"/>
              </w:numPr>
              <w:tabs>
                <w:tab w:val="clear" w:pos="800"/>
                <w:tab w:val="num" w:pos="360"/>
              </w:tabs>
              <w:ind w:left="360"/>
              <w:jc w:val="left"/>
              <w:rPr>
                <w:rFonts w:ascii="Arial" w:hAnsi="Arial"/>
                <w:sz w:val="20"/>
              </w:rPr>
            </w:pPr>
            <w:r w:rsidRPr="00407567">
              <w:rPr>
                <w:rFonts w:ascii="Arial" w:hAnsi="Arial"/>
                <w:sz w:val="20"/>
              </w:rPr>
              <w:t xml:space="preserve">Current staffing levels for the program in relation to program </w:t>
            </w:r>
          </w:p>
          <w:p w:rsidR="00276F6B" w:rsidRPr="004E75F0" w:rsidRDefault="00276F6B" w:rsidP="00276F6B">
            <w:pPr>
              <w:pStyle w:val="Title"/>
              <w:ind w:left="357" w:hanging="73"/>
              <w:jc w:val="left"/>
              <w:rPr>
                <w:rFonts w:ascii="Arial" w:hAnsi="Arial"/>
                <w:sz w:val="20"/>
              </w:rPr>
            </w:pPr>
            <w:r>
              <w:rPr>
                <w:rFonts w:ascii="Arial" w:hAnsi="Arial"/>
                <w:sz w:val="20"/>
              </w:rPr>
              <w:t xml:space="preserve"> </w:t>
            </w:r>
            <w:proofErr w:type="gramStart"/>
            <w:r>
              <w:rPr>
                <w:rFonts w:ascii="Arial" w:hAnsi="Arial"/>
                <w:sz w:val="20"/>
              </w:rPr>
              <w:t>numbers</w:t>
            </w:r>
            <w:proofErr w:type="gramEnd"/>
            <w:r>
              <w:rPr>
                <w:rFonts w:ascii="Arial" w:hAnsi="Arial"/>
                <w:sz w:val="20"/>
              </w:rPr>
              <w:t>, curriculum, delivery modes and areas of specialization / generalization</w:t>
            </w:r>
          </w:p>
          <w:p w:rsidR="00276F6B" w:rsidRPr="004E75F0" w:rsidRDefault="00276F6B" w:rsidP="00276F6B">
            <w:pPr>
              <w:pStyle w:val="Title"/>
              <w:numPr>
                <w:ilvl w:val="0"/>
                <w:numId w:val="14"/>
              </w:numPr>
              <w:tabs>
                <w:tab w:val="clear" w:pos="800"/>
                <w:tab w:val="num" w:pos="360"/>
              </w:tabs>
              <w:ind w:left="360"/>
              <w:jc w:val="left"/>
              <w:rPr>
                <w:rFonts w:ascii="Arial" w:hAnsi="Arial"/>
                <w:sz w:val="20"/>
              </w:rPr>
            </w:pPr>
            <w:r w:rsidRPr="004E75F0">
              <w:rPr>
                <w:rFonts w:ascii="Arial" w:hAnsi="Arial"/>
                <w:sz w:val="20"/>
              </w:rPr>
              <w:t xml:space="preserve">Hiring priorities over the next few years </w:t>
            </w:r>
            <w:r>
              <w:rPr>
                <w:rFonts w:ascii="Arial" w:hAnsi="Arial"/>
                <w:sz w:val="20"/>
              </w:rPr>
              <w:t>based on the above</w:t>
            </w:r>
          </w:p>
          <w:p w:rsidR="00276F6B" w:rsidRPr="004E75F0" w:rsidRDefault="00276F6B" w:rsidP="00276F6B">
            <w:pPr>
              <w:pStyle w:val="Title"/>
              <w:numPr>
                <w:ilvl w:val="0"/>
                <w:numId w:val="14"/>
              </w:numPr>
              <w:tabs>
                <w:tab w:val="clear" w:pos="800"/>
                <w:tab w:val="num" w:pos="360"/>
              </w:tabs>
              <w:ind w:left="360"/>
              <w:jc w:val="left"/>
              <w:rPr>
                <w:rFonts w:ascii="Arial" w:hAnsi="Arial"/>
                <w:b/>
                <w:sz w:val="20"/>
              </w:rPr>
            </w:pPr>
            <w:r w:rsidRPr="004E75F0">
              <w:rPr>
                <w:rFonts w:ascii="Arial" w:hAnsi="Arial"/>
                <w:sz w:val="20"/>
              </w:rPr>
              <w:lastRenderedPageBreak/>
              <w:t xml:space="preserve">Current professional development and renewal plans in relation to program or student needs </w:t>
            </w:r>
          </w:p>
          <w:p w:rsidR="00276F6B" w:rsidRPr="004E75F0" w:rsidRDefault="00276F6B" w:rsidP="00276F6B">
            <w:pPr>
              <w:tabs>
                <w:tab w:val="left" w:pos="0"/>
              </w:tabs>
              <w:ind w:left="360" w:hanging="360"/>
              <w:rPr>
                <w:b/>
                <w:sz w:val="20"/>
              </w:rPr>
            </w:pPr>
          </w:p>
        </w:tc>
        <w:tc>
          <w:tcPr>
            <w:tcW w:w="8424" w:type="dxa"/>
            <w:shd w:val="clear" w:color="auto" w:fill="auto"/>
            <w:tcMar>
              <w:top w:w="113" w:type="dxa"/>
              <w:bottom w:w="113" w:type="dxa"/>
            </w:tcMar>
          </w:tcPr>
          <w:p w:rsidR="00191F99" w:rsidRDefault="00191F99" w:rsidP="00191F99">
            <w:pPr>
              <w:ind w:hanging="18"/>
              <w:rPr>
                <w:sz w:val="20"/>
              </w:rPr>
            </w:pPr>
            <w:r>
              <w:rPr>
                <w:sz w:val="20"/>
              </w:rPr>
              <w:lastRenderedPageBreak/>
              <w:t xml:space="preserve">There </w:t>
            </w:r>
            <w:proofErr w:type="gramStart"/>
            <w:r>
              <w:rPr>
                <w:sz w:val="20"/>
              </w:rPr>
              <w:t>are no full-time faculty</w:t>
            </w:r>
            <w:proofErr w:type="gramEnd"/>
            <w:r>
              <w:rPr>
                <w:sz w:val="20"/>
              </w:rPr>
              <w:t xml:space="preserve"> associated with this program. The coordinator is a partial load professor, and the remaining faculty complement is part time. </w:t>
            </w:r>
          </w:p>
          <w:p w:rsidR="00191F99" w:rsidRDefault="00191F99" w:rsidP="00191F99">
            <w:pPr>
              <w:ind w:hanging="18"/>
              <w:rPr>
                <w:sz w:val="20"/>
              </w:rPr>
            </w:pPr>
          </w:p>
          <w:p w:rsidR="00276F6B" w:rsidRPr="00191F99" w:rsidRDefault="00276F6B" w:rsidP="00191F99">
            <w:pPr>
              <w:ind w:hanging="18"/>
              <w:rPr>
                <w:sz w:val="20"/>
              </w:rPr>
            </w:pPr>
          </w:p>
        </w:tc>
      </w:tr>
      <w:tr w:rsidR="00276F6B" w:rsidRPr="00087C96" w:rsidTr="00CA013C">
        <w:tc>
          <w:tcPr>
            <w:tcW w:w="6379" w:type="dxa"/>
            <w:shd w:val="clear" w:color="auto" w:fill="auto"/>
            <w:tcMar>
              <w:top w:w="113" w:type="dxa"/>
              <w:bottom w:w="113" w:type="dxa"/>
            </w:tcMar>
          </w:tcPr>
          <w:p w:rsidR="00276F6B" w:rsidRPr="004E75F0" w:rsidRDefault="00276F6B" w:rsidP="00276F6B">
            <w:pPr>
              <w:ind w:left="360" w:hanging="360"/>
              <w:rPr>
                <w:b/>
                <w:sz w:val="20"/>
              </w:rPr>
            </w:pPr>
            <w:r w:rsidRPr="004E75F0">
              <w:rPr>
                <w:b/>
                <w:sz w:val="20"/>
              </w:rPr>
              <w:lastRenderedPageBreak/>
              <w:t>8.2 Physical Resources</w:t>
            </w:r>
          </w:p>
          <w:p w:rsidR="00276F6B" w:rsidRPr="004E75F0" w:rsidRDefault="00276F6B" w:rsidP="00276F6B">
            <w:pPr>
              <w:ind w:left="360" w:hanging="360"/>
              <w:rPr>
                <w:b/>
                <w:sz w:val="20"/>
              </w:rPr>
            </w:pPr>
          </w:p>
          <w:p w:rsidR="00276F6B" w:rsidRDefault="00276F6B" w:rsidP="00276F6B">
            <w:pPr>
              <w:ind w:left="360" w:hanging="360"/>
              <w:rPr>
                <w:b/>
                <w:bCs/>
                <w:sz w:val="20"/>
              </w:rPr>
            </w:pPr>
            <w:r>
              <w:rPr>
                <w:b/>
                <w:bCs/>
                <w:sz w:val="20"/>
              </w:rPr>
              <w:t>Review / discuss</w:t>
            </w:r>
            <w:r w:rsidRPr="004E75F0">
              <w:rPr>
                <w:b/>
                <w:bCs/>
                <w:sz w:val="20"/>
              </w:rPr>
              <w:t>:</w:t>
            </w:r>
          </w:p>
          <w:p w:rsidR="00276F6B" w:rsidRPr="004E75F0" w:rsidRDefault="00276F6B" w:rsidP="00276F6B">
            <w:pPr>
              <w:numPr>
                <w:ilvl w:val="0"/>
                <w:numId w:val="15"/>
              </w:numPr>
              <w:tabs>
                <w:tab w:val="clear" w:pos="720"/>
                <w:tab w:val="num" w:pos="360"/>
              </w:tabs>
              <w:ind w:left="360"/>
              <w:rPr>
                <w:sz w:val="20"/>
              </w:rPr>
            </w:pPr>
            <w:r w:rsidRPr="004E75F0">
              <w:rPr>
                <w:sz w:val="20"/>
              </w:rPr>
              <w:t>Program costing information</w:t>
            </w:r>
          </w:p>
          <w:p w:rsidR="00276F6B" w:rsidRPr="004E75F0" w:rsidRDefault="00276F6B" w:rsidP="00276F6B">
            <w:pPr>
              <w:numPr>
                <w:ilvl w:val="0"/>
                <w:numId w:val="15"/>
              </w:numPr>
              <w:tabs>
                <w:tab w:val="clear" w:pos="720"/>
                <w:tab w:val="num" w:pos="360"/>
              </w:tabs>
              <w:ind w:left="360"/>
              <w:rPr>
                <w:sz w:val="20"/>
              </w:rPr>
            </w:pPr>
            <w:r w:rsidRPr="004E75F0">
              <w:rPr>
                <w:sz w:val="20"/>
              </w:rPr>
              <w:t>Scope of current program resources such as laboratory equipment, software, library holdings, or tools essential to or which enhance program delivery or student learning</w:t>
            </w:r>
          </w:p>
          <w:p w:rsidR="00276F6B" w:rsidRPr="004E75F0" w:rsidRDefault="00276F6B" w:rsidP="00276F6B">
            <w:pPr>
              <w:numPr>
                <w:ilvl w:val="0"/>
                <w:numId w:val="15"/>
              </w:numPr>
              <w:tabs>
                <w:tab w:val="clear" w:pos="720"/>
                <w:tab w:val="num" w:pos="360"/>
              </w:tabs>
              <w:ind w:left="360"/>
              <w:rPr>
                <w:sz w:val="20"/>
              </w:rPr>
            </w:pPr>
            <w:r>
              <w:rPr>
                <w:sz w:val="20"/>
              </w:rPr>
              <w:t>The a</w:t>
            </w:r>
            <w:r w:rsidRPr="004E75F0">
              <w:rPr>
                <w:sz w:val="20"/>
              </w:rPr>
              <w:t>dequacy of above resources in the context of program outcomes, program currency, and student numbers</w:t>
            </w:r>
          </w:p>
          <w:p w:rsidR="00276F6B" w:rsidRPr="004E75F0" w:rsidRDefault="00276F6B" w:rsidP="00276F6B">
            <w:pPr>
              <w:numPr>
                <w:ilvl w:val="0"/>
                <w:numId w:val="15"/>
              </w:numPr>
              <w:tabs>
                <w:tab w:val="clear" w:pos="720"/>
                <w:tab w:val="num" w:pos="360"/>
              </w:tabs>
              <w:ind w:left="360"/>
              <w:rPr>
                <w:sz w:val="20"/>
              </w:rPr>
            </w:pPr>
            <w:r w:rsidRPr="004E75F0">
              <w:rPr>
                <w:sz w:val="20"/>
              </w:rPr>
              <w:t xml:space="preserve">Program specific external revenue such as </w:t>
            </w:r>
            <w:r>
              <w:rPr>
                <w:sz w:val="20"/>
              </w:rPr>
              <w:t xml:space="preserve">sponsorships, </w:t>
            </w:r>
            <w:r w:rsidRPr="004E75F0">
              <w:rPr>
                <w:sz w:val="20"/>
              </w:rPr>
              <w:t>grants</w:t>
            </w:r>
            <w:r>
              <w:rPr>
                <w:sz w:val="20"/>
              </w:rPr>
              <w:t>,</w:t>
            </w:r>
            <w:r w:rsidRPr="004E75F0">
              <w:rPr>
                <w:sz w:val="20"/>
              </w:rPr>
              <w:t xml:space="preserve"> </w:t>
            </w:r>
            <w:r>
              <w:rPr>
                <w:sz w:val="20"/>
              </w:rPr>
              <w:t xml:space="preserve">donations </w:t>
            </w:r>
            <w:r w:rsidRPr="004E75F0">
              <w:rPr>
                <w:sz w:val="20"/>
              </w:rPr>
              <w:t>or gifts-in-kind</w:t>
            </w:r>
          </w:p>
          <w:p w:rsidR="00276F6B" w:rsidRPr="004E75F0" w:rsidRDefault="00276F6B" w:rsidP="00276F6B">
            <w:pPr>
              <w:numPr>
                <w:ilvl w:val="0"/>
                <w:numId w:val="15"/>
              </w:numPr>
              <w:tabs>
                <w:tab w:val="clear" w:pos="720"/>
                <w:tab w:val="left" w:pos="0"/>
                <w:tab w:val="num" w:pos="360"/>
              </w:tabs>
              <w:ind w:left="360"/>
              <w:rPr>
                <w:b/>
                <w:sz w:val="20"/>
              </w:rPr>
            </w:pPr>
            <w:r w:rsidRPr="004E75F0">
              <w:rPr>
                <w:sz w:val="20"/>
              </w:rPr>
              <w:t xml:space="preserve">Other externally generated </w:t>
            </w:r>
            <w:r>
              <w:rPr>
                <w:sz w:val="20"/>
              </w:rPr>
              <w:t>revenues,</w:t>
            </w:r>
            <w:r w:rsidRPr="004E75F0">
              <w:rPr>
                <w:sz w:val="20"/>
              </w:rPr>
              <w:t xml:space="preserve"> if applicable</w:t>
            </w:r>
          </w:p>
        </w:tc>
        <w:tc>
          <w:tcPr>
            <w:tcW w:w="8424" w:type="dxa"/>
            <w:shd w:val="clear" w:color="auto" w:fill="auto"/>
            <w:tcMar>
              <w:top w:w="113" w:type="dxa"/>
              <w:bottom w:w="113" w:type="dxa"/>
            </w:tcMar>
          </w:tcPr>
          <w:p w:rsidR="00276F6B" w:rsidRDefault="00276F6B" w:rsidP="002B1456">
            <w:pPr>
              <w:ind w:left="360" w:hanging="360"/>
              <w:rPr>
                <w:b/>
                <w:szCs w:val="22"/>
              </w:rPr>
            </w:pPr>
          </w:p>
          <w:p w:rsidR="001C1120" w:rsidRDefault="001C1120" w:rsidP="001C1120">
            <w:pPr>
              <w:ind w:left="360" w:hanging="360"/>
              <w:rPr>
                <w:sz w:val="20"/>
                <w:lang w:eastAsia="en-CA"/>
              </w:rPr>
            </w:pPr>
            <w:r w:rsidRPr="00344E7A">
              <w:rPr>
                <w:sz w:val="20"/>
                <w:lang w:eastAsia="en-CA"/>
              </w:rPr>
              <w:t xml:space="preserve">This program contributes </w:t>
            </w:r>
            <w:r>
              <w:rPr>
                <w:sz w:val="20"/>
                <w:lang w:eastAsia="en-CA"/>
              </w:rPr>
              <w:t>18.6</w:t>
            </w:r>
            <w:r w:rsidRPr="00344E7A">
              <w:rPr>
                <w:sz w:val="20"/>
                <w:lang w:eastAsia="en-CA"/>
              </w:rPr>
              <w:t xml:space="preserve">% to the college. </w:t>
            </w:r>
          </w:p>
          <w:p w:rsidR="001C1120" w:rsidRDefault="001C1120" w:rsidP="001C1120">
            <w:pPr>
              <w:ind w:left="360" w:hanging="360"/>
              <w:rPr>
                <w:sz w:val="20"/>
                <w:lang w:eastAsia="en-CA"/>
              </w:rPr>
            </w:pPr>
          </w:p>
          <w:p w:rsidR="001C1120" w:rsidRPr="00344E7A" w:rsidRDefault="001C1120" w:rsidP="001C1120">
            <w:pPr>
              <w:ind w:left="34"/>
              <w:rPr>
                <w:sz w:val="20"/>
                <w:lang w:eastAsia="en-CA"/>
              </w:rPr>
            </w:pPr>
            <w:r>
              <w:rPr>
                <w:sz w:val="20"/>
                <w:lang w:eastAsia="en-CA"/>
              </w:rPr>
              <w:t xml:space="preserve">The recent move to the Annex learning space has been excellent—it’s a great opportunity for students to get hands on practical experiences. </w:t>
            </w:r>
          </w:p>
          <w:p w:rsidR="001C1120" w:rsidRPr="00344E7A" w:rsidRDefault="001C1120" w:rsidP="001C1120">
            <w:pPr>
              <w:ind w:left="360" w:hanging="360"/>
              <w:rPr>
                <w:sz w:val="20"/>
                <w:lang w:eastAsia="en-CA"/>
              </w:rPr>
            </w:pPr>
          </w:p>
          <w:p w:rsidR="00191F99" w:rsidRPr="00087C96" w:rsidRDefault="00191F99" w:rsidP="002B1456">
            <w:pPr>
              <w:ind w:left="360" w:hanging="360"/>
              <w:rPr>
                <w:b/>
                <w:szCs w:val="22"/>
              </w:rPr>
            </w:pPr>
          </w:p>
        </w:tc>
      </w:tr>
    </w:tbl>
    <w:p w:rsidR="00276F6B" w:rsidRPr="00ED4E12" w:rsidRDefault="00276F6B" w:rsidP="00276F6B">
      <w:pPr>
        <w:rPr>
          <w:lang w:val="en-CA"/>
        </w:rPr>
      </w:pPr>
    </w:p>
    <w:p w:rsidR="00276F6B" w:rsidRDefault="00276F6B" w:rsidP="00276F6B">
      <w:pPr>
        <w:rPr>
          <w:b/>
        </w:rPr>
      </w:pPr>
    </w:p>
    <w:p w:rsidR="00276F6B" w:rsidRDefault="00276F6B" w:rsidP="00276F6B">
      <w:pPr>
        <w:rPr>
          <w:b/>
        </w:rPr>
      </w:pPr>
    </w:p>
    <w:p w:rsidR="00276F6B" w:rsidRPr="00CA49A8" w:rsidRDefault="00276F6B" w:rsidP="00276F6B">
      <w:pPr>
        <w:rPr>
          <w:b/>
        </w:rPr>
        <w:sectPr w:rsidR="00276F6B" w:rsidRPr="00CA49A8" w:rsidSect="00276F6B">
          <w:pgSz w:w="15840" w:h="12240" w:orient="landscape"/>
          <w:pgMar w:top="1979" w:right="1440" w:bottom="851" w:left="2520" w:header="709" w:footer="709" w:gutter="0"/>
          <w:cols w:space="708"/>
          <w:docGrid w:linePitch="360"/>
        </w:sectPr>
      </w:pPr>
    </w:p>
    <w:p w:rsidR="00276F6B" w:rsidRDefault="00276F6B" w:rsidP="00276F6B">
      <w:pPr>
        <w:rPr>
          <w:b/>
        </w:rPr>
      </w:pPr>
      <w:r w:rsidRPr="00DC1597">
        <w:rPr>
          <w:b/>
        </w:rPr>
        <w:lastRenderedPageBreak/>
        <w:t>Based on a</w:t>
      </w:r>
      <w:r>
        <w:rPr>
          <w:b/>
        </w:rPr>
        <w:t>n analysis of your key findings,</w:t>
      </w:r>
      <w:r w:rsidRPr="00DC1597">
        <w:rPr>
          <w:b/>
        </w:rPr>
        <w:t xml:space="preserve"> identify areas that require attention. </w:t>
      </w:r>
    </w:p>
    <w:p w:rsidR="00276F6B" w:rsidRDefault="00276F6B" w:rsidP="00276F6B">
      <w:pPr>
        <w:rPr>
          <w:b/>
        </w:rPr>
      </w:pPr>
    </w:p>
    <w:p w:rsidR="00276F6B" w:rsidRPr="00DC1597" w:rsidRDefault="00276F6B" w:rsidP="00276F6B">
      <w:pPr>
        <w:rPr>
          <w:b/>
        </w:rPr>
      </w:pPr>
      <w:r>
        <w:rPr>
          <w:b/>
        </w:rPr>
        <w:t xml:space="preserve">Develop </w:t>
      </w:r>
      <w:r w:rsidRPr="00DC1597">
        <w:rPr>
          <w:b/>
        </w:rPr>
        <w:t xml:space="preserve">recommendations and an action plan that reflects the program’s priorities </w:t>
      </w:r>
      <w:r>
        <w:rPr>
          <w:b/>
        </w:rPr>
        <w:t xml:space="preserve">and </w:t>
      </w:r>
      <w:r w:rsidRPr="00DC1597">
        <w:rPr>
          <w:b/>
        </w:rPr>
        <w:t xml:space="preserve">its capacity to achieve them. </w:t>
      </w:r>
    </w:p>
    <w:p w:rsidR="00276F6B" w:rsidRPr="00DC1597" w:rsidRDefault="00276F6B" w:rsidP="00276F6B">
      <w:pPr>
        <w:rPr>
          <w:b/>
        </w:rPr>
      </w:pPr>
    </w:p>
    <w:p w:rsidR="008D0BF2" w:rsidRPr="00F56CCC" w:rsidRDefault="008D0BF2" w:rsidP="008D0B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0" w:name="_GoBack"/>
      <w:r w:rsidRPr="00F56CCC">
        <w:rPr>
          <w:szCs w:val="22"/>
          <w:u w:val="single"/>
        </w:rPr>
        <w:t>Recommendations Building on Program Strengths</w:t>
      </w:r>
      <w:r w:rsidRPr="00F56CCC">
        <w:rPr>
          <w:szCs w:val="22"/>
        </w:rPr>
        <w:t>:</w:t>
      </w:r>
    </w:p>
    <w:p w:rsidR="008D0BF2" w:rsidRPr="00F56CCC" w:rsidRDefault="008D0BF2" w:rsidP="008D0B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D0BF2" w:rsidRPr="00F56CCC" w:rsidRDefault="008D0BF2" w:rsidP="008D0BF2">
      <w:pPr>
        <w:pStyle w:val="ListParagraph"/>
        <w:numPr>
          <w:ilvl w:val="0"/>
          <w:numId w:val="33"/>
        </w:numPr>
        <w:contextualSpacing/>
        <w:rPr>
          <w:szCs w:val="22"/>
        </w:rPr>
      </w:pPr>
      <w:r w:rsidRPr="00F56CCC">
        <w:t xml:space="preserve">Change the title of the program from Emergency Management to Emergency Management and Business Continuity and revise Program Outcomes to reflect this </w:t>
      </w:r>
      <w:r w:rsidRPr="00F56CCC">
        <w:rPr>
          <w:szCs w:val="22"/>
        </w:rPr>
        <w:t>inclusion</w:t>
      </w:r>
    </w:p>
    <w:p w:rsidR="008D0BF2" w:rsidRPr="00F56CCC" w:rsidRDefault="008D0BF2" w:rsidP="008D0BF2">
      <w:pPr>
        <w:pStyle w:val="ListParagraph"/>
        <w:numPr>
          <w:ilvl w:val="0"/>
          <w:numId w:val="33"/>
        </w:numPr>
        <w:contextualSpacing/>
        <w:rPr>
          <w:szCs w:val="22"/>
        </w:rPr>
      </w:pPr>
      <w:r w:rsidRPr="00F56CCC">
        <w:rPr>
          <w:szCs w:val="22"/>
        </w:rPr>
        <w:t>Explore the possibilities for a co-op and/or apprenticeship opportunity for students</w:t>
      </w:r>
    </w:p>
    <w:p w:rsidR="008D0BF2" w:rsidRPr="00F56CCC" w:rsidRDefault="008D0BF2" w:rsidP="008D0BF2">
      <w:pPr>
        <w:pStyle w:val="ListParagraph"/>
        <w:numPr>
          <w:ilvl w:val="0"/>
          <w:numId w:val="33"/>
        </w:numPr>
        <w:contextualSpacing/>
        <w:rPr>
          <w:szCs w:val="22"/>
        </w:rPr>
      </w:pPr>
      <w:r w:rsidRPr="00F56CCC">
        <w:rPr>
          <w:szCs w:val="22"/>
        </w:rPr>
        <w:t xml:space="preserve">Strengthen the pathway between Fleming’s Justice and Business programs and the EMP post grad certificate </w:t>
      </w:r>
    </w:p>
    <w:p w:rsidR="008D0BF2" w:rsidRPr="00F56CCC" w:rsidRDefault="008D0BF2" w:rsidP="008D0BF2">
      <w:pPr>
        <w:pStyle w:val="ListParagraph"/>
        <w:numPr>
          <w:ilvl w:val="0"/>
          <w:numId w:val="33"/>
        </w:numPr>
        <w:contextualSpacing/>
        <w:rPr>
          <w:szCs w:val="22"/>
        </w:rPr>
      </w:pPr>
      <w:r w:rsidRPr="00F56CCC">
        <w:rPr>
          <w:szCs w:val="22"/>
        </w:rPr>
        <w:t>Work with other Justice programs in the development and implementation of a “Skills for Justice” scenario room</w:t>
      </w:r>
    </w:p>
    <w:p w:rsidR="008D0BF2" w:rsidRPr="00F56CCC" w:rsidRDefault="008D0BF2" w:rsidP="008D0BF2">
      <w:pPr>
        <w:pStyle w:val="ListParagraph"/>
        <w:numPr>
          <w:ilvl w:val="0"/>
          <w:numId w:val="33"/>
        </w:numPr>
        <w:contextualSpacing/>
      </w:pPr>
      <w:r w:rsidRPr="00F56CCC">
        <w:rPr>
          <w:szCs w:val="22"/>
        </w:rPr>
        <w:t xml:space="preserve">Develop </w:t>
      </w:r>
      <w:r w:rsidRPr="00F56CCC">
        <w:t>relationship and explore educational opportunities with Seneca’s Air Flight School coming to the Peterborough Airport</w:t>
      </w:r>
    </w:p>
    <w:p w:rsidR="008D0BF2" w:rsidRPr="00F56CCC" w:rsidRDefault="008D0BF2" w:rsidP="008D0BF2">
      <w:pPr>
        <w:pStyle w:val="ListParagraph"/>
        <w:numPr>
          <w:ilvl w:val="0"/>
          <w:numId w:val="33"/>
        </w:numPr>
        <w:contextualSpacing/>
      </w:pPr>
      <w:r w:rsidRPr="00F56CCC">
        <w:t>Update website and develop social media presence as a way to attract strong student candidates and share success stories of program and graduates</w:t>
      </w:r>
    </w:p>
    <w:p w:rsidR="008D0BF2" w:rsidRPr="00F56CCC" w:rsidRDefault="008D0BF2" w:rsidP="008D0B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D0BF2" w:rsidRPr="00F56CCC" w:rsidRDefault="008D0BF2" w:rsidP="008D0B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F56CCC">
        <w:rPr>
          <w:szCs w:val="22"/>
          <w:u w:val="single"/>
        </w:rPr>
        <w:t>Recommendations Developed to Address Gaps Identified</w:t>
      </w:r>
      <w:r w:rsidRPr="00F56CCC">
        <w:rPr>
          <w:szCs w:val="22"/>
        </w:rPr>
        <w:t>:</w:t>
      </w:r>
    </w:p>
    <w:p w:rsidR="008D0BF2" w:rsidRPr="00F56CCC" w:rsidRDefault="008D0BF2" w:rsidP="008D0B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8D0BF2" w:rsidRPr="00F56CCC" w:rsidRDefault="008D0BF2" w:rsidP="008D0BF2">
      <w:pPr>
        <w:pStyle w:val="ListParagraph"/>
        <w:numPr>
          <w:ilvl w:val="0"/>
          <w:numId w:val="32"/>
        </w:numPr>
        <w:contextualSpacing/>
      </w:pPr>
      <w:r w:rsidRPr="00F56CCC">
        <w:t xml:space="preserve">Review assessments across the program to ensure an effective and relevant combination of assessment strategies </w:t>
      </w:r>
    </w:p>
    <w:p w:rsidR="008D0BF2" w:rsidRPr="00F56CCC" w:rsidRDefault="008D0BF2" w:rsidP="008D0BF2">
      <w:pPr>
        <w:pStyle w:val="ListParagraph"/>
        <w:numPr>
          <w:ilvl w:val="0"/>
          <w:numId w:val="32"/>
        </w:numPr>
        <w:contextualSpacing/>
      </w:pPr>
      <w:r w:rsidRPr="00F56CCC">
        <w:t xml:space="preserve">Explore Continuing-Education opportunities for elements of the program to be delivered as either continuing education or contract training opportunities. </w:t>
      </w:r>
    </w:p>
    <w:p w:rsidR="008D0BF2" w:rsidRPr="00F56CCC" w:rsidRDefault="008D0BF2" w:rsidP="008D0BF2">
      <w:pPr>
        <w:pStyle w:val="ListParagraph"/>
        <w:numPr>
          <w:ilvl w:val="1"/>
          <w:numId w:val="32"/>
        </w:numPr>
        <w:contextualSpacing/>
      </w:pPr>
      <w:r w:rsidRPr="00F56CCC">
        <w:t xml:space="preserve">For example, blended learning options that would be attractive to part-time or remote students, or an Emergency Management outreach program that could provide customized contract training to community partners in police (Peterborough Lakefield Community Police), fire (Eastern Ontario Fire Service), healthcare (Peterborough and Cobourg hospitals), etc. </w:t>
      </w:r>
    </w:p>
    <w:p w:rsidR="008D0BF2" w:rsidRPr="00F56CCC" w:rsidRDefault="008D0BF2" w:rsidP="008D0BF2">
      <w:pPr>
        <w:pStyle w:val="ListParagraph"/>
        <w:numPr>
          <w:ilvl w:val="0"/>
          <w:numId w:val="32"/>
        </w:numPr>
        <w:contextualSpacing/>
      </w:pPr>
      <w:r w:rsidRPr="00F56CCC">
        <w:t>Develop a relationship and potential pathway with York University’s Master of Arts in Disaster and Emergency Management</w:t>
      </w:r>
    </w:p>
    <w:bookmarkEnd w:id="0"/>
    <w:p w:rsidR="00F0505A" w:rsidRDefault="00F0505A"/>
    <w:p w:rsidR="0024271E" w:rsidRDefault="0024271E"/>
    <w:p w:rsidR="0024271E" w:rsidRDefault="0024271E"/>
    <w:p w:rsidR="0024271E" w:rsidRDefault="0024271E"/>
    <w:p w:rsidR="0024271E" w:rsidRDefault="0024271E"/>
    <w:p w:rsidR="0024271E" w:rsidRDefault="0024271E"/>
    <w:p w:rsidR="0024271E" w:rsidRDefault="0024271E"/>
    <w:p w:rsidR="0024271E" w:rsidRDefault="0024271E"/>
    <w:p w:rsidR="0024271E" w:rsidRDefault="0024271E"/>
    <w:p w:rsidR="0024271E" w:rsidRDefault="0024271E"/>
    <w:p w:rsidR="0024271E" w:rsidRDefault="0024271E"/>
    <w:p w:rsidR="0024271E" w:rsidRDefault="0024271E"/>
    <w:p w:rsidR="0024271E" w:rsidRDefault="0024271E"/>
    <w:p w:rsidR="0024271E" w:rsidRDefault="0024271E"/>
    <w:p w:rsidR="0024271E" w:rsidRDefault="0024271E"/>
    <w:p w:rsidR="0024271E" w:rsidRDefault="0024271E"/>
    <w:p w:rsidR="0024271E" w:rsidRDefault="0024271E"/>
    <w:p w:rsidR="0024271E" w:rsidRDefault="0024271E">
      <w:r w:rsidRPr="0024271E">
        <w:drawing>
          <wp:inline distT="0" distB="0" distL="0" distR="0" wp14:anchorId="37C892F7" wp14:editId="24BAD810">
            <wp:extent cx="5974596" cy="71933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77342" cy="7196685"/>
                    </a:xfrm>
                    <a:prstGeom prst="rect">
                      <a:avLst/>
                    </a:prstGeom>
                  </pic:spPr>
                </pic:pic>
              </a:graphicData>
            </a:graphic>
          </wp:inline>
        </w:drawing>
      </w:r>
    </w:p>
    <w:p w:rsidR="0024271E" w:rsidRDefault="0024271E"/>
    <w:p w:rsidR="0024271E" w:rsidRDefault="0024271E"/>
    <w:p w:rsidR="0024271E" w:rsidRDefault="0024271E"/>
    <w:p w:rsidR="0024271E" w:rsidRDefault="0024271E"/>
    <w:p w:rsidR="0024271E" w:rsidRDefault="0024271E"/>
    <w:p w:rsidR="0024271E" w:rsidRDefault="0024271E"/>
    <w:p w:rsidR="0024271E" w:rsidRDefault="0024271E">
      <w:r w:rsidRPr="0024271E">
        <w:drawing>
          <wp:inline distT="0" distB="0" distL="0" distR="0" wp14:anchorId="00B526CD" wp14:editId="409E3FA5">
            <wp:extent cx="5486400" cy="2634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2634175"/>
                    </a:xfrm>
                    <a:prstGeom prst="rect">
                      <a:avLst/>
                    </a:prstGeom>
                  </pic:spPr>
                </pic:pic>
              </a:graphicData>
            </a:graphic>
          </wp:inline>
        </w:drawing>
      </w:r>
    </w:p>
    <w:p w:rsidR="0024271E" w:rsidRDefault="0024271E"/>
    <w:p w:rsidR="0024271E" w:rsidRDefault="0024271E"/>
    <w:p w:rsidR="0024271E" w:rsidRDefault="0024271E"/>
    <w:p w:rsidR="0024271E" w:rsidRDefault="0024271E"/>
    <w:p w:rsidR="0024271E" w:rsidRDefault="0024271E"/>
    <w:p w:rsidR="0024271E" w:rsidRDefault="0024271E">
      <w:r w:rsidRPr="0024271E">
        <w:drawing>
          <wp:inline distT="0" distB="0" distL="0" distR="0" wp14:anchorId="1C9DFC15" wp14:editId="73DC7A62">
            <wp:extent cx="5486400" cy="26757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2675792"/>
                    </a:xfrm>
                    <a:prstGeom prst="rect">
                      <a:avLst/>
                    </a:prstGeom>
                  </pic:spPr>
                </pic:pic>
              </a:graphicData>
            </a:graphic>
          </wp:inline>
        </w:drawing>
      </w:r>
    </w:p>
    <w:p w:rsidR="009D0A82" w:rsidRDefault="009D0A82"/>
    <w:p w:rsidR="009D0A82" w:rsidRDefault="009D0A82"/>
    <w:sectPr w:rsidR="009D0A82" w:rsidSect="00EE429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71E" w:rsidRDefault="0024271E">
      <w:r>
        <w:separator/>
      </w:r>
    </w:p>
  </w:endnote>
  <w:endnote w:type="continuationSeparator" w:id="0">
    <w:p w:rsidR="0024271E" w:rsidRDefault="0024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71E" w:rsidRDefault="0024271E">
      <w:r>
        <w:separator/>
      </w:r>
    </w:p>
  </w:footnote>
  <w:footnote w:type="continuationSeparator" w:id="0">
    <w:p w:rsidR="0024271E" w:rsidRDefault="0024271E">
      <w:r>
        <w:continuationSeparator/>
      </w:r>
    </w:p>
  </w:footnote>
  <w:footnote w:id="1">
    <w:p w:rsidR="0024271E" w:rsidRPr="008B2279" w:rsidRDefault="0024271E" w:rsidP="00AE5FC9">
      <w:pPr>
        <w:autoSpaceDE w:val="0"/>
        <w:autoSpaceDN w:val="0"/>
        <w:adjustRightInd w:val="0"/>
        <w:ind w:left="-1843"/>
        <w:rPr>
          <w:lang w:val="en-CA"/>
        </w:rPr>
      </w:pPr>
      <w:r>
        <w:rPr>
          <w:rStyle w:val="FootnoteReference"/>
        </w:rPr>
        <w:footnoteRef/>
      </w:r>
      <w:r>
        <w:t xml:space="preserve"> </w:t>
      </w:r>
      <w:r>
        <w:rPr>
          <w:rFonts w:ascii="Times New Roman" w:hAnsi="Times New Roman" w:cs="Times New Roman"/>
          <w:sz w:val="18"/>
          <w:szCs w:val="18"/>
          <w:lang w:val="en-CA"/>
        </w:rPr>
        <w:t xml:space="preserve">"Policy </w:t>
      </w:r>
      <w:proofErr w:type="gramStart"/>
      <w:r>
        <w:rPr>
          <w:rFonts w:ascii="Times New Roman" w:hAnsi="Times New Roman" w:cs="Times New Roman"/>
          <w:sz w:val="18"/>
          <w:szCs w:val="18"/>
          <w:lang w:val="en-CA"/>
        </w:rPr>
        <w:t>And</w:t>
      </w:r>
      <w:proofErr w:type="gramEnd"/>
      <w:r>
        <w:rPr>
          <w:rFonts w:ascii="Times New Roman" w:hAnsi="Times New Roman" w:cs="Times New Roman"/>
          <w:sz w:val="18"/>
          <w:szCs w:val="18"/>
          <w:lang w:val="en-CA"/>
        </w:rPr>
        <w:t xml:space="preserve"> Program Officers, Researchers And Consultants (416)." </w:t>
      </w:r>
      <w:proofErr w:type="gramStart"/>
      <w:r>
        <w:rPr>
          <w:rFonts w:ascii="Times New Roman" w:hAnsi="Times New Roman" w:cs="Times New Roman"/>
          <w:i/>
          <w:iCs/>
          <w:sz w:val="18"/>
          <w:szCs w:val="18"/>
          <w:lang w:val="en-CA"/>
        </w:rPr>
        <w:t>Human Resources and Skills Development Canada</w:t>
      </w:r>
      <w:r>
        <w:rPr>
          <w:rFonts w:ascii="Times New Roman" w:hAnsi="Times New Roman" w:cs="Times New Roman"/>
          <w:sz w:val="18"/>
          <w:szCs w:val="18"/>
          <w:lang w:val="en-CA"/>
        </w:rPr>
        <w:t>.</w:t>
      </w:r>
      <w:proofErr w:type="gramEnd"/>
      <w:r>
        <w:rPr>
          <w:rFonts w:ascii="Times New Roman" w:hAnsi="Times New Roman" w:cs="Times New Roman"/>
          <w:sz w:val="18"/>
          <w:szCs w:val="18"/>
          <w:lang w:val="en-CA"/>
        </w:rPr>
        <w:t xml:space="preserve"> </w:t>
      </w:r>
      <w:proofErr w:type="spellStart"/>
      <w:proofErr w:type="gramStart"/>
      <w:r>
        <w:rPr>
          <w:rFonts w:ascii="Times New Roman" w:hAnsi="Times New Roman" w:cs="Times New Roman"/>
          <w:sz w:val="18"/>
          <w:szCs w:val="18"/>
          <w:lang w:val="en-CA"/>
        </w:rPr>
        <w:t>N.p</w:t>
      </w:r>
      <w:proofErr w:type="spellEnd"/>
      <w:proofErr w:type="gramEnd"/>
      <w:r>
        <w:rPr>
          <w:rFonts w:ascii="Times New Roman" w:hAnsi="Times New Roman" w:cs="Times New Roman"/>
          <w:sz w:val="18"/>
          <w:szCs w:val="18"/>
          <w:lang w:val="en-CA"/>
        </w:rPr>
        <w:t xml:space="preserve">., </w:t>
      </w:r>
      <w:proofErr w:type="spellStart"/>
      <w:r>
        <w:rPr>
          <w:rFonts w:ascii="Times New Roman" w:hAnsi="Times New Roman" w:cs="Times New Roman"/>
          <w:sz w:val="18"/>
          <w:szCs w:val="18"/>
          <w:lang w:val="en-CA"/>
        </w:rPr>
        <w:t>n.d.</w:t>
      </w:r>
      <w:proofErr w:type="spellEnd"/>
      <w:r>
        <w:rPr>
          <w:rFonts w:ascii="Times New Roman" w:hAnsi="Times New Roman" w:cs="Times New Roman"/>
          <w:sz w:val="18"/>
          <w:szCs w:val="18"/>
          <w:lang w:val="en-CA"/>
        </w:rPr>
        <w:t xml:space="preserve"> Web. 17 Aug. 2012. &lt;http://www23.hrsdc.gc.ca/occupationsummarydetail.jsp?&amp;tid=60&gt;.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DC0"/>
    <w:multiLevelType w:val="hybridMultilevel"/>
    <w:tmpl w:val="AE9AEB4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3">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0CF96194"/>
    <w:multiLevelType w:val="hybridMultilevel"/>
    <w:tmpl w:val="8466B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4F064FA"/>
    <w:multiLevelType w:val="hybridMultilevel"/>
    <w:tmpl w:val="4496C1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33E76C49"/>
    <w:multiLevelType w:val="hybridMultilevel"/>
    <w:tmpl w:val="18B40274"/>
    <w:lvl w:ilvl="0" w:tplc="561836B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CAB3786"/>
    <w:multiLevelType w:val="hybridMultilevel"/>
    <w:tmpl w:val="BF0E2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29975C5"/>
    <w:multiLevelType w:val="hybridMultilevel"/>
    <w:tmpl w:val="BFE652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B40213"/>
    <w:multiLevelType w:val="hybridMultilevel"/>
    <w:tmpl w:val="A0E2A9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6540069F"/>
    <w:multiLevelType w:val="hybridMultilevel"/>
    <w:tmpl w:val="4992D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69B179B"/>
    <w:multiLevelType w:val="hybridMultilevel"/>
    <w:tmpl w:val="D6B46248"/>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24">
    <w:nsid w:val="672F54C2"/>
    <w:multiLevelType w:val="hybridMultilevel"/>
    <w:tmpl w:val="BEA8D29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67712BEA"/>
    <w:multiLevelType w:val="multilevel"/>
    <w:tmpl w:val="E246229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6DE66465"/>
    <w:multiLevelType w:val="hybridMultilevel"/>
    <w:tmpl w:val="8896448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6E0E5A7B"/>
    <w:multiLevelType w:val="hybridMultilevel"/>
    <w:tmpl w:val="2A1CBD74"/>
    <w:lvl w:ilvl="0" w:tplc="561836BC">
      <w:start w:val="1"/>
      <w:numFmt w:val="decimal"/>
      <w:lvlText w:val="%1)"/>
      <w:lvlJc w:val="left"/>
      <w:pPr>
        <w:ind w:left="1080" w:hanging="72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AAF6BC8"/>
    <w:multiLevelType w:val="hybridMultilevel"/>
    <w:tmpl w:val="A7A87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5"/>
  </w:num>
  <w:num w:numId="3">
    <w:abstractNumId w:val="23"/>
  </w:num>
  <w:num w:numId="4">
    <w:abstractNumId w:val="27"/>
  </w:num>
  <w:num w:numId="5">
    <w:abstractNumId w:val="15"/>
  </w:num>
  <w:num w:numId="6">
    <w:abstractNumId w:val="9"/>
  </w:num>
  <w:num w:numId="7">
    <w:abstractNumId w:val="8"/>
  </w:num>
  <w:num w:numId="8">
    <w:abstractNumId w:val="3"/>
  </w:num>
  <w:num w:numId="9">
    <w:abstractNumId w:val="19"/>
  </w:num>
  <w:num w:numId="10">
    <w:abstractNumId w:val="6"/>
  </w:num>
  <w:num w:numId="11">
    <w:abstractNumId w:val="29"/>
  </w:num>
  <w:num w:numId="12">
    <w:abstractNumId w:val="13"/>
  </w:num>
  <w:num w:numId="13">
    <w:abstractNumId w:val="32"/>
  </w:num>
  <w:num w:numId="14">
    <w:abstractNumId w:val="2"/>
  </w:num>
  <w:num w:numId="15">
    <w:abstractNumId w:val="26"/>
  </w:num>
  <w:num w:numId="16">
    <w:abstractNumId w:val="0"/>
  </w:num>
  <w:num w:numId="17">
    <w:abstractNumId w:val="30"/>
  </w:num>
  <w:num w:numId="18">
    <w:abstractNumId w:val="7"/>
  </w:num>
  <w:num w:numId="19">
    <w:abstractNumId w:val="11"/>
  </w:num>
  <w:num w:numId="20">
    <w:abstractNumId w:val="24"/>
  </w:num>
  <w:num w:numId="21">
    <w:abstractNumId w:val="16"/>
  </w:num>
  <w:num w:numId="22">
    <w:abstractNumId w:val="1"/>
  </w:num>
  <w:num w:numId="23">
    <w:abstractNumId w:val="21"/>
  </w:num>
  <w:num w:numId="24">
    <w:abstractNumId w:val="10"/>
  </w:num>
  <w:num w:numId="25">
    <w:abstractNumId w:val="4"/>
  </w:num>
  <w:num w:numId="26">
    <w:abstractNumId w:val="18"/>
  </w:num>
  <w:num w:numId="27">
    <w:abstractNumId w:val="14"/>
  </w:num>
  <w:num w:numId="28">
    <w:abstractNumId w:val="5"/>
  </w:num>
  <w:num w:numId="29">
    <w:abstractNumId w:val="22"/>
  </w:num>
  <w:num w:numId="30">
    <w:abstractNumId w:val="20"/>
  </w:num>
  <w:num w:numId="31">
    <w:abstractNumId w:val="31"/>
  </w:num>
  <w:num w:numId="32">
    <w:abstractNumId w:val="28"/>
  </w:num>
  <w:num w:numId="33">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6F6B"/>
    <w:rsid w:val="00014FB2"/>
    <w:rsid w:val="00061498"/>
    <w:rsid w:val="0008014B"/>
    <w:rsid w:val="000B32E2"/>
    <w:rsid w:val="000B7011"/>
    <w:rsid w:val="000C56F5"/>
    <w:rsid w:val="000E0A9C"/>
    <w:rsid w:val="000E3241"/>
    <w:rsid w:val="00107D4F"/>
    <w:rsid w:val="00117E58"/>
    <w:rsid w:val="00134487"/>
    <w:rsid w:val="00191F99"/>
    <w:rsid w:val="001A4B3B"/>
    <w:rsid w:val="001B3DA3"/>
    <w:rsid w:val="001C1120"/>
    <w:rsid w:val="001D312A"/>
    <w:rsid w:val="001E066C"/>
    <w:rsid w:val="001E143B"/>
    <w:rsid w:val="001E1FCA"/>
    <w:rsid w:val="001E7260"/>
    <w:rsid w:val="00212468"/>
    <w:rsid w:val="0021625B"/>
    <w:rsid w:val="00220BD0"/>
    <w:rsid w:val="00227725"/>
    <w:rsid w:val="00237B30"/>
    <w:rsid w:val="0024271E"/>
    <w:rsid w:val="00275BF1"/>
    <w:rsid w:val="00276F6B"/>
    <w:rsid w:val="00280061"/>
    <w:rsid w:val="00290BED"/>
    <w:rsid w:val="002B1456"/>
    <w:rsid w:val="002B2722"/>
    <w:rsid w:val="002E69B4"/>
    <w:rsid w:val="002F4271"/>
    <w:rsid w:val="002F76CD"/>
    <w:rsid w:val="00302918"/>
    <w:rsid w:val="00310A44"/>
    <w:rsid w:val="00320D60"/>
    <w:rsid w:val="00351D99"/>
    <w:rsid w:val="0035387D"/>
    <w:rsid w:val="00367508"/>
    <w:rsid w:val="00395C52"/>
    <w:rsid w:val="003B06CE"/>
    <w:rsid w:val="003C037D"/>
    <w:rsid w:val="003D065F"/>
    <w:rsid w:val="003D7799"/>
    <w:rsid w:val="003E355B"/>
    <w:rsid w:val="003E6FE4"/>
    <w:rsid w:val="00407567"/>
    <w:rsid w:val="00443F16"/>
    <w:rsid w:val="00452047"/>
    <w:rsid w:val="00463E89"/>
    <w:rsid w:val="00483545"/>
    <w:rsid w:val="004B2ADC"/>
    <w:rsid w:val="004E4BAB"/>
    <w:rsid w:val="0051755B"/>
    <w:rsid w:val="00526608"/>
    <w:rsid w:val="005757CA"/>
    <w:rsid w:val="00582FE1"/>
    <w:rsid w:val="00584ED5"/>
    <w:rsid w:val="00592AF2"/>
    <w:rsid w:val="005A3C3C"/>
    <w:rsid w:val="005A6438"/>
    <w:rsid w:val="005C572E"/>
    <w:rsid w:val="005D7561"/>
    <w:rsid w:val="005F07A4"/>
    <w:rsid w:val="005F5C69"/>
    <w:rsid w:val="00606D1B"/>
    <w:rsid w:val="00630E7F"/>
    <w:rsid w:val="0063392E"/>
    <w:rsid w:val="00641BCA"/>
    <w:rsid w:val="00687F62"/>
    <w:rsid w:val="006C2530"/>
    <w:rsid w:val="006C6F81"/>
    <w:rsid w:val="006E1221"/>
    <w:rsid w:val="006F2123"/>
    <w:rsid w:val="00700667"/>
    <w:rsid w:val="00705978"/>
    <w:rsid w:val="00751966"/>
    <w:rsid w:val="007608D0"/>
    <w:rsid w:val="00771FE7"/>
    <w:rsid w:val="007A17A0"/>
    <w:rsid w:val="007B14A5"/>
    <w:rsid w:val="007B5360"/>
    <w:rsid w:val="007B565E"/>
    <w:rsid w:val="007E5041"/>
    <w:rsid w:val="0082741F"/>
    <w:rsid w:val="00850E64"/>
    <w:rsid w:val="008554AC"/>
    <w:rsid w:val="00867055"/>
    <w:rsid w:val="0086756E"/>
    <w:rsid w:val="008B2279"/>
    <w:rsid w:val="008C3FAF"/>
    <w:rsid w:val="008D0BF2"/>
    <w:rsid w:val="008D4330"/>
    <w:rsid w:val="008E15F0"/>
    <w:rsid w:val="008E56D2"/>
    <w:rsid w:val="008F6E33"/>
    <w:rsid w:val="008F70F8"/>
    <w:rsid w:val="00906CCB"/>
    <w:rsid w:val="009118EC"/>
    <w:rsid w:val="009272A8"/>
    <w:rsid w:val="009474CC"/>
    <w:rsid w:val="00952665"/>
    <w:rsid w:val="009922CF"/>
    <w:rsid w:val="009B1880"/>
    <w:rsid w:val="009B3615"/>
    <w:rsid w:val="009B6754"/>
    <w:rsid w:val="009D0A82"/>
    <w:rsid w:val="009D581D"/>
    <w:rsid w:val="00A062F9"/>
    <w:rsid w:val="00A16F24"/>
    <w:rsid w:val="00A212FA"/>
    <w:rsid w:val="00A370E3"/>
    <w:rsid w:val="00A4490E"/>
    <w:rsid w:val="00A469C9"/>
    <w:rsid w:val="00AA0BBA"/>
    <w:rsid w:val="00AC1F3D"/>
    <w:rsid w:val="00AD7C82"/>
    <w:rsid w:val="00AE051A"/>
    <w:rsid w:val="00AE5FC9"/>
    <w:rsid w:val="00AF5FD3"/>
    <w:rsid w:val="00B035D5"/>
    <w:rsid w:val="00B35642"/>
    <w:rsid w:val="00B36F67"/>
    <w:rsid w:val="00B46AA0"/>
    <w:rsid w:val="00B61338"/>
    <w:rsid w:val="00B67D3E"/>
    <w:rsid w:val="00B779B5"/>
    <w:rsid w:val="00B82C30"/>
    <w:rsid w:val="00BA3448"/>
    <w:rsid w:val="00BB6EFB"/>
    <w:rsid w:val="00BC7E74"/>
    <w:rsid w:val="00BD28E8"/>
    <w:rsid w:val="00BF73CE"/>
    <w:rsid w:val="00C024BB"/>
    <w:rsid w:val="00C200DD"/>
    <w:rsid w:val="00C54539"/>
    <w:rsid w:val="00C63099"/>
    <w:rsid w:val="00C97927"/>
    <w:rsid w:val="00CA013C"/>
    <w:rsid w:val="00CA54AD"/>
    <w:rsid w:val="00CB2223"/>
    <w:rsid w:val="00CB6688"/>
    <w:rsid w:val="00CB7AC6"/>
    <w:rsid w:val="00CE70DF"/>
    <w:rsid w:val="00D11875"/>
    <w:rsid w:val="00D26E45"/>
    <w:rsid w:val="00D77447"/>
    <w:rsid w:val="00DC7D98"/>
    <w:rsid w:val="00DD2062"/>
    <w:rsid w:val="00DE733C"/>
    <w:rsid w:val="00E05CE0"/>
    <w:rsid w:val="00E44266"/>
    <w:rsid w:val="00E7214D"/>
    <w:rsid w:val="00EA3DED"/>
    <w:rsid w:val="00EB069F"/>
    <w:rsid w:val="00EB6944"/>
    <w:rsid w:val="00EE3CA1"/>
    <w:rsid w:val="00EE4292"/>
    <w:rsid w:val="00EE7B6C"/>
    <w:rsid w:val="00EF1334"/>
    <w:rsid w:val="00F0505A"/>
    <w:rsid w:val="00F1775E"/>
    <w:rsid w:val="00F21ECA"/>
    <w:rsid w:val="00F2695D"/>
    <w:rsid w:val="00F55544"/>
    <w:rsid w:val="00F76D7D"/>
    <w:rsid w:val="00F90E57"/>
    <w:rsid w:val="00F96109"/>
    <w:rsid w:val="00FA014B"/>
    <w:rsid w:val="00FC06AA"/>
    <w:rsid w:val="00FD6C3F"/>
    <w:rsid w:val="00FE2367"/>
    <w:rsid w:val="00FE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6F6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76F6B"/>
    <w:pPr>
      <w:jc w:val="center"/>
    </w:pPr>
    <w:rPr>
      <w:rFonts w:ascii="Times New Roman" w:hAnsi="Times New Roman"/>
      <w:sz w:val="24"/>
      <w:lang w:val="en-GB"/>
    </w:rPr>
  </w:style>
  <w:style w:type="paragraph" w:styleId="Header">
    <w:name w:val="header"/>
    <w:basedOn w:val="Normal"/>
    <w:rsid w:val="00276F6B"/>
    <w:pPr>
      <w:tabs>
        <w:tab w:val="center" w:pos="4320"/>
        <w:tab w:val="right" w:pos="8640"/>
      </w:tabs>
    </w:pPr>
  </w:style>
  <w:style w:type="table" w:styleId="TableGrid">
    <w:name w:val="Table Grid"/>
    <w:basedOn w:val="TableNormal"/>
    <w:rsid w:val="00276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69C9"/>
    <w:rPr>
      <w:color w:val="0000FF"/>
      <w:u w:val="single"/>
    </w:rPr>
  </w:style>
  <w:style w:type="character" w:styleId="Strong">
    <w:name w:val="Strong"/>
    <w:basedOn w:val="DefaultParagraphFont"/>
    <w:uiPriority w:val="22"/>
    <w:qFormat/>
    <w:rsid w:val="00A469C9"/>
    <w:rPr>
      <w:b/>
      <w:bCs/>
    </w:rPr>
  </w:style>
  <w:style w:type="paragraph" w:styleId="ListParagraph">
    <w:name w:val="List Paragraph"/>
    <w:basedOn w:val="Normal"/>
    <w:uiPriority w:val="34"/>
    <w:qFormat/>
    <w:rsid w:val="001E7260"/>
    <w:pPr>
      <w:ind w:left="720"/>
    </w:pPr>
    <w:rPr>
      <w:lang w:val="en-CA"/>
    </w:rPr>
  </w:style>
  <w:style w:type="character" w:styleId="FollowedHyperlink">
    <w:name w:val="FollowedHyperlink"/>
    <w:basedOn w:val="DefaultParagraphFont"/>
    <w:rsid w:val="005A6438"/>
    <w:rPr>
      <w:color w:val="800080" w:themeColor="followedHyperlink"/>
      <w:u w:val="single"/>
    </w:rPr>
  </w:style>
  <w:style w:type="character" w:customStyle="1" w:styleId="TitleChar">
    <w:name w:val="Title Char"/>
    <w:basedOn w:val="DefaultParagraphFont"/>
    <w:link w:val="Title"/>
    <w:rsid w:val="00280061"/>
    <w:rPr>
      <w:sz w:val="24"/>
      <w:lang w:val="en-GB"/>
    </w:rPr>
  </w:style>
  <w:style w:type="paragraph" w:styleId="BalloonText">
    <w:name w:val="Balloon Text"/>
    <w:basedOn w:val="Normal"/>
    <w:link w:val="BalloonTextChar"/>
    <w:rsid w:val="00906CCB"/>
    <w:rPr>
      <w:rFonts w:ascii="Tahoma" w:hAnsi="Tahoma" w:cs="Tahoma"/>
      <w:sz w:val="16"/>
      <w:szCs w:val="16"/>
    </w:rPr>
  </w:style>
  <w:style w:type="character" w:customStyle="1" w:styleId="BalloonTextChar">
    <w:name w:val="Balloon Text Char"/>
    <w:basedOn w:val="DefaultParagraphFont"/>
    <w:link w:val="BalloonText"/>
    <w:rsid w:val="00906CCB"/>
    <w:rPr>
      <w:rFonts w:ascii="Tahoma" w:hAnsi="Tahoma" w:cs="Tahoma"/>
      <w:sz w:val="16"/>
      <w:szCs w:val="16"/>
    </w:rPr>
  </w:style>
  <w:style w:type="character" w:styleId="CommentReference">
    <w:name w:val="annotation reference"/>
    <w:basedOn w:val="DefaultParagraphFont"/>
    <w:uiPriority w:val="99"/>
    <w:unhideWhenUsed/>
    <w:rsid w:val="000B32E2"/>
    <w:rPr>
      <w:sz w:val="16"/>
      <w:szCs w:val="16"/>
    </w:rPr>
  </w:style>
  <w:style w:type="paragraph" w:styleId="CommentText">
    <w:name w:val="annotation text"/>
    <w:basedOn w:val="Normal"/>
    <w:link w:val="CommentTextChar"/>
    <w:uiPriority w:val="99"/>
    <w:unhideWhenUsed/>
    <w:rsid w:val="000B32E2"/>
    <w:rPr>
      <w:sz w:val="20"/>
    </w:rPr>
  </w:style>
  <w:style w:type="character" w:customStyle="1" w:styleId="CommentTextChar">
    <w:name w:val="Comment Text Char"/>
    <w:basedOn w:val="DefaultParagraphFont"/>
    <w:link w:val="CommentText"/>
    <w:uiPriority w:val="99"/>
    <w:rsid w:val="000B32E2"/>
    <w:rPr>
      <w:rFonts w:ascii="Arial" w:hAnsi="Arial"/>
    </w:rPr>
  </w:style>
  <w:style w:type="paragraph" w:styleId="EndnoteText">
    <w:name w:val="endnote text"/>
    <w:basedOn w:val="Normal"/>
    <w:link w:val="EndnoteTextChar"/>
    <w:rsid w:val="008B2279"/>
    <w:rPr>
      <w:sz w:val="20"/>
    </w:rPr>
  </w:style>
  <w:style w:type="character" w:customStyle="1" w:styleId="EndnoteTextChar">
    <w:name w:val="Endnote Text Char"/>
    <w:basedOn w:val="DefaultParagraphFont"/>
    <w:link w:val="EndnoteText"/>
    <w:rsid w:val="008B2279"/>
  </w:style>
  <w:style w:type="character" w:styleId="EndnoteReference">
    <w:name w:val="endnote reference"/>
    <w:basedOn w:val="DefaultParagraphFont"/>
    <w:rsid w:val="008B2279"/>
    <w:rPr>
      <w:vertAlign w:val="superscript"/>
    </w:rPr>
  </w:style>
  <w:style w:type="paragraph" w:styleId="FootnoteText">
    <w:name w:val="footnote text"/>
    <w:basedOn w:val="Normal"/>
    <w:link w:val="FootnoteTextChar"/>
    <w:rsid w:val="008B2279"/>
    <w:rPr>
      <w:sz w:val="20"/>
    </w:rPr>
  </w:style>
  <w:style w:type="character" w:customStyle="1" w:styleId="FootnoteTextChar">
    <w:name w:val="Footnote Text Char"/>
    <w:basedOn w:val="DefaultParagraphFont"/>
    <w:link w:val="FootnoteText"/>
    <w:rsid w:val="008B2279"/>
  </w:style>
  <w:style w:type="character" w:styleId="FootnoteReference">
    <w:name w:val="footnote reference"/>
    <w:basedOn w:val="DefaultParagraphFont"/>
    <w:rsid w:val="008B22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186F9-2837-4D1E-9434-1B1447D8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34CD2605</Template>
  <TotalTime>70</TotalTime>
  <Pages>14</Pages>
  <Words>3842</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Template for Program Review</vt:lpstr>
    </vt:vector>
  </TitlesOfParts>
  <Company>Sir Sandford Fleming College</Company>
  <LinksUpToDate>false</LinksUpToDate>
  <CharactersWithSpaces>26083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Program Review</dc:title>
  <dc:subject/>
  <dc:creator>ITS</dc:creator>
  <cp:keywords/>
  <dc:description/>
  <cp:lastModifiedBy>Tracey Bell</cp:lastModifiedBy>
  <cp:revision>5</cp:revision>
  <dcterms:created xsi:type="dcterms:W3CDTF">2013-02-01T18:45:00Z</dcterms:created>
  <dcterms:modified xsi:type="dcterms:W3CDTF">2013-03-14T20:00:00Z</dcterms:modified>
</cp:coreProperties>
</file>