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3" w:rsidRPr="00F56CCC" w:rsidRDefault="00373D5B" w:rsidP="00373D5B">
      <w:pPr>
        <w:tabs>
          <w:tab w:val="center" w:pos="4680"/>
        </w:tabs>
        <w:jc w:val="right"/>
        <w:rPr>
          <w:rFonts w:cs="Arial"/>
          <w:b/>
          <w:smallCaps/>
        </w:rPr>
      </w:pPr>
      <w:r w:rsidRPr="00F56CCC">
        <w:rPr>
          <w:noProof/>
          <w:lang w:eastAsia="en-CA"/>
        </w:rPr>
        <w:drawing>
          <wp:inline distT="0" distB="0" distL="0" distR="0">
            <wp:extent cx="1781175" cy="752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752475"/>
                    </a:xfrm>
                    <a:prstGeom prst="rect">
                      <a:avLst/>
                    </a:prstGeom>
                    <a:noFill/>
                    <a:ln w="9525">
                      <a:noFill/>
                      <a:miter lim="800000"/>
                      <a:headEnd/>
                      <a:tailEnd/>
                    </a:ln>
                  </pic:spPr>
                </pic:pic>
              </a:graphicData>
            </a:graphic>
          </wp:inline>
        </w:drawing>
      </w:r>
    </w:p>
    <w:p w:rsidR="00CC7662" w:rsidRPr="00F56CCC" w:rsidRDefault="00CC7662" w:rsidP="00CC7662">
      <w:pPr>
        <w:tabs>
          <w:tab w:val="center" w:pos="4680"/>
        </w:tabs>
        <w:jc w:val="center"/>
        <w:rPr>
          <w:rFonts w:cs="Arial"/>
          <w:b/>
          <w:smallCaps/>
        </w:rPr>
      </w:pPr>
    </w:p>
    <w:p w:rsidR="00CC7662" w:rsidRPr="00F56CCC" w:rsidRDefault="00CC7662" w:rsidP="00CC7662">
      <w:pPr>
        <w:tabs>
          <w:tab w:val="center" w:pos="4680"/>
        </w:tabs>
        <w:jc w:val="center"/>
        <w:rPr>
          <w:rFonts w:cs="Arial"/>
          <w:b/>
          <w:smallCaps/>
        </w:rPr>
      </w:pPr>
    </w:p>
    <w:p w:rsidR="00CC7662" w:rsidRPr="00F56CCC" w:rsidRDefault="00CC7662" w:rsidP="00CC7662">
      <w:pPr>
        <w:tabs>
          <w:tab w:val="center" w:pos="4680"/>
        </w:tabs>
        <w:jc w:val="center"/>
        <w:rPr>
          <w:rFonts w:cs="Arial"/>
          <w:b/>
          <w:i/>
          <w:smallCaps/>
        </w:rPr>
      </w:pPr>
      <w:r w:rsidRPr="00F56CCC">
        <w:rPr>
          <w:rFonts w:cs="Arial"/>
          <w:b/>
          <w:i/>
          <w:smallCaps/>
        </w:rPr>
        <w:t>STRICTLY CONFIDENTIAL</w:t>
      </w:r>
    </w:p>
    <w:p w:rsidR="00CC7662" w:rsidRPr="00F56CCC" w:rsidRDefault="00CC7662" w:rsidP="00CC7662">
      <w:pPr>
        <w:tabs>
          <w:tab w:val="center" w:pos="4680"/>
        </w:tabs>
        <w:jc w:val="center"/>
        <w:rPr>
          <w:rFonts w:cs="Arial"/>
          <w:b/>
          <w:i/>
          <w:smallCaps/>
        </w:rPr>
      </w:pPr>
    </w:p>
    <w:p w:rsidR="00CC7662" w:rsidRPr="00F56CCC" w:rsidRDefault="00CC7662" w:rsidP="00CC7662">
      <w:pPr>
        <w:tabs>
          <w:tab w:val="center" w:pos="4680"/>
        </w:tabs>
        <w:jc w:val="center"/>
        <w:rPr>
          <w:rFonts w:cs="Arial"/>
          <w:b/>
          <w:smallCaps/>
        </w:rPr>
      </w:pPr>
      <w:r w:rsidRPr="00F56CCC">
        <w:rPr>
          <w:rFonts w:cs="Arial"/>
          <w:b/>
          <w:smallCaps/>
        </w:rPr>
        <w:t xml:space="preserve">APDC/ASA EXECUTIVE SUMMARY TEMPLATE </w:t>
      </w:r>
    </w:p>
    <w:p w:rsidR="00CC7662" w:rsidRPr="00F56CCC" w:rsidRDefault="00CC7662" w:rsidP="00CC7662">
      <w:pPr>
        <w:tabs>
          <w:tab w:val="center" w:pos="4680"/>
        </w:tabs>
        <w:jc w:val="center"/>
        <w:rPr>
          <w:rFonts w:cs="Arial"/>
          <w:b/>
          <w:smallCaps/>
        </w:rPr>
      </w:pPr>
      <w:r w:rsidRPr="00F56CCC">
        <w:rPr>
          <w:rFonts w:cs="Arial"/>
          <w:b/>
          <w:smallCaps/>
        </w:rPr>
        <w:t>FOR PROGRAM REVIEW</w:t>
      </w:r>
    </w:p>
    <w:p w:rsidR="00CC7662" w:rsidRPr="00F56CCC" w:rsidRDefault="00CC7662" w:rsidP="00CC7662">
      <w:pPr>
        <w:tabs>
          <w:tab w:val="center" w:pos="4680"/>
        </w:tabs>
        <w:jc w:val="center"/>
        <w:rPr>
          <w:rFonts w:cs="Arial"/>
          <w:b/>
          <w:smallCaps/>
        </w:rPr>
      </w:pPr>
    </w:p>
    <w:p w:rsidR="00CC7662" w:rsidRPr="00F56CCC" w:rsidRDefault="00CC7662" w:rsidP="00CC7662">
      <w:pPr>
        <w:tabs>
          <w:tab w:val="center" w:pos="4680"/>
        </w:tabs>
        <w:rPr>
          <w:rFonts w:cs="Arial"/>
          <w:sz w:val="16"/>
          <w:szCs w:val="16"/>
        </w:rPr>
      </w:pPr>
    </w:p>
    <w:tbl>
      <w:tblPr>
        <w:tblStyle w:val="TableGrid"/>
        <w:tblW w:w="0" w:type="auto"/>
        <w:tblLook w:val="01E0" w:firstRow="1" w:lastRow="1" w:firstColumn="1" w:lastColumn="1" w:noHBand="0" w:noVBand="0"/>
      </w:tblPr>
      <w:tblGrid>
        <w:gridCol w:w="1700"/>
        <w:gridCol w:w="5681"/>
        <w:gridCol w:w="2195"/>
      </w:tblGrid>
      <w:tr w:rsidR="00CC7662" w:rsidRPr="00F56CCC" w:rsidTr="00CC7662">
        <w:tc>
          <w:tcPr>
            <w:tcW w:w="1728" w:type="dxa"/>
          </w:tcPr>
          <w:p w:rsidR="00CC7662" w:rsidRPr="00F56CCC" w:rsidRDefault="00CC7662" w:rsidP="00CC7662">
            <w:pPr>
              <w:tabs>
                <w:tab w:val="center" w:pos="4680"/>
              </w:tabs>
              <w:rPr>
                <w:rFonts w:cs="Arial"/>
                <w:b/>
                <w:smallCaps/>
                <w:sz w:val="22"/>
                <w:szCs w:val="22"/>
              </w:rPr>
            </w:pPr>
            <w:r w:rsidRPr="00F56CCC">
              <w:rPr>
                <w:rFonts w:cs="Arial"/>
                <w:b/>
                <w:smallCaps/>
                <w:sz w:val="22"/>
                <w:szCs w:val="22"/>
              </w:rPr>
              <w:t>Subject:</w:t>
            </w:r>
          </w:p>
        </w:tc>
        <w:tc>
          <w:tcPr>
            <w:tcW w:w="6030" w:type="dxa"/>
          </w:tcPr>
          <w:p w:rsidR="00CC7662" w:rsidRPr="00F56CCC" w:rsidRDefault="00CC7662" w:rsidP="00CC7662">
            <w:pPr>
              <w:tabs>
                <w:tab w:val="center" w:pos="4680"/>
              </w:tabs>
              <w:rPr>
                <w:rFonts w:cs="Arial"/>
                <w:sz w:val="22"/>
                <w:szCs w:val="22"/>
              </w:rPr>
            </w:pPr>
            <w:r w:rsidRPr="00F56CCC">
              <w:rPr>
                <w:rFonts w:cs="Arial"/>
                <w:b/>
                <w:sz w:val="22"/>
                <w:szCs w:val="22"/>
              </w:rPr>
              <w:t>School of Justice and Business Studies</w:t>
            </w:r>
            <w:r w:rsidRPr="00F56CCC">
              <w:rPr>
                <w:rFonts w:cs="Arial"/>
                <w:sz w:val="22"/>
                <w:szCs w:val="22"/>
              </w:rPr>
              <w:t xml:space="preserve"> </w:t>
            </w:r>
          </w:p>
          <w:p w:rsidR="00CC7662" w:rsidRPr="00F56CCC" w:rsidRDefault="00CC7662" w:rsidP="00CC7662">
            <w:pPr>
              <w:tabs>
                <w:tab w:val="center" w:pos="4680"/>
              </w:tabs>
              <w:rPr>
                <w:rFonts w:cs="Arial"/>
                <w:b/>
                <w:sz w:val="22"/>
                <w:szCs w:val="22"/>
              </w:rPr>
            </w:pPr>
            <w:r w:rsidRPr="00F56CCC">
              <w:rPr>
                <w:rFonts w:cs="Arial"/>
                <w:b/>
                <w:sz w:val="22"/>
                <w:szCs w:val="22"/>
              </w:rPr>
              <w:t xml:space="preserve">Program Review Report </w:t>
            </w:r>
          </w:p>
          <w:p w:rsidR="00CC7662" w:rsidRPr="00F56CCC" w:rsidRDefault="00CC7662" w:rsidP="00CC7662">
            <w:pPr>
              <w:tabs>
                <w:tab w:val="center" w:pos="4680"/>
              </w:tabs>
              <w:rPr>
                <w:rFonts w:cs="Arial"/>
                <w:b/>
                <w:smallCaps/>
                <w:sz w:val="22"/>
                <w:szCs w:val="22"/>
              </w:rPr>
            </w:pPr>
          </w:p>
        </w:tc>
        <w:tc>
          <w:tcPr>
            <w:tcW w:w="2351" w:type="dxa"/>
          </w:tcPr>
          <w:p w:rsidR="00CC7662" w:rsidRPr="00F56CCC" w:rsidRDefault="00CC7662" w:rsidP="00CC7662">
            <w:pPr>
              <w:tabs>
                <w:tab w:val="center" w:pos="4680"/>
              </w:tabs>
              <w:rPr>
                <w:rFonts w:cs="Arial"/>
                <w:b/>
                <w:smallCaps/>
                <w:sz w:val="22"/>
                <w:szCs w:val="22"/>
              </w:rPr>
            </w:pPr>
            <w:r w:rsidRPr="00F56CCC">
              <w:rPr>
                <w:rFonts w:cs="Arial"/>
                <w:b/>
                <w:smallCaps/>
                <w:sz w:val="22"/>
                <w:szCs w:val="22"/>
              </w:rPr>
              <w:t xml:space="preserve"> </w:t>
            </w:r>
          </w:p>
        </w:tc>
      </w:tr>
      <w:tr w:rsidR="00CC7662" w:rsidRPr="00F56CCC" w:rsidTr="00CC7662">
        <w:tc>
          <w:tcPr>
            <w:tcW w:w="1728" w:type="dxa"/>
          </w:tcPr>
          <w:p w:rsidR="00CC7662" w:rsidRPr="00F56CCC" w:rsidRDefault="00CC7662" w:rsidP="00CC7662">
            <w:pPr>
              <w:tabs>
                <w:tab w:val="center" w:pos="4680"/>
              </w:tabs>
              <w:rPr>
                <w:rFonts w:cs="Arial"/>
                <w:b/>
                <w:smallCaps/>
                <w:sz w:val="22"/>
                <w:szCs w:val="22"/>
              </w:rPr>
            </w:pPr>
            <w:r w:rsidRPr="00F56CCC">
              <w:rPr>
                <w:rFonts w:cs="Arial"/>
                <w:b/>
                <w:smallCaps/>
                <w:sz w:val="22"/>
                <w:szCs w:val="22"/>
              </w:rPr>
              <w:t xml:space="preserve">Program </w:t>
            </w:r>
          </w:p>
        </w:tc>
        <w:tc>
          <w:tcPr>
            <w:tcW w:w="8381" w:type="dxa"/>
            <w:gridSpan w:val="2"/>
          </w:tcPr>
          <w:p w:rsidR="00CC7662" w:rsidRPr="00F56CCC" w:rsidRDefault="00645259" w:rsidP="00CC7662">
            <w:pPr>
              <w:tabs>
                <w:tab w:val="center" w:pos="4680"/>
              </w:tabs>
              <w:rPr>
                <w:rFonts w:cs="Arial"/>
                <w:b/>
                <w:sz w:val="22"/>
                <w:szCs w:val="22"/>
              </w:rPr>
            </w:pPr>
            <w:r w:rsidRPr="00F56CCC">
              <w:rPr>
                <w:rFonts w:cs="Arial"/>
                <w:b/>
                <w:sz w:val="22"/>
                <w:szCs w:val="22"/>
              </w:rPr>
              <w:t>Emergency Management (</w:t>
            </w:r>
            <w:r w:rsidR="00E7779F">
              <w:rPr>
                <w:rFonts w:cs="Arial"/>
                <w:b/>
                <w:sz w:val="22"/>
                <w:szCs w:val="22"/>
              </w:rPr>
              <w:t>Ontario College</w:t>
            </w:r>
            <w:r w:rsidRPr="00F56CCC">
              <w:rPr>
                <w:rFonts w:cs="Arial"/>
                <w:b/>
                <w:sz w:val="22"/>
                <w:szCs w:val="22"/>
              </w:rPr>
              <w:t xml:space="preserve"> Graduate Certificate)</w:t>
            </w:r>
          </w:p>
          <w:p w:rsidR="00CC7662" w:rsidRPr="00F56CCC" w:rsidRDefault="00CC7662" w:rsidP="00CC7662">
            <w:pPr>
              <w:tabs>
                <w:tab w:val="center" w:pos="4680"/>
              </w:tabs>
              <w:rPr>
                <w:rFonts w:cs="Arial"/>
                <w:b/>
                <w:sz w:val="22"/>
                <w:szCs w:val="22"/>
              </w:rPr>
            </w:pPr>
          </w:p>
        </w:tc>
      </w:tr>
      <w:tr w:rsidR="00CC7662" w:rsidRPr="00F56CCC" w:rsidTr="00CC7662">
        <w:tc>
          <w:tcPr>
            <w:tcW w:w="1728" w:type="dxa"/>
          </w:tcPr>
          <w:p w:rsidR="00CC7662" w:rsidRPr="00F56CCC" w:rsidRDefault="00CC7662" w:rsidP="00CC7662">
            <w:pPr>
              <w:tabs>
                <w:tab w:val="center" w:pos="4680"/>
              </w:tabs>
              <w:rPr>
                <w:rFonts w:cs="Arial"/>
                <w:b/>
                <w:smallCaps/>
                <w:sz w:val="22"/>
                <w:szCs w:val="22"/>
              </w:rPr>
            </w:pPr>
            <w:r w:rsidRPr="00F56CCC">
              <w:rPr>
                <w:rFonts w:cs="Arial"/>
                <w:b/>
                <w:smallCaps/>
                <w:sz w:val="22"/>
                <w:szCs w:val="22"/>
              </w:rPr>
              <w:t>Presented by:</w:t>
            </w:r>
          </w:p>
        </w:tc>
        <w:tc>
          <w:tcPr>
            <w:tcW w:w="8381" w:type="dxa"/>
            <w:gridSpan w:val="2"/>
          </w:tcPr>
          <w:p w:rsidR="00CC7662" w:rsidRPr="00F56CCC" w:rsidRDefault="00CC7662" w:rsidP="00CC7662">
            <w:pPr>
              <w:tabs>
                <w:tab w:val="center" w:pos="4680"/>
              </w:tabs>
              <w:rPr>
                <w:rFonts w:cs="Arial"/>
                <w:sz w:val="22"/>
                <w:szCs w:val="22"/>
              </w:rPr>
            </w:pPr>
            <w:r w:rsidRPr="00F56CCC">
              <w:rPr>
                <w:rFonts w:cs="Arial"/>
                <w:b/>
                <w:sz w:val="22"/>
                <w:szCs w:val="22"/>
              </w:rPr>
              <w:t>Jim Drennan</w:t>
            </w:r>
          </w:p>
        </w:tc>
      </w:tr>
      <w:tr w:rsidR="00CC7662" w:rsidRPr="00F56CCC" w:rsidTr="00CC7662">
        <w:tc>
          <w:tcPr>
            <w:tcW w:w="1728" w:type="dxa"/>
          </w:tcPr>
          <w:p w:rsidR="00CC7662" w:rsidRPr="00F56CCC" w:rsidRDefault="00CC7662" w:rsidP="00CC7662">
            <w:pPr>
              <w:tabs>
                <w:tab w:val="center" w:pos="4680"/>
              </w:tabs>
              <w:rPr>
                <w:rFonts w:cs="Arial"/>
                <w:b/>
                <w:smallCaps/>
                <w:sz w:val="22"/>
                <w:szCs w:val="22"/>
              </w:rPr>
            </w:pPr>
            <w:r w:rsidRPr="00F56CCC">
              <w:rPr>
                <w:rFonts w:cs="Arial"/>
                <w:b/>
                <w:smallCaps/>
                <w:sz w:val="22"/>
                <w:szCs w:val="22"/>
              </w:rPr>
              <w:t>Action:</w:t>
            </w:r>
          </w:p>
        </w:tc>
        <w:tc>
          <w:tcPr>
            <w:tcW w:w="8381" w:type="dxa"/>
            <w:gridSpan w:val="2"/>
          </w:tcPr>
          <w:p w:rsidR="00CC7662" w:rsidRPr="00F56CCC" w:rsidRDefault="00CC7662" w:rsidP="00CC7662">
            <w:pPr>
              <w:tabs>
                <w:tab w:val="center" w:pos="4680"/>
              </w:tabs>
              <w:rPr>
                <w:rFonts w:cs="Arial"/>
                <w:smallCaps/>
                <w:sz w:val="22"/>
                <w:szCs w:val="22"/>
              </w:rPr>
            </w:pPr>
            <w:r w:rsidRPr="00F56CCC">
              <w:rPr>
                <w:rFonts w:cs="Arial"/>
                <w:b/>
                <w:sz w:val="22"/>
                <w:szCs w:val="22"/>
              </w:rPr>
              <w:t>For Discussion / Information</w:t>
            </w:r>
            <w:r w:rsidRPr="00F56CCC">
              <w:rPr>
                <w:rFonts w:cs="Arial"/>
                <w:sz w:val="22"/>
                <w:szCs w:val="22"/>
              </w:rPr>
              <w:t xml:space="preserve">  </w:t>
            </w:r>
          </w:p>
        </w:tc>
      </w:tr>
    </w:tbl>
    <w:p w:rsidR="00CC7662" w:rsidRPr="00F56CCC" w:rsidRDefault="00CC7662" w:rsidP="00CC7662">
      <w:pPr>
        <w:tabs>
          <w:tab w:val="left" w:pos="-1440"/>
        </w:tabs>
        <w:rPr>
          <w:rFonts w:cs="Arial"/>
          <w:sz w:val="22"/>
          <w:szCs w:val="22"/>
        </w:rPr>
      </w:pPr>
    </w:p>
    <w:p w:rsidR="00CC7662" w:rsidRPr="00F56CCC" w:rsidRDefault="00CC7662" w:rsidP="00CC7662">
      <w:pPr>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SOURCE</w:t>
      </w:r>
    </w:p>
    <w:p w:rsidR="00CC7662" w:rsidRPr="00F56CCC" w:rsidRDefault="00CC7662" w:rsidP="00CC7662">
      <w:pPr>
        <w:tabs>
          <w:tab w:val="left" w:pos="-1440"/>
          <w:tab w:val="left" w:pos="180"/>
        </w:tabs>
        <w:rPr>
          <w:rFonts w:cs="Arial"/>
          <w:sz w:val="22"/>
          <w:szCs w:val="22"/>
        </w:rPr>
      </w:pPr>
    </w:p>
    <w:p w:rsidR="00CC7662" w:rsidRPr="00F56CCC" w:rsidRDefault="00CC7662" w:rsidP="00CC7662">
      <w:pPr>
        <w:tabs>
          <w:tab w:val="left" w:pos="-1440"/>
          <w:tab w:val="left" w:pos="180"/>
        </w:tabs>
        <w:rPr>
          <w:rFonts w:cs="Arial"/>
          <w:sz w:val="22"/>
          <w:szCs w:val="22"/>
        </w:rPr>
      </w:pPr>
      <w:r w:rsidRPr="00F56CCC">
        <w:rPr>
          <w:rFonts w:cs="Arial"/>
          <w:sz w:val="22"/>
          <w:szCs w:val="22"/>
        </w:rPr>
        <w:t>•</w:t>
      </w:r>
      <w:r w:rsidRPr="00F56CCC">
        <w:rPr>
          <w:rFonts w:cs="Arial"/>
          <w:sz w:val="22"/>
          <w:szCs w:val="22"/>
        </w:rPr>
        <w:tab/>
        <w:t>Fleming’s Quality Assurance Process (College Policy 2-207)</w:t>
      </w:r>
    </w:p>
    <w:p w:rsidR="00CC7662" w:rsidRPr="00F56CCC" w:rsidRDefault="00CC7662" w:rsidP="00CC7662">
      <w:pPr>
        <w:tabs>
          <w:tab w:val="left" w:pos="-1440"/>
          <w:tab w:val="left" w:pos="180"/>
        </w:tabs>
        <w:ind w:left="180" w:hanging="180"/>
        <w:rPr>
          <w:rFonts w:cs="Arial"/>
          <w:sz w:val="22"/>
          <w:szCs w:val="22"/>
        </w:rPr>
      </w:pPr>
      <w:r w:rsidRPr="00F56CCC">
        <w:rPr>
          <w:rFonts w:cs="Arial"/>
          <w:sz w:val="22"/>
          <w:szCs w:val="22"/>
        </w:rPr>
        <w:t>•</w:t>
      </w:r>
      <w:r w:rsidRPr="00F56CCC">
        <w:rPr>
          <w:rFonts w:cs="Arial"/>
          <w:sz w:val="22"/>
          <w:szCs w:val="22"/>
        </w:rPr>
        <w:tab/>
        <w:t>ASA Committee mandate (Board Policy 1-102J) to conduct reviews of existing programs of instruction on an ongoing basis, subject to current regulation, legislation and policy directives</w:t>
      </w:r>
    </w:p>
    <w:p w:rsidR="00CC7662" w:rsidRPr="00F56CCC" w:rsidRDefault="00CC7662" w:rsidP="00CC7662">
      <w:pPr>
        <w:tabs>
          <w:tab w:val="left" w:pos="-1440"/>
        </w:tabs>
        <w:rPr>
          <w:rFonts w:cs="Arial"/>
          <w:sz w:val="22"/>
          <w:szCs w:val="22"/>
        </w:rPr>
      </w:pPr>
    </w:p>
    <w:p w:rsidR="00CC7662" w:rsidRPr="00F56CCC" w:rsidRDefault="00CC7662" w:rsidP="00CC7662">
      <w:pPr>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PROGRAM STRENGTHS</w:t>
      </w:r>
    </w:p>
    <w:p w:rsidR="00CC7662" w:rsidRPr="00F56CCC" w:rsidRDefault="00CC7662" w:rsidP="00CC7662">
      <w:pPr>
        <w:tabs>
          <w:tab w:val="left" w:pos="-1440"/>
        </w:tabs>
        <w:rPr>
          <w:rFonts w:cs="Arial"/>
          <w:sz w:val="22"/>
          <w:szCs w:val="22"/>
        </w:rPr>
      </w:pPr>
    </w:p>
    <w:p w:rsidR="00645259" w:rsidRPr="00F56CCC" w:rsidRDefault="00645259" w:rsidP="00645259">
      <w:pPr>
        <w:tabs>
          <w:tab w:val="left" w:pos="-1440"/>
        </w:tabs>
        <w:rPr>
          <w:rFonts w:cs="Arial"/>
          <w:bCs/>
          <w:sz w:val="22"/>
          <w:szCs w:val="22"/>
        </w:rPr>
      </w:pPr>
      <w:r w:rsidRPr="00F56CCC">
        <w:rPr>
          <w:rFonts w:cs="Arial"/>
          <w:sz w:val="22"/>
          <w:szCs w:val="22"/>
        </w:rPr>
        <w:t xml:space="preserve">Emergency Management is among only two programs in the province devoted to delivering college-level applied learning in the field of Emergency Management. As such, it attracts students who are focussed, motivated, and engaged. The program is very well respected and our graduates are highly sought after across the country and internationally. At present, we have former graduates employed at Ministry of Natural Resources, Emergency Management Ontario, Attorney General, Transportation(MOT), Chalk River Nuclear Facility, Husky Energy, Region of Peel, CGI Group Inc, Alberta Emergency Measures, Alberta Health Services, City of Calgary, </w:t>
      </w:r>
      <w:r w:rsidRPr="00F56CCC">
        <w:rPr>
          <w:rFonts w:cs="Arial"/>
          <w:sz w:val="22"/>
          <w:szCs w:val="22"/>
          <w:lang w:val="en-US"/>
        </w:rPr>
        <w:t xml:space="preserve">City of Sault Ste. Marie, </w:t>
      </w:r>
      <w:r w:rsidRPr="00F56CCC">
        <w:rPr>
          <w:rFonts w:cs="Arial"/>
          <w:bCs/>
          <w:sz w:val="22"/>
          <w:szCs w:val="22"/>
        </w:rPr>
        <w:t>Aboriginal Affairs and Northern Development Canada (AANDC).</w:t>
      </w:r>
    </w:p>
    <w:p w:rsidR="00645259" w:rsidRPr="00F56CCC" w:rsidRDefault="00645259" w:rsidP="00645259">
      <w:pPr>
        <w:tabs>
          <w:tab w:val="left" w:pos="-1440"/>
        </w:tabs>
        <w:rPr>
          <w:rFonts w:cs="Arial"/>
          <w:sz w:val="22"/>
          <w:szCs w:val="22"/>
        </w:rPr>
      </w:pPr>
    </w:p>
    <w:p w:rsidR="00645259" w:rsidRPr="00F56CCC" w:rsidRDefault="00645259" w:rsidP="00645259">
      <w:pPr>
        <w:tabs>
          <w:tab w:val="left" w:pos="-1440"/>
        </w:tabs>
        <w:rPr>
          <w:rFonts w:cs="Arial"/>
          <w:sz w:val="22"/>
          <w:szCs w:val="22"/>
        </w:rPr>
      </w:pPr>
      <w:r w:rsidRPr="00F56CCC">
        <w:rPr>
          <w:rFonts w:cs="Arial"/>
          <w:sz w:val="22"/>
          <w:szCs w:val="22"/>
        </w:rPr>
        <w:t xml:space="preserve">The focus on </w:t>
      </w:r>
      <w:r w:rsidR="00AB4EE8" w:rsidRPr="00F56CCC">
        <w:rPr>
          <w:rFonts w:cs="Arial"/>
          <w:sz w:val="22"/>
          <w:szCs w:val="22"/>
        </w:rPr>
        <w:t xml:space="preserve">a client-model of education results in a </w:t>
      </w:r>
      <w:r w:rsidRPr="00F56CCC">
        <w:rPr>
          <w:rFonts w:cs="Arial"/>
          <w:sz w:val="22"/>
          <w:szCs w:val="22"/>
        </w:rPr>
        <w:t xml:space="preserve">hands-on, applied learning </w:t>
      </w:r>
      <w:r w:rsidR="00AB4EE8" w:rsidRPr="00F56CCC">
        <w:rPr>
          <w:rFonts w:cs="Arial"/>
          <w:sz w:val="22"/>
          <w:szCs w:val="22"/>
        </w:rPr>
        <w:t xml:space="preserve">that </w:t>
      </w:r>
      <w:r w:rsidRPr="00F56CCC">
        <w:rPr>
          <w:rFonts w:cs="Arial"/>
          <w:sz w:val="22"/>
          <w:szCs w:val="22"/>
        </w:rPr>
        <w:t xml:space="preserve">means </w:t>
      </w:r>
      <w:r w:rsidR="00E7779F">
        <w:rPr>
          <w:rFonts w:cs="Arial"/>
          <w:sz w:val="22"/>
          <w:szCs w:val="22"/>
        </w:rPr>
        <w:t xml:space="preserve">when </w:t>
      </w:r>
      <w:r w:rsidRPr="00F56CCC">
        <w:rPr>
          <w:rFonts w:cs="Arial"/>
          <w:sz w:val="22"/>
          <w:szCs w:val="22"/>
        </w:rPr>
        <w:t>our stu</w:t>
      </w:r>
      <w:r w:rsidR="00AB4EE8" w:rsidRPr="00F56CCC">
        <w:rPr>
          <w:rFonts w:cs="Arial"/>
          <w:sz w:val="22"/>
          <w:szCs w:val="22"/>
        </w:rPr>
        <w:t>dents graduate</w:t>
      </w:r>
      <w:r w:rsidR="00E7779F">
        <w:rPr>
          <w:rFonts w:cs="Arial"/>
          <w:sz w:val="22"/>
          <w:szCs w:val="22"/>
        </w:rPr>
        <w:t>, they are</w:t>
      </w:r>
      <w:r w:rsidR="00AB4EE8" w:rsidRPr="00F56CCC">
        <w:rPr>
          <w:rFonts w:cs="Arial"/>
          <w:sz w:val="22"/>
          <w:szCs w:val="22"/>
        </w:rPr>
        <w:t xml:space="preserve"> workplace-ready. O</w:t>
      </w:r>
      <w:r w:rsidRPr="00F56CCC">
        <w:rPr>
          <w:rFonts w:cs="Arial"/>
          <w:sz w:val="22"/>
          <w:szCs w:val="22"/>
        </w:rPr>
        <w:t xml:space="preserve">ur feedback from industry partners who have hired our graduates repeatedly confirms this. </w:t>
      </w:r>
      <w:r w:rsidR="00AB4EE8" w:rsidRPr="00F56CCC">
        <w:rPr>
          <w:rFonts w:cs="Arial"/>
          <w:sz w:val="22"/>
          <w:szCs w:val="22"/>
        </w:rPr>
        <w:t xml:space="preserve">This client model </w:t>
      </w:r>
      <w:r w:rsidRPr="00F56CCC">
        <w:rPr>
          <w:rFonts w:cs="Arial"/>
          <w:sz w:val="22"/>
          <w:szCs w:val="22"/>
        </w:rPr>
        <w:t>approach also distinguishes us from York University’s Master of Arts in Disaster and Emergency Management which is explicitly academic in its approach</w:t>
      </w:r>
      <w:r w:rsidR="00AB4EE8" w:rsidRPr="00F56CCC">
        <w:rPr>
          <w:rFonts w:cs="Arial"/>
          <w:sz w:val="22"/>
          <w:szCs w:val="22"/>
        </w:rPr>
        <w:t>, as well as Sheridan’s program, which doesn’t offer an integrated client model</w:t>
      </w:r>
      <w:r w:rsidRPr="00F56CCC">
        <w:rPr>
          <w:rFonts w:cs="Arial"/>
          <w:sz w:val="22"/>
          <w:szCs w:val="22"/>
        </w:rPr>
        <w:t>.</w:t>
      </w:r>
      <w:r w:rsidR="00AB4EE8" w:rsidRPr="00F56CCC">
        <w:rPr>
          <w:rFonts w:cs="Arial"/>
          <w:sz w:val="22"/>
          <w:szCs w:val="22"/>
        </w:rPr>
        <w:t xml:space="preserve"> This client model also translates into a program that has an extremely high community value, a result of having industry relationships directly embedded in opportunities for learning. </w:t>
      </w:r>
      <w:r w:rsidRPr="00F56CCC">
        <w:rPr>
          <w:rFonts w:cs="Arial"/>
          <w:sz w:val="22"/>
          <w:szCs w:val="22"/>
        </w:rPr>
        <w:t xml:space="preserve"> </w:t>
      </w:r>
    </w:p>
    <w:p w:rsidR="00645259" w:rsidRPr="00F56CCC" w:rsidRDefault="00645259" w:rsidP="00645259">
      <w:pPr>
        <w:tabs>
          <w:tab w:val="left" w:pos="-1440"/>
        </w:tabs>
        <w:rPr>
          <w:rFonts w:cs="Arial"/>
          <w:sz w:val="22"/>
          <w:szCs w:val="22"/>
        </w:rPr>
      </w:pPr>
    </w:p>
    <w:p w:rsidR="00F56CCC" w:rsidRPr="00F56CCC" w:rsidRDefault="00645259" w:rsidP="00F56CCC">
      <w:pPr>
        <w:rPr>
          <w:rFonts w:cs="Arial"/>
          <w:sz w:val="22"/>
          <w:szCs w:val="22"/>
          <w:lang w:eastAsia="en-CA"/>
        </w:rPr>
      </w:pPr>
      <w:r w:rsidRPr="00F56CCC">
        <w:rPr>
          <w:rFonts w:cs="Arial"/>
          <w:sz w:val="22"/>
          <w:szCs w:val="22"/>
        </w:rPr>
        <w:t xml:space="preserve">The Emergency Management program also benefits from its alignment with the </w:t>
      </w:r>
      <w:r w:rsidRPr="00F56CCC">
        <w:rPr>
          <w:sz w:val="22"/>
          <w:szCs w:val="22"/>
        </w:rPr>
        <w:t xml:space="preserve">Canadian Emergency Management Business Continuity Standard, Z1600CSA, </w:t>
      </w:r>
      <w:proofErr w:type="gramStart"/>
      <w:r w:rsidRPr="00F56CCC">
        <w:rPr>
          <w:sz w:val="22"/>
          <w:szCs w:val="22"/>
        </w:rPr>
        <w:t>a</w:t>
      </w:r>
      <w:proofErr w:type="gramEnd"/>
      <w:r w:rsidRPr="00F56CCC">
        <w:rPr>
          <w:sz w:val="22"/>
          <w:szCs w:val="22"/>
        </w:rPr>
        <w:t xml:space="preserve"> practice that builds both credibility and relevance to the industry.</w:t>
      </w:r>
      <w:r w:rsidR="005C4328" w:rsidRPr="00F56CCC">
        <w:rPr>
          <w:sz w:val="22"/>
          <w:szCs w:val="22"/>
        </w:rPr>
        <w:t xml:space="preserve"> </w:t>
      </w:r>
      <w:r w:rsidR="00F56CCC" w:rsidRPr="00F56CCC">
        <w:rPr>
          <w:rFonts w:cs="Arial"/>
          <w:sz w:val="22"/>
          <w:szCs w:val="22"/>
          <w:lang w:eastAsia="en-CA"/>
        </w:rPr>
        <w:t>While this alignment with this standard also sets our program apart from both York and Sheridan, we also work to ensure that we are providing students with as many industry “value adds” as possible, for example, students complete many Emergency Management Ontario certifications throughout the program, and have an opportunity to prepare for and challenge the DRI ABCP (Disaster Recovery Institute, Associate Business Continuity Professional) exam. Most recently, we’re working to develop a relationship that would provide students with an opportunity to certify as a AEM</w:t>
      </w:r>
      <w:proofErr w:type="gramStart"/>
      <w:r w:rsidR="00F56CCC" w:rsidRPr="00F56CCC">
        <w:rPr>
          <w:rFonts w:cs="Arial"/>
          <w:sz w:val="22"/>
          <w:szCs w:val="22"/>
          <w:lang w:eastAsia="en-CA"/>
        </w:rPr>
        <w:t>,(</w:t>
      </w:r>
      <w:proofErr w:type="gramEnd"/>
      <w:r w:rsidR="00F56CCC" w:rsidRPr="00F56CCC">
        <w:rPr>
          <w:rFonts w:cs="Arial"/>
          <w:sz w:val="22"/>
          <w:szCs w:val="22"/>
          <w:lang w:eastAsia="en-CA"/>
        </w:rPr>
        <w:t xml:space="preserve"> Associate Emergency Manager) designation of IAEM, (International Association of Emergency Managers). </w:t>
      </w:r>
    </w:p>
    <w:p w:rsidR="00F56CCC" w:rsidRPr="00F56CCC" w:rsidRDefault="00F56CCC" w:rsidP="00F56CCC">
      <w:pPr>
        <w:rPr>
          <w:rFonts w:ascii="Calibri" w:hAnsi="Calibri"/>
          <w:color w:val="1F497D"/>
          <w:sz w:val="22"/>
          <w:szCs w:val="22"/>
          <w:lang w:val="en-US" w:eastAsia="en-CA"/>
        </w:rPr>
      </w:pPr>
    </w:p>
    <w:p w:rsidR="001219FA" w:rsidRPr="00F56CCC" w:rsidRDefault="001219FA" w:rsidP="00CC7662">
      <w:pPr>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PROGRAM CHALLENGES</w:t>
      </w:r>
    </w:p>
    <w:p w:rsidR="00CC7662" w:rsidRPr="00F56CCC" w:rsidRDefault="00CC7662" w:rsidP="00CC7662">
      <w:pPr>
        <w:tabs>
          <w:tab w:val="left" w:pos="-1440"/>
        </w:tabs>
        <w:rPr>
          <w:rFonts w:cs="Arial"/>
          <w:sz w:val="22"/>
          <w:szCs w:val="22"/>
        </w:rPr>
      </w:pPr>
    </w:p>
    <w:p w:rsidR="00CC7662" w:rsidRPr="00F56CCC" w:rsidRDefault="00CC7662" w:rsidP="00CC7662">
      <w:pPr>
        <w:tabs>
          <w:tab w:val="left" w:pos="-1440"/>
        </w:tabs>
        <w:rPr>
          <w:rFonts w:cs="Arial"/>
          <w:sz w:val="22"/>
          <w:szCs w:val="22"/>
        </w:rPr>
      </w:pPr>
      <w:r w:rsidRPr="00F56CCC">
        <w:rPr>
          <w:rFonts w:cs="Arial"/>
          <w:sz w:val="22"/>
          <w:szCs w:val="22"/>
        </w:rPr>
        <w:t>The most significant challenge faced by the Emergency Management program is that we are</w:t>
      </w:r>
      <w:r w:rsidR="00AB4EE8" w:rsidRPr="00F56CCC">
        <w:rPr>
          <w:rFonts w:cs="Arial"/>
          <w:sz w:val="22"/>
          <w:szCs w:val="22"/>
        </w:rPr>
        <w:t xml:space="preserve"> a small, single-cohort program</w:t>
      </w:r>
      <w:r w:rsidR="005C4328" w:rsidRPr="00F56CCC">
        <w:rPr>
          <w:rFonts w:cs="Arial"/>
          <w:sz w:val="22"/>
          <w:szCs w:val="22"/>
        </w:rPr>
        <w:t xml:space="preserve">. The client model that provides such strength to the program does demand </w:t>
      </w:r>
      <w:r w:rsidR="00AB4EE8" w:rsidRPr="00F56CCC">
        <w:rPr>
          <w:rFonts w:cs="Arial"/>
          <w:sz w:val="22"/>
          <w:szCs w:val="22"/>
        </w:rPr>
        <w:t>small, focussed class sizes and a high rate of direct faculty interaction.</w:t>
      </w:r>
      <w:r w:rsidR="005C4328" w:rsidRPr="00F56CCC">
        <w:rPr>
          <w:rFonts w:cs="Arial"/>
          <w:sz w:val="22"/>
          <w:szCs w:val="22"/>
        </w:rPr>
        <w:t xml:space="preserve"> While i</w:t>
      </w:r>
      <w:r w:rsidRPr="00F56CCC">
        <w:rPr>
          <w:rFonts w:cs="Arial"/>
          <w:sz w:val="22"/>
          <w:szCs w:val="22"/>
        </w:rPr>
        <w:t>n terms of teaching and learning, this is a benefit, from the broader college perspective this does mean that we do not meet our contribution expectation of 36% (the most recent costing analysis shows EMP at 18.6% contribution to overhead).</w:t>
      </w:r>
      <w:r w:rsidR="005C4328" w:rsidRPr="00F56CCC">
        <w:rPr>
          <w:rFonts w:cs="Arial"/>
          <w:sz w:val="22"/>
          <w:szCs w:val="22"/>
        </w:rPr>
        <w:t xml:space="preserve"> </w:t>
      </w:r>
      <w:r w:rsidR="00D50DC9" w:rsidRPr="00F56CCC">
        <w:rPr>
          <w:rFonts w:cs="Arial"/>
          <w:sz w:val="22"/>
          <w:szCs w:val="22"/>
        </w:rPr>
        <w:t>We feel strongly though, that the reputation of the program, combined with t</w:t>
      </w:r>
      <w:r w:rsidR="005C4328" w:rsidRPr="00F56CCC">
        <w:rPr>
          <w:rFonts w:cs="Arial"/>
          <w:sz w:val="22"/>
          <w:szCs w:val="22"/>
        </w:rPr>
        <w:t xml:space="preserve">he community value </w:t>
      </w:r>
      <w:r w:rsidR="00D50DC9" w:rsidRPr="00F56CCC">
        <w:rPr>
          <w:rFonts w:cs="Arial"/>
          <w:sz w:val="22"/>
          <w:szCs w:val="22"/>
        </w:rPr>
        <w:t>of our industry relationships</w:t>
      </w:r>
      <w:r w:rsidR="005C4328" w:rsidRPr="00F56CCC">
        <w:rPr>
          <w:rFonts w:cs="Arial"/>
          <w:sz w:val="22"/>
          <w:szCs w:val="22"/>
        </w:rPr>
        <w:t xml:space="preserve">, does offset this shortfall in financial contribution. </w:t>
      </w:r>
    </w:p>
    <w:p w:rsidR="00CC7662" w:rsidRPr="00F56CCC" w:rsidRDefault="00CC7662" w:rsidP="00CC7662">
      <w:pPr>
        <w:tabs>
          <w:tab w:val="left" w:pos="-1440"/>
        </w:tabs>
        <w:rPr>
          <w:rFonts w:cs="Arial"/>
          <w:sz w:val="22"/>
          <w:szCs w:val="22"/>
        </w:rPr>
      </w:pPr>
    </w:p>
    <w:p w:rsidR="00CC7662" w:rsidRPr="00F56CCC" w:rsidRDefault="00CC7662" w:rsidP="00CC7662">
      <w:pPr>
        <w:tabs>
          <w:tab w:val="left" w:pos="-1440"/>
        </w:tabs>
        <w:rPr>
          <w:rFonts w:cs="Arial"/>
          <w:b/>
          <w:sz w:val="22"/>
          <w:szCs w:val="22"/>
        </w:rPr>
      </w:pPr>
      <w:r w:rsidRPr="00F56CCC">
        <w:rPr>
          <w:rFonts w:cs="Arial"/>
          <w:sz w:val="22"/>
          <w:szCs w:val="22"/>
        </w:rPr>
        <w:t xml:space="preserve">Another challenge faced within our program is maintaining faculty. As a specialized program, all </w:t>
      </w:r>
      <w:proofErr w:type="gramStart"/>
      <w:r w:rsidRPr="00F56CCC">
        <w:rPr>
          <w:rFonts w:cs="Arial"/>
          <w:sz w:val="22"/>
          <w:szCs w:val="22"/>
        </w:rPr>
        <w:t>faculty</w:t>
      </w:r>
      <w:proofErr w:type="gramEnd"/>
      <w:r w:rsidRPr="00F56CCC">
        <w:rPr>
          <w:rFonts w:cs="Arial"/>
          <w:sz w:val="22"/>
          <w:szCs w:val="22"/>
        </w:rPr>
        <w:t xml:space="preserve"> are heavily involved in the industry and this means it can be difficult to find instructors who have the flexibility required to teach our students. What’s more, when there is a high level of faculty turnover, it can be more of a challenge to maintain consistency across the program of study, semester to semester, and year to year.</w:t>
      </w:r>
      <w:r w:rsidR="005C4328" w:rsidRPr="00F56CCC">
        <w:rPr>
          <w:rFonts w:cs="Arial"/>
          <w:sz w:val="22"/>
          <w:szCs w:val="22"/>
        </w:rPr>
        <w:t xml:space="preserve"> This is a challenge that we must continually strive to overcome, however, as the Program Advisory Council, as well as the Program Review Panel strongly advise that faculty in the program maintain </w:t>
      </w:r>
      <w:r w:rsidR="00D50DC9" w:rsidRPr="00F56CCC">
        <w:rPr>
          <w:rFonts w:cs="Arial"/>
          <w:sz w:val="22"/>
          <w:szCs w:val="22"/>
        </w:rPr>
        <w:t>strong and direct</w:t>
      </w:r>
      <w:r w:rsidR="005C4328" w:rsidRPr="00F56CCC">
        <w:rPr>
          <w:rFonts w:cs="Arial"/>
          <w:sz w:val="22"/>
          <w:szCs w:val="22"/>
        </w:rPr>
        <w:t xml:space="preserve"> connections to an industry that is continually evolving. </w:t>
      </w:r>
    </w:p>
    <w:p w:rsidR="00CC7662" w:rsidRPr="00F56CCC" w:rsidRDefault="00CC7662" w:rsidP="00CC7662">
      <w:pPr>
        <w:tabs>
          <w:tab w:val="left" w:pos="-1440"/>
        </w:tabs>
        <w:rPr>
          <w:rFonts w:cs="Arial"/>
          <w:b/>
          <w:sz w:val="22"/>
          <w:szCs w:val="22"/>
        </w:rPr>
      </w:pPr>
    </w:p>
    <w:p w:rsidR="00CC7662" w:rsidRPr="00F56CCC" w:rsidRDefault="00CC7662" w:rsidP="00CC7662">
      <w:pPr>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KPI RESULTS</w:t>
      </w:r>
    </w:p>
    <w:p w:rsidR="00CC7662" w:rsidRPr="00F56CCC" w:rsidRDefault="00CC7662" w:rsidP="00CC7662">
      <w:pPr>
        <w:tabs>
          <w:tab w:val="left" w:pos="-1440"/>
        </w:tabs>
        <w:rPr>
          <w:rFonts w:cs="Arial"/>
          <w:sz w:val="20"/>
          <w:szCs w:val="20"/>
        </w:rPr>
      </w:pPr>
    </w:p>
    <w:p w:rsidR="00CC7662" w:rsidRPr="00F56CCC" w:rsidRDefault="00CC7662" w:rsidP="00CC7662">
      <w:pPr>
        <w:tabs>
          <w:tab w:val="left" w:pos="-1440"/>
        </w:tabs>
        <w:rPr>
          <w:rFonts w:cs="Arial"/>
          <w:sz w:val="22"/>
          <w:szCs w:val="22"/>
        </w:rPr>
      </w:pPr>
      <w:r w:rsidRPr="00F56CCC">
        <w:rPr>
          <w:rFonts w:cs="Arial"/>
          <w:sz w:val="22"/>
          <w:szCs w:val="22"/>
        </w:rPr>
        <w:t xml:space="preserve">It is worth noting that KPI data can be difficult to interpret in single-cohort programs as the samples sizes are, by nature, extremely small. </w:t>
      </w:r>
      <w:r w:rsidR="00CB27CB" w:rsidRPr="00F56CCC">
        <w:rPr>
          <w:rFonts w:cs="Arial"/>
          <w:sz w:val="22"/>
          <w:szCs w:val="22"/>
        </w:rPr>
        <w:t xml:space="preserve">In all of the KPI categories, across all five years of reporting, the single largest sample size is 23, with many significantly smaller than that.  </w:t>
      </w:r>
    </w:p>
    <w:p w:rsidR="00CC7662" w:rsidRPr="00F56CCC" w:rsidRDefault="00CC7662" w:rsidP="00CC7662">
      <w:pPr>
        <w:tabs>
          <w:tab w:val="left" w:pos="-1440"/>
        </w:tabs>
        <w:rPr>
          <w:rFonts w:cs="Arial"/>
          <w:sz w:val="22"/>
          <w:szCs w:val="22"/>
        </w:rPr>
      </w:pPr>
    </w:p>
    <w:p w:rsidR="00CC7662" w:rsidRPr="00F56CCC" w:rsidRDefault="00CC7662" w:rsidP="00CC7662">
      <w:pPr>
        <w:tabs>
          <w:tab w:val="left" w:pos="-1440"/>
        </w:tabs>
        <w:rPr>
          <w:rFonts w:cs="Arial"/>
          <w:sz w:val="22"/>
          <w:szCs w:val="22"/>
        </w:rPr>
      </w:pPr>
      <w:r w:rsidRPr="00F56CCC">
        <w:rPr>
          <w:rFonts w:cs="Arial"/>
          <w:sz w:val="22"/>
          <w:szCs w:val="22"/>
        </w:rPr>
        <w:t xml:space="preserve">KPI 1: Graduation Rate: </w:t>
      </w:r>
    </w:p>
    <w:p w:rsidR="00CC7662" w:rsidRPr="00F56CCC" w:rsidRDefault="00CB27CB" w:rsidP="00CC7662">
      <w:pPr>
        <w:pStyle w:val="ListParagraph"/>
        <w:numPr>
          <w:ilvl w:val="0"/>
          <w:numId w:val="4"/>
        </w:numPr>
        <w:tabs>
          <w:tab w:val="left" w:pos="-1440"/>
        </w:tabs>
        <w:rPr>
          <w:rFonts w:cs="Arial"/>
          <w:sz w:val="22"/>
          <w:szCs w:val="22"/>
        </w:rPr>
      </w:pPr>
      <w:r w:rsidRPr="00F56CCC">
        <w:rPr>
          <w:rFonts w:cs="Arial"/>
          <w:sz w:val="22"/>
          <w:szCs w:val="22"/>
        </w:rPr>
        <w:t xml:space="preserve">As a post graduate certificate, graduation rates are as is typical, much higher than the College score. We do have graduation rates just slightly below the System scores, but not enough to be cause for significant concern. </w:t>
      </w:r>
    </w:p>
    <w:p w:rsidR="00CC7662" w:rsidRPr="00F56CCC" w:rsidRDefault="00CC7662" w:rsidP="00CC7662">
      <w:pPr>
        <w:tabs>
          <w:tab w:val="left" w:pos="-1440"/>
        </w:tabs>
        <w:ind w:left="360"/>
        <w:rPr>
          <w:rFonts w:cs="Arial"/>
          <w:sz w:val="22"/>
          <w:szCs w:val="22"/>
        </w:rPr>
      </w:pPr>
    </w:p>
    <w:p w:rsidR="00CB27CB" w:rsidRPr="00F56CCC" w:rsidRDefault="00CB27CB" w:rsidP="00CC7662">
      <w:pPr>
        <w:tabs>
          <w:tab w:val="left" w:pos="-1440"/>
        </w:tabs>
        <w:rPr>
          <w:rFonts w:cs="Arial"/>
          <w:sz w:val="22"/>
          <w:szCs w:val="22"/>
        </w:rPr>
      </w:pPr>
      <w:r w:rsidRPr="00F56CCC">
        <w:rPr>
          <w:rFonts w:cs="Arial"/>
          <w:sz w:val="22"/>
          <w:szCs w:val="22"/>
        </w:rPr>
        <w:t>KPI 2 Overall Employment Rate</w:t>
      </w:r>
    </w:p>
    <w:p w:rsidR="00CB27CB" w:rsidRPr="00F56CCC" w:rsidRDefault="00CB27CB" w:rsidP="00CC7662">
      <w:pPr>
        <w:tabs>
          <w:tab w:val="left" w:pos="-1440"/>
        </w:tabs>
        <w:rPr>
          <w:rFonts w:cs="Arial"/>
          <w:sz w:val="22"/>
          <w:szCs w:val="22"/>
        </w:rPr>
      </w:pPr>
      <w:r w:rsidRPr="00F56CCC">
        <w:rPr>
          <w:rFonts w:cs="Arial"/>
          <w:sz w:val="22"/>
          <w:szCs w:val="22"/>
        </w:rPr>
        <w:t xml:space="preserve">KPI </w:t>
      </w:r>
      <w:r w:rsidR="00CC7662" w:rsidRPr="00F56CCC">
        <w:rPr>
          <w:rFonts w:cs="Arial"/>
          <w:sz w:val="22"/>
          <w:szCs w:val="22"/>
        </w:rPr>
        <w:t>3 Related Empl</w:t>
      </w:r>
      <w:r w:rsidRPr="00F56CCC">
        <w:rPr>
          <w:rFonts w:cs="Arial"/>
          <w:sz w:val="22"/>
          <w:szCs w:val="22"/>
        </w:rPr>
        <w:t>oyment Rate</w:t>
      </w:r>
    </w:p>
    <w:p w:rsidR="00CB27CB" w:rsidRPr="00F56CCC" w:rsidRDefault="00CB27CB" w:rsidP="00CC7662">
      <w:pPr>
        <w:tabs>
          <w:tab w:val="left" w:pos="-1440"/>
        </w:tabs>
        <w:rPr>
          <w:rFonts w:cs="Arial"/>
          <w:sz w:val="22"/>
          <w:szCs w:val="22"/>
        </w:rPr>
      </w:pPr>
      <w:r w:rsidRPr="00F56CCC">
        <w:rPr>
          <w:rFonts w:cs="Arial"/>
          <w:sz w:val="22"/>
          <w:szCs w:val="22"/>
        </w:rPr>
        <w:t xml:space="preserve">KPI </w:t>
      </w:r>
      <w:r w:rsidR="00CC7662" w:rsidRPr="00F56CCC">
        <w:rPr>
          <w:rFonts w:cs="Arial"/>
          <w:sz w:val="22"/>
          <w:szCs w:val="22"/>
        </w:rPr>
        <w:t>4 Graduate Satisfaction with Generic an</w:t>
      </w:r>
      <w:r w:rsidRPr="00F56CCC">
        <w:rPr>
          <w:rFonts w:cs="Arial"/>
          <w:sz w:val="22"/>
          <w:szCs w:val="22"/>
        </w:rPr>
        <w:t>d Vocational Learning Outcomes</w:t>
      </w:r>
    </w:p>
    <w:p w:rsidR="00CC7662" w:rsidRPr="00F56CCC" w:rsidRDefault="00CC7662" w:rsidP="00CC7662">
      <w:pPr>
        <w:tabs>
          <w:tab w:val="left" w:pos="-1440"/>
        </w:tabs>
        <w:rPr>
          <w:rFonts w:cs="Arial"/>
          <w:sz w:val="22"/>
          <w:szCs w:val="22"/>
        </w:rPr>
      </w:pPr>
      <w:r w:rsidRPr="00F56CCC">
        <w:rPr>
          <w:rFonts w:cs="Arial"/>
          <w:sz w:val="22"/>
          <w:szCs w:val="22"/>
        </w:rPr>
        <w:t xml:space="preserve">KPI 11 Graduate </w:t>
      </w:r>
      <w:proofErr w:type="gramStart"/>
      <w:r w:rsidRPr="00F56CCC">
        <w:rPr>
          <w:rFonts w:cs="Arial"/>
          <w:sz w:val="22"/>
          <w:szCs w:val="22"/>
        </w:rPr>
        <w:t>Satisfaction</w:t>
      </w:r>
      <w:proofErr w:type="gramEnd"/>
      <w:r w:rsidRPr="00F56CCC">
        <w:rPr>
          <w:rFonts w:cs="Arial"/>
          <w:sz w:val="22"/>
          <w:szCs w:val="22"/>
        </w:rPr>
        <w:t xml:space="preserve"> with Program</w:t>
      </w:r>
    </w:p>
    <w:p w:rsidR="00CC7662" w:rsidRPr="00F56CCC" w:rsidRDefault="00CC7662" w:rsidP="00CC7662">
      <w:pPr>
        <w:pStyle w:val="ListParagraph"/>
        <w:numPr>
          <w:ilvl w:val="0"/>
          <w:numId w:val="4"/>
        </w:numPr>
        <w:tabs>
          <w:tab w:val="left" w:pos="-1440"/>
        </w:tabs>
        <w:rPr>
          <w:rFonts w:cs="Arial"/>
          <w:sz w:val="22"/>
          <w:szCs w:val="22"/>
        </w:rPr>
      </w:pPr>
      <w:r w:rsidRPr="00F56CCC">
        <w:rPr>
          <w:rFonts w:cs="Arial"/>
          <w:sz w:val="22"/>
          <w:szCs w:val="22"/>
        </w:rPr>
        <w:lastRenderedPageBreak/>
        <w:t xml:space="preserve">It is difficult to comment on any kind of pattern based on extremely low respondent numbers in </w:t>
      </w:r>
      <w:r w:rsidR="00E7779F">
        <w:rPr>
          <w:rFonts w:cs="Arial"/>
          <w:sz w:val="22"/>
          <w:szCs w:val="22"/>
        </w:rPr>
        <w:t xml:space="preserve">the Emergency Management </w:t>
      </w:r>
      <w:r w:rsidRPr="00F56CCC">
        <w:rPr>
          <w:rFonts w:cs="Arial"/>
          <w:sz w:val="22"/>
          <w:szCs w:val="22"/>
        </w:rPr>
        <w:t xml:space="preserve">program. See Appendix 1, attached, for originating data.   </w:t>
      </w:r>
    </w:p>
    <w:p w:rsidR="00CC7662" w:rsidRPr="00F56CCC" w:rsidRDefault="00CC7662" w:rsidP="00CC7662">
      <w:pPr>
        <w:tabs>
          <w:tab w:val="left" w:pos="-1440"/>
        </w:tabs>
        <w:rPr>
          <w:rFonts w:cs="Arial"/>
          <w:sz w:val="22"/>
          <w:szCs w:val="22"/>
        </w:rPr>
      </w:pPr>
    </w:p>
    <w:p w:rsidR="00CB27CB" w:rsidRPr="00F56CCC" w:rsidRDefault="00CC7662" w:rsidP="00CB27CB">
      <w:pPr>
        <w:tabs>
          <w:tab w:val="left" w:pos="-1440"/>
        </w:tabs>
        <w:rPr>
          <w:rFonts w:cs="Arial"/>
          <w:sz w:val="22"/>
          <w:szCs w:val="22"/>
        </w:rPr>
      </w:pPr>
      <w:r w:rsidRPr="00F56CCC">
        <w:rPr>
          <w:rFonts w:cs="Arial"/>
          <w:sz w:val="22"/>
          <w:szCs w:val="22"/>
        </w:rPr>
        <w:t>KPI 8: Student Satisfaction with Learning Experience</w:t>
      </w:r>
      <w:r w:rsidR="00CB27CB" w:rsidRPr="00F56CCC">
        <w:rPr>
          <w:rFonts w:cs="Arial"/>
          <w:sz w:val="22"/>
          <w:szCs w:val="22"/>
        </w:rPr>
        <w:t xml:space="preserve"> </w:t>
      </w:r>
    </w:p>
    <w:p w:rsidR="00CB27CB" w:rsidRPr="00F56CCC" w:rsidRDefault="00CB27CB" w:rsidP="00CB27CB">
      <w:pPr>
        <w:tabs>
          <w:tab w:val="left" w:pos="-1440"/>
        </w:tabs>
        <w:rPr>
          <w:rFonts w:cs="Arial"/>
          <w:sz w:val="22"/>
          <w:szCs w:val="22"/>
        </w:rPr>
      </w:pPr>
      <w:r w:rsidRPr="00F56CCC">
        <w:rPr>
          <w:rFonts w:cs="Arial"/>
          <w:sz w:val="22"/>
          <w:szCs w:val="22"/>
        </w:rPr>
        <w:t>KPI 9: Student Satisfaction with Teachers</w:t>
      </w:r>
    </w:p>
    <w:p w:rsidR="00CC7662" w:rsidRPr="00F56CCC" w:rsidRDefault="00CB27CB" w:rsidP="00CC7662">
      <w:pPr>
        <w:pStyle w:val="ListParagraph"/>
        <w:numPr>
          <w:ilvl w:val="0"/>
          <w:numId w:val="4"/>
        </w:numPr>
        <w:tabs>
          <w:tab w:val="left" w:pos="-1440"/>
        </w:tabs>
        <w:rPr>
          <w:rFonts w:cs="Arial"/>
          <w:sz w:val="22"/>
          <w:szCs w:val="22"/>
        </w:rPr>
      </w:pPr>
      <w:r w:rsidRPr="00F56CCC">
        <w:rPr>
          <w:rFonts w:cs="Arial"/>
          <w:sz w:val="22"/>
          <w:szCs w:val="22"/>
        </w:rPr>
        <w:t xml:space="preserve">As noted above, it is difficult to determine any clear pattern based on small sample </w:t>
      </w:r>
      <w:proofErr w:type="gramStart"/>
      <w:r w:rsidRPr="00F56CCC">
        <w:rPr>
          <w:rFonts w:cs="Arial"/>
          <w:sz w:val="22"/>
          <w:szCs w:val="22"/>
        </w:rPr>
        <w:t>sizes,</w:t>
      </w:r>
      <w:proofErr w:type="gramEnd"/>
      <w:r w:rsidRPr="00F56CCC">
        <w:rPr>
          <w:rFonts w:cs="Arial"/>
          <w:sz w:val="22"/>
          <w:szCs w:val="22"/>
        </w:rPr>
        <w:t xml:space="preserve"> however, it is worth noting that our scores in both of these categories for 2012 were disappointingly low</w:t>
      </w:r>
      <w:r w:rsidR="00CC7662" w:rsidRPr="00F56CCC">
        <w:rPr>
          <w:rFonts w:cs="Arial"/>
          <w:sz w:val="22"/>
          <w:szCs w:val="22"/>
        </w:rPr>
        <w:t>.</w:t>
      </w:r>
      <w:r w:rsidRPr="00F56CCC">
        <w:rPr>
          <w:rFonts w:cs="Arial"/>
          <w:sz w:val="22"/>
          <w:szCs w:val="22"/>
        </w:rPr>
        <w:t xml:space="preserve"> A recommendation will be made to devote time to investigating this further and developing a response plan, if necessary. </w:t>
      </w:r>
      <w:r w:rsidR="00CC7662" w:rsidRPr="00F56CCC">
        <w:rPr>
          <w:rFonts w:cs="Arial"/>
          <w:sz w:val="22"/>
          <w:szCs w:val="22"/>
        </w:rPr>
        <w:t xml:space="preserve"> </w:t>
      </w:r>
    </w:p>
    <w:p w:rsidR="00D9002D" w:rsidRPr="00F56CCC" w:rsidRDefault="00D9002D" w:rsidP="00D9002D">
      <w:pPr>
        <w:tabs>
          <w:tab w:val="left" w:pos="-1440"/>
        </w:tabs>
        <w:rPr>
          <w:rFonts w:cs="Arial"/>
          <w:sz w:val="22"/>
          <w:szCs w:val="22"/>
        </w:rPr>
      </w:pPr>
    </w:p>
    <w:p w:rsidR="001219FA" w:rsidRPr="00F56CCC" w:rsidRDefault="00D9002D" w:rsidP="00485696">
      <w:pPr>
        <w:tabs>
          <w:tab w:val="left" w:pos="-1440"/>
        </w:tabs>
        <w:rPr>
          <w:rFonts w:cs="Arial"/>
          <w:sz w:val="22"/>
          <w:szCs w:val="22"/>
        </w:rPr>
      </w:pPr>
      <w:r w:rsidRPr="00F56CCC">
        <w:rPr>
          <w:rFonts w:cs="Arial"/>
          <w:sz w:val="22"/>
          <w:szCs w:val="22"/>
        </w:rPr>
        <w:t>Please see Appendix 1 for program excerpt from the KPI Report</w:t>
      </w:r>
    </w:p>
    <w:p w:rsidR="00485696" w:rsidRPr="00F56CCC" w:rsidRDefault="00485696" w:rsidP="00485696">
      <w:pPr>
        <w:tabs>
          <w:tab w:val="left" w:pos="-1440"/>
        </w:tabs>
        <w:rPr>
          <w:rFonts w:cs="Arial"/>
          <w:sz w:val="22"/>
          <w:szCs w:val="22"/>
        </w:rPr>
      </w:pPr>
    </w:p>
    <w:p w:rsidR="00CC7662" w:rsidRPr="00F56CCC" w:rsidRDefault="00CC7662" w:rsidP="00CC7662">
      <w:pPr>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STUDENT DEMAND</w:t>
      </w:r>
    </w:p>
    <w:p w:rsidR="00CC7662" w:rsidRPr="00F56CCC" w:rsidRDefault="00CC7662" w:rsidP="00CC7662">
      <w:pPr>
        <w:tabs>
          <w:tab w:val="left" w:pos="-1440"/>
        </w:tabs>
        <w:rPr>
          <w:rFonts w:cs="Arial"/>
          <w:sz w:val="22"/>
          <w:szCs w:val="22"/>
        </w:rPr>
      </w:pPr>
    </w:p>
    <w:p w:rsidR="006B7692" w:rsidRPr="00F56CCC" w:rsidRDefault="00CC7662" w:rsidP="00CC7662">
      <w:pPr>
        <w:pStyle w:val="ListParagraph"/>
        <w:numPr>
          <w:ilvl w:val="0"/>
          <w:numId w:val="4"/>
        </w:numPr>
        <w:tabs>
          <w:tab w:val="left" w:pos="-1440"/>
        </w:tabs>
        <w:rPr>
          <w:rFonts w:cs="Arial"/>
          <w:sz w:val="22"/>
          <w:szCs w:val="22"/>
        </w:rPr>
      </w:pPr>
      <w:r w:rsidRPr="00F56CCC">
        <w:rPr>
          <w:rFonts w:cs="Arial"/>
          <w:sz w:val="22"/>
          <w:szCs w:val="22"/>
        </w:rPr>
        <w:t xml:space="preserve">The student demand for </w:t>
      </w:r>
      <w:r w:rsidR="006B7692" w:rsidRPr="00F56CCC">
        <w:rPr>
          <w:rFonts w:cs="Arial"/>
          <w:sz w:val="22"/>
          <w:szCs w:val="22"/>
        </w:rPr>
        <w:t xml:space="preserve">the Emergency Management Graduate Certificate is strong, </w:t>
      </w:r>
      <w:r w:rsidRPr="00F56CCC">
        <w:rPr>
          <w:rFonts w:cs="Arial"/>
          <w:sz w:val="22"/>
          <w:szCs w:val="22"/>
        </w:rPr>
        <w:t xml:space="preserve">meaning that </w:t>
      </w:r>
      <w:r w:rsidR="006B7692" w:rsidRPr="00F56CCC">
        <w:rPr>
          <w:rFonts w:cs="Arial"/>
          <w:sz w:val="22"/>
          <w:szCs w:val="22"/>
        </w:rPr>
        <w:t>our enrolment growth is outpacing the system and is equal to or greater than 3%</w:t>
      </w:r>
    </w:p>
    <w:p w:rsidR="006B7692" w:rsidRPr="00F56CCC" w:rsidRDefault="006B7692" w:rsidP="00CC7662">
      <w:pPr>
        <w:pStyle w:val="ListParagraph"/>
        <w:numPr>
          <w:ilvl w:val="0"/>
          <w:numId w:val="4"/>
        </w:numPr>
        <w:tabs>
          <w:tab w:val="left" w:pos="-1440"/>
        </w:tabs>
        <w:rPr>
          <w:rFonts w:cs="Arial"/>
          <w:sz w:val="22"/>
          <w:szCs w:val="22"/>
        </w:rPr>
      </w:pPr>
      <w:r w:rsidRPr="00F56CCC">
        <w:rPr>
          <w:rFonts w:cs="Arial"/>
          <w:sz w:val="22"/>
          <w:szCs w:val="22"/>
        </w:rPr>
        <w:t xml:space="preserve">It is important to note that Fleming and Sheridan are the only two programs that offer this program with complete registration data, and, that both have small intakes, however, according to our enrolment data, Fleming’s program has a mean growth rate of 19%. </w:t>
      </w:r>
    </w:p>
    <w:p w:rsidR="006B7692" w:rsidRPr="00F56CCC" w:rsidRDefault="006B7692" w:rsidP="00CC7662">
      <w:pPr>
        <w:tabs>
          <w:tab w:val="left" w:pos="-1440"/>
        </w:tabs>
        <w:rPr>
          <w:rFonts w:cs="Arial"/>
          <w:sz w:val="22"/>
          <w:szCs w:val="22"/>
        </w:rPr>
      </w:pPr>
    </w:p>
    <w:p w:rsidR="00CC7662" w:rsidRPr="00F56CCC" w:rsidRDefault="00CC7662" w:rsidP="00CC7662">
      <w:pPr>
        <w:tabs>
          <w:tab w:val="left" w:pos="-1440"/>
        </w:tabs>
        <w:rPr>
          <w:rFonts w:cs="Arial"/>
          <w:sz w:val="22"/>
          <w:szCs w:val="22"/>
        </w:rPr>
      </w:pPr>
      <w:r w:rsidRPr="00F56CCC">
        <w:rPr>
          <w:rFonts w:cs="Arial"/>
          <w:sz w:val="22"/>
          <w:szCs w:val="22"/>
        </w:rPr>
        <w:t>Please see Appendix 2 for program excerpt from the Enrolment Trend Report</w:t>
      </w:r>
    </w:p>
    <w:p w:rsidR="00CC7662" w:rsidRPr="00F56CCC" w:rsidRDefault="00CC7662" w:rsidP="00CC7662">
      <w:pPr>
        <w:tabs>
          <w:tab w:val="left" w:pos="-1440"/>
        </w:tabs>
        <w:rPr>
          <w:rFonts w:cs="Arial"/>
          <w:sz w:val="22"/>
          <w:szCs w:val="22"/>
        </w:rPr>
      </w:pPr>
    </w:p>
    <w:p w:rsidR="00485696" w:rsidRPr="00F56CCC" w:rsidRDefault="00485696" w:rsidP="00CC7662">
      <w:pPr>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COMPETITOR ANALYSIS</w:t>
      </w:r>
    </w:p>
    <w:p w:rsidR="00CC7662" w:rsidRPr="00F56CCC" w:rsidRDefault="00CC7662" w:rsidP="00CC7662">
      <w:pPr>
        <w:tabs>
          <w:tab w:val="left" w:pos="-1440"/>
        </w:tabs>
        <w:rPr>
          <w:rFonts w:cs="Arial"/>
          <w:sz w:val="22"/>
          <w:szCs w:val="22"/>
        </w:rPr>
      </w:pPr>
    </w:p>
    <w:p w:rsidR="00D9002D" w:rsidRPr="00F56CCC" w:rsidRDefault="00D9002D" w:rsidP="00CC7662">
      <w:pPr>
        <w:pStyle w:val="ListParagraph"/>
        <w:numPr>
          <w:ilvl w:val="0"/>
          <w:numId w:val="5"/>
        </w:numPr>
        <w:tabs>
          <w:tab w:val="left" w:pos="-1440"/>
        </w:tabs>
        <w:rPr>
          <w:rFonts w:cs="Arial"/>
          <w:sz w:val="22"/>
          <w:szCs w:val="22"/>
        </w:rPr>
      </w:pPr>
      <w:r w:rsidRPr="00F56CCC">
        <w:rPr>
          <w:rFonts w:cs="Arial"/>
          <w:sz w:val="22"/>
          <w:szCs w:val="22"/>
        </w:rPr>
        <w:t xml:space="preserve">The competitor analysis </w:t>
      </w:r>
      <w:r w:rsidR="00CC7662" w:rsidRPr="00F56CCC">
        <w:rPr>
          <w:rFonts w:cs="Arial"/>
          <w:sz w:val="22"/>
          <w:szCs w:val="22"/>
        </w:rPr>
        <w:t xml:space="preserve">for </w:t>
      </w:r>
      <w:r w:rsidRPr="00F56CCC">
        <w:rPr>
          <w:rFonts w:cs="Arial"/>
          <w:sz w:val="22"/>
          <w:szCs w:val="22"/>
        </w:rPr>
        <w:t>the Emergency Management Graduate Certificate is strong</w:t>
      </w:r>
      <w:proofErr w:type="gramStart"/>
      <w:r w:rsidRPr="00F56CCC">
        <w:rPr>
          <w:rFonts w:cs="Arial"/>
          <w:sz w:val="22"/>
          <w:szCs w:val="22"/>
        </w:rPr>
        <w:t xml:space="preserve">, </w:t>
      </w:r>
      <w:r w:rsidR="00CC7662" w:rsidRPr="00F56CCC">
        <w:rPr>
          <w:rFonts w:cs="Arial"/>
          <w:sz w:val="22"/>
          <w:szCs w:val="22"/>
        </w:rPr>
        <w:t xml:space="preserve"> meaning</w:t>
      </w:r>
      <w:proofErr w:type="gramEnd"/>
      <w:r w:rsidR="00CC7662" w:rsidRPr="00F56CCC">
        <w:rPr>
          <w:rFonts w:cs="Arial"/>
          <w:sz w:val="22"/>
          <w:szCs w:val="22"/>
        </w:rPr>
        <w:t xml:space="preserve"> Fleming’s conversion ratio is </w:t>
      </w:r>
      <w:r w:rsidRPr="00F56CCC">
        <w:rPr>
          <w:rFonts w:cs="Arial"/>
          <w:sz w:val="22"/>
          <w:szCs w:val="22"/>
        </w:rPr>
        <w:t xml:space="preserve">greater than 2 below the system. </w:t>
      </w:r>
    </w:p>
    <w:p w:rsidR="00CC7662" w:rsidRPr="00F56CCC" w:rsidRDefault="00D9002D" w:rsidP="00CC7662">
      <w:pPr>
        <w:pStyle w:val="ListParagraph"/>
        <w:numPr>
          <w:ilvl w:val="0"/>
          <w:numId w:val="5"/>
        </w:numPr>
        <w:tabs>
          <w:tab w:val="left" w:pos="-1440"/>
        </w:tabs>
        <w:rPr>
          <w:rFonts w:cs="Arial"/>
          <w:sz w:val="22"/>
          <w:szCs w:val="22"/>
        </w:rPr>
      </w:pPr>
      <w:r w:rsidRPr="00F56CCC">
        <w:rPr>
          <w:rFonts w:cs="Arial"/>
          <w:sz w:val="22"/>
          <w:szCs w:val="22"/>
        </w:rPr>
        <w:t xml:space="preserve">As above, it is important to note that Fleming and Sheridan are the only two programs that offer this program with complete registration data, and, that both have small intakes, however, according to our conversion data, Fleming’s program has been consistently below the system and Sheridan. </w:t>
      </w:r>
    </w:p>
    <w:p w:rsidR="00D9002D" w:rsidRPr="00F56CCC" w:rsidRDefault="00D9002D" w:rsidP="00D9002D">
      <w:pPr>
        <w:pStyle w:val="ListParagraph"/>
        <w:tabs>
          <w:tab w:val="left" w:pos="-1440"/>
        </w:tabs>
        <w:rPr>
          <w:rFonts w:cs="Arial"/>
          <w:sz w:val="22"/>
          <w:szCs w:val="22"/>
        </w:rPr>
      </w:pPr>
    </w:p>
    <w:p w:rsidR="00CC7662" w:rsidRPr="00F56CCC" w:rsidRDefault="00CC7662" w:rsidP="00CC7662">
      <w:pPr>
        <w:tabs>
          <w:tab w:val="left" w:pos="-1440"/>
        </w:tabs>
        <w:rPr>
          <w:rFonts w:cs="Arial"/>
          <w:sz w:val="22"/>
          <w:szCs w:val="22"/>
        </w:rPr>
      </w:pPr>
      <w:r w:rsidRPr="00F56CCC">
        <w:rPr>
          <w:rFonts w:cs="Arial"/>
          <w:sz w:val="22"/>
          <w:szCs w:val="22"/>
        </w:rPr>
        <w:t xml:space="preserve">Please see Appendix 3 for program excerpt from the Conversion Report. </w:t>
      </w:r>
    </w:p>
    <w:p w:rsidR="00CC7662" w:rsidRPr="00F56CCC" w:rsidRDefault="00CC7662" w:rsidP="00CC7662">
      <w:pPr>
        <w:tabs>
          <w:tab w:val="left" w:pos="-1440"/>
        </w:tabs>
        <w:rPr>
          <w:rFonts w:cs="Arial"/>
          <w:sz w:val="22"/>
          <w:szCs w:val="22"/>
        </w:rPr>
      </w:pPr>
    </w:p>
    <w:p w:rsidR="00CC7662" w:rsidRPr="00F56CCC" w:rsidRDefault="00CC7662" w:rsidP="00CC7662">
      <w:pPr>
        <w:tabs>
          <w:tab w:val="left" w:pos="-1440"/>
        </w:tabs>
        <w:rPr>
          <w:rFonts w:cs="Arial"/>
          <w:b/>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FINANCIAL ANALYSIS</w:t>
      </w:r>
    </w:p>
    <w:p w:rsidR="00CC7662" w:rsidRPr="00F56CCC" w:rsidRDefault="00CC7662" w:rsidP="00CC7662">
      <w:pPr>
        <w:tabs>
          <w:tab w:val="left" w:pos="-1440"/>
        </w:tabs>
        <w:rPr>
          <w:rFonts w:cs="Arial"/>
          <w:sz w:val="22"/>
          <w:szCs w:val="22"/>
        </w:rPr>
      </w:pPr>
    </w:p>
    <w:p w:rsidR="00D9002D" w:rsidRPr="00F56CCC" w:rsidRDefault="00CC7662" w:rsidP="00D9002D">
      <w:pPr>
        <w:pStyle w:val="ListParagraph"/>
        <w:numPr>
          <w:ilvl w:val="0"/>
          <w:numId w:val="7"/>
        </w:numPr>
        <w:tabs>
          <w:tab w:val="left" w:pos="-1440"/>
        </w:tabs>
        <w:rPr>
          <w:sz w:val="22"/>
        </w:rPr>
      </w:pPr>
      <w:r w:rsidRPr="00F56CCC">
        <w:rPr>
          <w:sz w:val="22"/>
        </w:rPr>
        <w:t xml:space="preserve">The financial analysis for </w:t>
      </w:r>
      <w:r w:rsidR="00D9002D" w:rsidRPr="00F56CCC">
        <w:rPr>
          <w:sz w:val="22"/>
        </w:rPr>
        <w:t xml:space="preserve">Emergency Management </w:t>
      </w:r>
      <w:r w:rsidRPr="00F56CCC">
        <w:rPr>
          <w:sz w:val="22"/>
        </w:rPr>
        <w:t xml:space="preserve">is </w:t>
      </w:r>
      <w:r w:rsidR="00D9002D" w:rsidRPr="00F56CCC">
        <w:rPr>
          <w:sz w:val="22"/>
        </w:rPr>
        <w:t>weak.</w:t>
      </w:r>
    </w:p>
    <w:p w:rsidR="00D9002D" w:rsidRPr="00F56CCC" w:rsidRDefault="00D9002D" w:rsidP="00D9002D">
      <w:pPr>
        <w:pStyle w:val="ListParagraph"/>
        <w:numPr>
          <w:ilvl w:val="1"/>
          <w:numId w:val="7"/>
        </w:numPr>
        <w:tabs>
          <w:tab w:val="left" w:pos="-1440"/>
        </w:tabs>
        <w:rPr>
          <w:sz w:val="22"/>
        </w:rPr>
      </w:pPr>
      <w:r w:rsidRPr="00F56CCC">
        <w:rPr>
          <w:sz w:val="22"/>
        </w:rPr>
        <w:t>Contribution to overhead: 18.6</w:t>
      </w:r>
      <w:r w:rsidR="00CC7662" w:rsidRPr="00F56CCC">
        <w:rPr>
          <w:sz w:val="22"/>
        </w:rPr>
        <w:t>%</w:t>
      </w:r>
    </w:p>
    <w:p w:rsidR="00D9002D" w:rsidRPr="00F56CCC" w:rsidRDefault="00D9002D" w:rsidP="00D9002D">
      <w:pPr>
        <w:pStyle w:val="ListParagraph"/>
        <w:numPr>
          <w:ilvl w:val="1"/>
          <w:numId w:val="7"/>
        </w:numPr>
        <w:tabs>
          <w:tab w:val="left" w:pos="-1440"/>
        </w:tabs>
        <w:rPr>
          <w:sz w:val="22"/>
        </w:rPr>
      </w:pPr>
      <w:r w:rsidRPr="00F56CCC">
        <w:rPr>
          <w:sz w:val="22"/>
        </w:rPr>
        <w:t>Program Weight: 1</w:t>
      </w:r>
    </w:p>
    <w:p w:rsidR="00D9002D" w:rsidRPr="00F56CCC" w:rsidRDefault="00D9002D" w:rsidP="00D9002D">
      <w:pPr>
        <w:pStyle w:val="ListParagraph"/>
        <w:numPr>
          <w:ilvl w:val="1"/>
          <w:numId w:val="7"/>
        </w:numPr>
        <w:tabs>
          <w:tab w:val="left" w:pos="-1440"/>
        </w:tabs>
        <w:rPr>
          <w:rFonts w:cs="Arial"/>
          <w:sz w:val="22"/>
          <w:szCs w:val="22"/>
        </w:rPr>
      </w:pPr>
      <w:r w:rsidRPr="00F56CCC">
        <w:rPr>
          <w:sz w:val="22"/>
        </w:rPr>
        <w:t>Funding Unit: 1</w:t>
      </w:r>
    </w:p>
    <w:p w:rsidR="00D9002D" w:rsidRPr="00F56CCC" w:rsidRDefault="00D9002D" w:rsidP="00D9002D">
      <w:pPr>
        <w:pStyle w:val="ListParagraph"/>
        <w:numPr>
          <w:ilvl w:val="0"/>
          <w:numId w:val="7"/>
        </w:numPr>
        <w:tabs>
          <w:tab w:val="left" w:pos="-1440"/>
        </w:tabs>
        <w:rPr>
          <w:rFonts w:cs="Arial"/>
          <w:sz w:val="22"/>
          <w:szCs w:val="22"/>
        </w:rPr>
      </w:pPr>
      <w:r w:rsidRPr="00F56CCC">
        <w:rPr>
          <w:sz w:val="22"/>
        </w:rPr>
        <w:t xml:space="preserve">As a relatively low cost program, the only way to increase the contribution to overhead is to increase enrolment, which puts in jeopardy one of the key strengths of the program, it’s </w:t>
      </w:r>
      <w:r w:rsidR="00485696" w:rsidRPr="00F56CCC">
        <w:rPr>
          <w:sz w:val="22"/>
        </w:rPr>
        <w:t xml:space="preserve">focussed client model and </w:t>
      </w:r>
      <w:r w:rsidRPr="00F56CCC">
        <w:rPr>
          <w:sz w:val="22"/>
        </w:rPr>
        <w:t xml:space="preserve">small size. </w:t>
      </w:r>
    </w:p>
    <w:p w:rsidR="00D9002D" w:rsidRPr="00F56CCC" w:rsidRDefault="00D9002D" w:rsidP="00D9002D">
      <w:pPr>
        <w:pStyle w:val="ListParagraph"/>
        <w:tabs>
          <w:tab w:val="left" w:pos="-1440"/>
        </w:tabs>
        <w:rPr>
          <w:rFonts w:cs="Arial"/>
          <w:sz w:val="22"/>
          <w:szCs w:val="22"/>
        </w:rPr>
      </w:pPr>
    </w:p>
    <w:p w:rsidR="00645259" w:rsidRPr="00F56CCC" w:rsidRDefault="00645259" w:rsidP="00D9002D">
      <w:pPr>
        <w:pStyle w:val="ListParagraph"/>
        <w:tabs>
          <w:tab w:val="left" w:pos="-144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SUMMARY OF RECOMMENDATIONS</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F56CCC">
        <w:rPr>
          <w:rFonts w:cs="Arial"/>
          <w:sz w:val="22"/>
          <w:szCs w:val="22"/>
        </w:rPr>
        <w:t xml:space="preserve">A </w:t>
      </w:r>
      <w:r w:rsidRPr="00F56CCC">
        <w:rPr>
          <w:rFonts w:cs="Arial"/>
          <w:sz w:val="22"/>
          <w:szCs w:val="22"/>
          <w:u w:val="single"/>
        </w:rPr>
        <w:t>summary</w:t>
      </w:r>
      <w:r w:rsidRPr="00F56CCC">
        <w:rPr>
          <w:rFonts w:cs="Arial"/>
          <w:sz w:val="22"/>
          <w:szCs w:val="22"/>
        </w:rPr>
        <w:t xml:space="preserve"> of the recommendations contained within the full report.</w:t>
      </w:r>
      <w:r w:rsidRPr="00F56CCC">
        <w:rPr>
          <w:rFonts w:cs="Arial"/>
          <w:b/>
          <w:sz w:val="22"/>
          <w:szCs w:val="22"/>
        </w:rPr>
        <w:t xml:space="preserve">        </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i/>
          <w:sz w:val="22"/>
          <w:szCs w:val="22"/>
        </w:rPr>
      </w:pPr>
      <w:r w:rsidRPr="00F56CCC">
        <w:rPr>
          <w:rFonts w:cs="Arial"/>
          <w:b/>
          <w:i/>
          <w:sz w:val="22"/>
          <w:szCs w:val="22"/>
          <w:u w:val="single"/>
        </w:rPr>
        <w:t>NOTE</w:t>
      </w:r>
      <w:r w:rsidRPr="00F56CCC">
        <w:rPr>
          <w:rFonts w:cs="Arial"/>
          <w:b/>
          <w:i/>
          <w:sz w:val="22"/>
          <w:szCs w:val="22"/>
        </w:rPr>
        <w:t xml:space="preserve">:  Recommendations should clearly differentiate between those strategies that </w:t>
      </w:r>
      <w:r w:rsidRPr="00F56CCC">
        <w:rPr>
          <w:rFonts w:cs="Arial"/>
          <w:b/>
          <w:i/>
          <w:sz w:val="22"/>
          <w:szCs w:val="22"/>
          <w:u w:val="single"/>
        </w:rPr>
        <w:t>build upon strengths</w:t>
      </w:r>
      <w:r w:rsidRPr="00F56CCC">
        <w:rPr>
          <w:rFonts w:cs="Arial"/>
          <w:b/>
          <w:i/>
          <w:sz w:val="22"/>
          <w:szCs w:val="22"/>
        </w:rPr>
        <w:t xml:space="preserve"> versus those developed to </w:t>
      </w:r>
      <w:r w:rsidRPr="00F56CCC">
        <w:rPr>
          <w:rFonts w:cs="Arial"/>
          <w:b/>
          <w:i/>
          <w:sz w:val="22"/>
          <w:szCs w:val="22"/>
          <w:u w:val="single"/>
        </w:rPr>
        <w:t>address any gaps</w:t>
      </w:r>
      <w:r w:rsidRPr="00F56CCC">
        <w:rPr>
          <w:rFonts w:cs="Arial"/>
          <w:b/>
          <w:i/>
          <w:sz w:val="22"/>
          <w:szCs w:val="22"/>
        </w:rPr>
        <w:t xml:space="preserve"> that may exist</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9002D" w:rsidRPr="00F56CCC" w:rsidRDefault="00D9002D" w:rsidP="00D9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u w:val="single"/>
        </w:rPr>
        <w:t>Recommendations Building on Program Strengths</w:t>
      </w:r>
      <w:r w:rsidRPr="00F56CCC">
        <w:rPr>
          <w:rFonts w:cs="Arial"/>
          <w:sz w:val="22"/>
          <w:szCs w:val="22"/>
        </w:rPr>
        <w:t>:</w:t>
      </w:r>
    </w:p>
    <w:p w:rsidR="00D9002D" w:rsidRPr="00F56CCC" w:rsidRDefault="00D9002D" w:rsidP="00D9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9002D" w:rsidRPr="00F56CCC" w:rsidRDefault="00D9002D" w:rsidP="00D9002D">
      <w:pPr>
        <w:pStyle w:val="ListParagraph"/>
        <w:numPr>
          <w:ilvl w:val="0"/>
          <w:numId w:val="13"/>
        </w:numPr>
        <w:rPr>
          <w:sz w:val="22"/>
          <w:szCs w:val="22"/>
        </w:rPr>
      </w:pPr>
      <w:r w:rsidRPr="00F56CCC">
        <w:rPr>
          <w:sz w:val="22"/>
        </w:rPr>
        <w:t xml:space="preserve">Change the title of the program from Emergency Management to Emergency Management and Business Continuity and revise Program Outcomes to reflect this </w:t>
      </w:r>
      <w:r w:rsidRPr="00F56CCC">
        <w:rPr>
          <w:sz w:val="22"/>
          <w:szCs w:val="22"/>
        </w:rPr>
        <w:t>inclusion</w:t>
      </w:r>
    </w:p>
    <w:p w:rsidR="00D9002D" w:rsidRPr="00F56CCC" w:rsidRDefault="00D9002D" w:rsidP="00D9002D">
      <w:pPr>
        <w:pStyle w:val="ListParagraph"/>
        <w:numPr>
          <w:ilvl w:val="0"/>
          <w:numId w:val="13"/>
        </w:numPr>
        <w:rPr>
          <w:sz w:val="22"/>
          <w:szCs w:val="22"/>
        </w:rPr>
      </w:pPr>
      <w:r w:rsidRPr="00F56CCC">
        <w:rPr>
          <w:sz w:val="22"/>
          <w:szCs w:val="22"/>
        </w:rPr>
        <w:t>Explore the possibilities for a co-op</w:t>
      </w:r>
      <w:r w:rsidR="00485696" w:rsidRPr="00F56CCC">
        <w:rPr>
          <w:sz w:val="22"/>
          <w:szCs w:val="22"/>
        </w:rPr>
        <w:t xml:space="preserve"> and/or </w:t>
      </w:r>
      <w:r w:rsidRPr="00F56CCC">
        <w:rPr>
          <w:sz w:val="22"/>
          <w:szCs w:val="22"/>
        </w:rPr>
        <w:t>apprenticeship opportunity for students</w:t>
      </w:r>
    </w:p>
    <w:p w:rsidR="00D9002D" w:rsidRPr="00F56CCC" w:rsidRDefault="00D9002D" w:rsidP="00D9002D">
      <w:pPr>
        <w:pStyle w:val="ListParagraph"/>
        <w:numPr>
          <w:ilvl w:val="0"/>
          <w:numId w:val="13"/>
        </w:numPr>
        <w:rPr>
          <w:sz w:val="22"/>
          <w:szCs w:val="22"/>
        </w:rPr>
      </w:pPr>
      <w:r w:rsidRPr="00F56CCC">
        <w:rPr>
          <w:sz w:val="22"/>
          <w:szCs w:val="22"/>
        </w:rPr>
        <w:t xml:space="preserve">Strengthen the pathway between Fleming’s </w:t>
      </w:r>
      <w:r w:rsidR="00485696" w:rsidRPr="00F56CCC">
        <w:rPr>
          <w:sz w:val="22"/>
          <w:szCs w:val="22"/>
        </w:rPr>
        <w:t>Justice and Business</w:t>
      </w:r>
      <w:r w:rsidRPr="00F56CCC">
        <w:rPr>
          <w:sz w:val="22"/>
          <w:szCs w:val="22"/>
        </w:rPr>
        <w:t xml:space="preserve"> programs and the EMP post grad certificate</w:t>
      </w:r>
      <w:r w:rsidR="00B3567D" w:rsidRPr="00F56CCC">
        <w:rPr>
          <w:sz w:val="22"/>
          <w:szCs w:val="22"/>
        </w:rPr>
        <w:t xml:space="preserve"> </w:t>
      </w:r>
    </w:p>
    <w:p w:rsidR="00B3567D" w:rsidRPr="00F56CCC" w:rsidRDefault="00B3567D" w:rsidP="00D9002D">
      <w:pPr>
        <w:pStyle w:val="ListParagraph"/>
        <w:numPr>
          <w:ilvl w:val="0"/>
          <w:numId w:val="13"/>
        </w:numPr>
        <w:rPr>
          <w:sz w:val="22"/>
          <w:szCs w:val="22"/>
        </w:rPr>
      </w:pPr>
      <w:r w:rsidRPr="00F56CCC">
        <w:rPr>
          <w:sz w:val="22"/>
          <w:szCs w:val="22"/>
        </w:rPr>
        <w:t>Work with other Justice programs in the development and implementation of a “Skills for Justice” scenario room</w:t>
      </w:r>
    </w:p>
    <w:p w:rsidR="00485696" w:rsidRPr="00F56CCC" w:rsidRDefault="00B3567D" w:rsidP="00D9002D">
      <w:pPr>
        <w:pStyle w:val="ListParagraph"/>
        <w:numPr>
          <w:ilvl w:val="0"/>
          <w:numId w:val="13"/>
        </w:numPr>
        <w:rPr>
          <w:sz w:val="22"/>
        </w:rPr>
      </w:pPr>
      <w:r w:rsidRPr="00F56CCC">
        <w:rPr>
          <w:sz w:val="22"/>
          <w:szCs w:val="22"/>
        </w:rPr>
        <w:t xml:space="preserve">Develop </w:t>
      </w:r>
      <w:r w:rsidR="00485696" w:rsidRPr="00F56CCC">
        <w:rPr>
          <w:sz w:val="22"/>
        </w:rPr>
        <w:t>relationship</w:t>
      </w:r>
      <w:r w:rsidRPr="00F56CCC">
        <w:rPr>
          <w:sz w:val="22"/>
        </w:rPr>
        <w:t xml:space="preserve"> and explore educational opportunities with Seneca’s Air Flight School coming to the Peterborough Airport</w:t>
      </w:r>
    </w:p>
    <w:p w:rsidR="005F35D6" w:rsidRPr="00F56CCC" w:rsidRDefault="005F35D6" w:rsidP="00D9002D">
      <w:pPr>
        <w:pStyle w:val="ListParagraph"/>
        <w:numPr>
          <w:ilvl w:val="0"/>
          <w:numId w:val="13"/>
        </w:numPr>
        <w:rPr>
          <w:sz w:val="22"/>
        </w:rPr>
      </w:pPr>
      <w:r w:rsidRPr="00F56CCC">
        <w:rPr>
          <w:sz w:val="22"/>
        </w:rPr>
        <w:t>Update website and develop social media presence as a way to attract strong student candidates and share success stories of program and graduates</w:t>
      </w:r>
    </w:p>
    <w:p w:rsidR="00D9002D" w:rsidRPr="00F56CCC" w:rsidRDefault="00D9002D" w:rsidP="00D9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9002D" w:rsidRPr="00F56CCC" w:rsidRDefault="00D9002D" w:rsidP="00D9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u w:val="single"/>
        </w:rPr>
        <w:t>Recommendations Developed to Address Gaps Identified</w:t>
      </w:r>
      <w:r w:rsidRPr="00F56CCC">
        <w:rPr>
          <w:rFonts w:cs="Arial"/>
          <w:sz w:val="22"/>
          <w:szCs w:val="22"/>
        </w:rPr>
        <w:t>:</w:t>
      </w:r>
    </w:p>
    <w:p w:rsidR="00D9002D" w:rsidRPr="00F56CCC" w:rsidRDefault="00D9002D" w:rsidP="00D9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9002D" w:rsidRPr="00F56CCC" w:rsidRDefault="00D9002D" w:rsidP="00D9002D">
      <w:pPr>
        <w:pStyle w:val="ListParagraph"/>
        <w:numPr>
          <w:ilvl w:val="0"/>
          <w:numId w:val="12"/>
        </w:numPr>
        <w:rPr>
          <w:sz w:val="22"/>
        </w:rPr>
      </w:pPr>
      <w:r w:rsidRPr="00F56CCC">
        <w:rPr>
          <w:sz w:val="22"/>
        </w:rPr>
        <w:t xml:space="preserve">Review assessments across the program to ensure an effective and relevant combination of assessment strategies </w:t>
      </w:r>
    </w:p>
    <w:p w:rsidR="005F35D6" w:rsidRPr="00F56CCC" w:rsidRDefault="00D9002D" w:rsidP="00D9002D">
      <w:pPr>
        <w:pStyle w:val="ListParagraph"/>
        <w:numPr>
          <w:ilvl w:val="0"/>
          <w:numId w:val="12"/>
        </w:numPr>
        <w:rPr>
          <w:sz w:val="22"/>
        </w:rPr>
      </w:pPr>
      <w:r w:rsidRPr="00F56CCC">
        <w:rPr>
          <w:sz w:val="22"/>
        </w:rPr>
        <w:t xml:space="preserve">Explore Continuing-Education opportunities for </w:t>
      </w:r>
      <w:r w:rsidR="00B3567D" w:rsidRPr="00F56CCC">
        <w:rPr>
          <w:sz w:val="22"/>
        </w:rPr>
        <w:t xml:space="preserve">elements of the program to be delivered as either continuing education or contract training opportunities. </w:t>
      </w:r>
    </w:p>
    <w:p w:rsidR="00D9002D" w:rsidRPr="00F56CCC" w:rsidRDefault="00B3567D" w:rsidP="005F35D6">
      <w:pPr>
        <w:pStyle w:val="ListParagraph"/>
        <w:numPr>
          <w:ilvl w:val="1"/>
          <w:numId w:val="12"/>
        </w:numPr>
        <w:rPr>
          <w:sz w:val="22"/>
        </w:rPr>
      </w:pPr>
      <w:r w:rsidRPr="00F56CCC">
        <w:rPr>
          <w:sz w:val="22"/>
        </w:rPr>
        <w:t xml:space="preserve">For example, </w:t>
      </w:r>
      <w:r w:rsidR="00D9002D" w:rsidRPr="00F56CCC">
        <w:rPr>
          <w:sz w:val="22"/>
        </w:rPr>
        <w:t>blended lea</w:t>
      </w:r>
      <w:r w:rsidRPr="00F56CCC">
        <w:rPr>
          <w:sz w:val="22"/>
        </w:rPr>
        <w:t>rning options that would be attractive to part-time or remote students, or an E</w:t>
      </w:r>
      <w:r w:rsidR="005F35D6" w:rsidRPr="00F56CCC">
        <w:rPr>
          <w:sz w:val="22"/>
        </w:rPr>
        <w:t xml:space="preserve">mergency </w:t>
      </w:r>
      <w:r w:rsidRPr="00F56CCC">
        <w:rPr>
          <w:sz w:val="22"/>
        </w:rPr>
        <w:t>M</w:t>
      </w:r>
      <w:r w:rsidR="005F35D6" w:rsidRPr="00F56CCC">
        <w:rPr>
          <w:sz w:val="22"/>
        </w:rPr>
        <w:t>anagement</w:t>
      </w:r>
      <w:r w:rsidRPr="00F56CCC">
        <w:rPr>
          <w:sz w:val="22"/>
        </w:rPr>
        <w:t xml:space="preserve"> outreach program that could provide customized contract training to community partners in police (</w:t>
      </w:r>
      <w:r w:rsidR="005F35D6" w:rsidRPr="00F56CCC">
        <w:rPr>
          <w:sz w:val="22"/>
        </w:rPr>
        <w:t>Peterborough Lakefield Community Police)</w:t>
      </w:r>
      <w:r w:rsidRPr="00F56CCC">
        <w:rPr>
          <w:sz w:val="22"/>
        </w:rPr>
        <w:t>, fire</w:t>
      </w:r>
      <w:r w:rsidR="005F35D6" w:rsidRPr="00F56CCC">
        <w:rPr>
          <w:sz w:val="22"/>
        </w:rPr>
        <w:t xml:space="preserve"> (Eastern Ontario Fire Service)</w:t>
      </w:r>
      <w:r w:rsidRPr="00F56CCC">
        <w:rPr>
          <w:sz w:val="22"/>
        </w:rPr>
        <w:t>, healthcare</w:t>
      </w:r>
      <w:r w:rsidR="005F35D6" w:rsidRPr="00F56CCC">
        <w:rPr>
          <w:sz w:val="22"/>
        </w:rPr>
        <w:t xml:space="preserve"> (Peterborough and Cobourg hospitals)</w:t>
      </w:r>
      <w:r w:rsidRPr="00F56CCC">
        <w:rPr>
          <w:sz w:val="22"/>
        </w:rPr>
        <w:t xml:space="preserve">, etc. </w:t>
      </w:r>
    </w:p>
    <w:p w:rsidR="00D9002D" w:rsidRPr="00F56CCC" w:rsidRDefault="00D9002D" w:rsidP="00D9002D">
      <w:pPr>
        <w:pStyle w:val="ListParagraph"/>
        <w:numPr>
          <w:ilvl w:val="0"/>
          <w:numId w:val="12"/>
        </w:numPr>
        <w:rPr>
          <w:sz w:val="22"/>
        </w:rPr>
      </w:pPr>
      <w:r w:rsidRPr="00F56CCC">
        <w:rPr>
          <w:sz w:val="22"/>
        </w:rPr>
        <w:t>Develop a relationship and potential pathway with York University’s Master of Arts in Disaster and Emergency Management</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C7662" w:rsidRPr="00F56CCC" w:rsidRDefault="00CC7662" w:rsidP="00CC7662">
      <w:pPr>
        <w:shd w:val="clear" w:color="auto" w:fill="A6A6A6" w:themeFill="background1" w:themeFillShade="A6"/>
        <w:tabs>
          <w:tab w:val="left" w:pos="-1440"/>
        </w:tabs>
        <w:rPr>
          <w:rFonts w:cs="Arial"/>
          <w:b/>
          <w:sz w:val="22"/>
          <w:szCs w:val="22"/>
        </w:rPr>
      </w:pPr>
      <w:r w:rsidRPr="00F56CCC">
        <w:rPr>
          <w:rFonts w:cs="Arial"/>
          <w:b/>
          <w:sz w:val="22"/>
          <w:szCs w:val="22"/>
        </w:rPr>
        <w:t xml:space="preserve">PROGRAM REVIEW PANEL </w:t>
      </w:r>
    </w:p>
    <w:p w:rsidR="001C2154" w:rsidRDefault="001C2154"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b/>
          <w:sz w:val="22"/>
          <w:szCs w:val="22"/>
        </w:rPr>
        <w:t>Program Review Panel Meeting Date</w:t>
      </w:r>
      <w:r w:rsidRPr="00F56CCC">
        <w:rPr>
          <w:rFonts w:cs="Arial"/>
          <w:sz w:val="22"/>
          <w:szCs w:val="22"/>
        </w:rPr>
        <w:t>:</w:t>
      </w:r>
      <w:r w:rsidR="001C2154">
        <w:rPr>
          <w:rFonts w:cs="Arial"/>
          <w:sz w:val="22"/>
          <w:szCs w:val="22"/>
        </w:rPr>
        <w:t xml:space="preserve">  </w:t>
      </w:r>
      <w:r w:rsidRPr="00F56CCC">
        <w:rPr>
          <w:rFonts w:cs="Arial"/>
          <w:sz w:val="22"/>
          <w:szCs w:val="22"/>
        </w:rPr>
        <w:t>February 5</w:t>
      </w:r>
      <w:r w:rsidRPr="00F56CCC">
        <w:rPr>
          <w:rFonts w:cs="Arial"/>
          <w:sz w:val="22"/>
          <w:szCs w:val="22"/>
          <w:vertAlign w:val="superscript"/>
        </w:rPr>
        <w:t>th</w:t>
      </w:r>
      <w:r w:rsidRPr="00F56CCC">
        <w:rPr>
          <w:rFonts w:cs="Arial"/>
          <w:sz w:val="22"/>
          <w:szCs w:val="22"/>
        </w:rPr>
        <w:t>, 2013</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b/>
          <w:sz w:val="22"/>
          <w:szCs w:val="22"/>
        </w:rPr>
        <w:t>Program Review Panel Participants</w:t>
      </w:r>
      <w:r w:rsidRPr="00F56CCC">
        <w:rPr>
          <w:rFonts w:cs="Arial"/>
          <w:sz w:val="22"/>
          <w:szCs w:val="22"/>
        </w:rPr>
        <w:t>:</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rPr>
        <w:tab/>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rPr>
        <w:tab/>
        <w:t>Dean:</w:t>
      </w:r>
      <w:r w:rsidRPr="00F56CCC">
        <w:rPr>
          <w:rFonts w:cs="Arial"/>
          <w:sz w:val="22"/>
          <w:szCs w:val="22"/>
        </w:rPr>
        <w:tab/>
      </w:r>
      <w:r w:rsidRPr="00F56CCC">
        <w:rPr>
          <w:rFonts w:cs="Arial"/>
          <w:sz w:val="22"/>
          <w:szCs w:val="22"/>
        </w:rPr>
        <w:tab/>
      </w:r>
      <w:r w:rsidRPr="00F56CCC">
        <w:rPr>
          <w:rFonts w:cs="Arial"/>
          <w:sz w:val="22"/>
          <w:szCs w:val="22"/>
        </w:rPr>
        <w:tab/>
      </w:r>
      <w:r w:rsidRPr="00F56CCC">
        <w:rPr>
          <w:rFonts w:cs="Arial"/>
          <w:sz w:val="22"/>
          <w:szCs w:val="22"/>
        </w:rPr>
        <w:tab/>
        <w:t>Jim Drennan</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rPr>
        <w:tab/>
        <w:t>Program Co-ordinator:</w:t>
      </w:r>
      <w:r w:rsidRPr="00F56CCC">
        <w:rPr>
          <w:rFonts w:cs="Arial"/>
          <w:sz w:val="22"/>
          <w:szCs w:val="22"/>
        </w:rPr>
        <w:tab/>
      </w:r>
      <w:r w:rsidR="00645259" w:rsidRPr="00F56CCC">
        <w:rPr>
          <w:rFonts w:cs="Arial"/>
          <w:sz w:val="22"/>
          <w:szCs w:val="22"/>
        </w:rPr>
        <w:t>Rod Manley</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rPr>
        <w:tab/>
        <w:t>Chair:</w:t>
      </w:r>
      <w:r w:rsidRPr="00F56CCC">
        <w:rPr>
          <w:rFonts w:cs="Arial"/>
          <w:sz w:val="22"/>
          <w:szCs w:val="22"/>
        </w:rPr>
        <w:tab/>
      </w:r>
      <w:r w:rsidRPr="00F56CCC">
        <w:rPr>
          <w:rFonts w:cs="Arial"/>
          <w:sz w:val="22"/>
          <w:szCs w:val="22"/>
        </w:rPr>
        <w:tab/>
      </w:r>
      <w:r w:rsidRPr="00F56CCC">
        <w:rPr>
          <w:rFonts w:cs="Arial"/>
          <w:sz w:val="22"/>
          <w:szCs w:val="22"/>
        </w:rPr>
        <w:tab/>
      </w:r>
      <w:r w:rsidRPr="00F56CCC">
        <w:rPr>
          <w:rFonts w:cs="Arial"/>
          <w:sz w:val="22"/>
          <w:szCs w:val="22"/>
        </w:rPr>
        <w:tab/>
        <w:t>Deb Holts</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rPr>
        <w:tab/>
        <w:t>Curriculum Consultant:</w:t>
      </w:r>
      <w:r w:rsidRPr="00F56CCC">
        <w:rPr>
          <w:rFonts w:cs="Arial"/>
          <w:sz w:val="22"/>
          <w:szCs w:val="22"/>
        </w:rPr>
        <w:tab/>
        <w:t>Wendy Morgan</w:t>
      </w:r>
    </w:p>
    <w:p w:rsidR="00CC7662"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F56CCC">
        <w:rPr>
          <w:rFonts w:cs="Arial"/>
          <w:sz w:val="22"/>
          <w:szCs w:val="22"/>
        </w:rPr>
        <w:tab/>
        <w:t>Program Faculty/Support:</w:t>
      </w:r>
      <w:r w:rsidRPr="00F56CCC">
        <w:rPr>
          <w:rFonts w:cs="Arial"/>
          <w:sz w:val="22"/>
          <w:szCs w:val="22"/>
        </w:rPr>
        <w:tab/>
      </w:r>
      <w:r w:rsidR="00AD20FC" w:rsidRPr="00F56CCC">
        <w:rPr>
          <w:rFonts w:cs="Arial"/>
          <w:sz w:val="22"/>
          <w:szCs w:val="22"/>
        </w:rPr>
        <w:t>Brandi Brown</w:t>
      </w:r>
    </w:p>
    <w:p w:rsidR="00AD20FC" w:rsidRPr="00F56CCC" w:rsidRDefault="00CC7662"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F56CCC">
        <w:rPr>
          <w:rFonts w:cs="Arial"/>
          <w:sz w:val="22"/>
          <w:szCs w:val="22"/>
        </w:rPr>
        <w:tab/>
        <w:t>External Members:</w:t>
      </w:r>
      <w:r w:rsidRPr="00F56CCC">
        <w:rPr>
          <w:rFonts w:cs="Arial"/>
          <w:sz w:val="22"/>
          <w:szCs w:val="22"/>
        </w:rPr>
        <w:tab/>
      </w:r>
      <w:r w:rsidRPr="00F56CCC">
        <w:rPr>
          <w:rFonts w:cs="Arial"/>
          <w:sz w:val="22"/>
          <w:szCs w:val="22"/>
        </w:rPr>
        <w:tab/>
      </w:r>
      <w:r w:rsidR="00AD20FC" w:rsidRPr="00F56CCC">
        <w:rPr>
          <w:sz w:val="22"/>
          <w:szCs w:val="22"/>
          <w:lang w:val="en-US"/>
        </w:rPr>
        <w:t xml:space="preserve">Jodi </w:t>
      </w:r>
      <w:proofErr w:type="spellStart"/>
      <w:proofErr w:type="gramStart"/>
      <w:r w:rsidR="00AD20FC" w:rsidRPr="00F56CCC">
        <w:rPr>
          <w:sz w:val="22"/>
          <w:szCs w:val="22"/>
          <w:lang w:val="en-US"/>
        </w:rPr>
        <w:t>DeNoble</w:t>
      </w:r>
      <w:proofErr w:type="spellEnd"/>
      <w:r w:rsidR="00AD20FC" w:rsidRPr="00F56CCC">
        <w:rPr>
          <w:sz w:val="22"/>
          <w:szCs w:val="22"/>
          <w:lang w:val="en-US"/>
        </w:rPr>
        <w:t>(</w:t>
      </w:r>
      <w:proofErr w:type="gramEnd"/>
      <w:r w:rsidR="00AD20FC" w:rsidRPr="00F56CCC">
        <w:rPr>
          <w:sz w:val="22"/>
          <w:szCs w:val="22"/>
          <w:lang w:val="en-US"/>
        </w:rPr>
        <w:t>City of Peterborough)</w:t>
      </w:r>
    </w:p>
    <w:p w:rsidR="00AD20FC" w:rsidRPr="00F56CCC" w:rsidRDefault="00AD20FC" w:rsidP="00CC7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F56CCC">
        <w:rPr>
          <w:sz w:val="22"/>
          <w:szCs w:val="22"/>
          <w:lang w:val="en-US"/>
        </w:rPr>
        <w:tab/>
      </w:r>
      <w:r w:rsidRPr="00F56CCC">
        <w:rPr>
          <w:sz w:val="22"/>
          <w:szCs w:val="22"/>
          <w:lang w:val="en-US"/>
        </w:rPr>
        <w:tab/>
      </w:r>
      <w:r w:rsidRPr="00F56CCC">
        <w:rPr>
          <w:sz w:val="22"/>
          <w:szCs w:val="22"/>
          <w:lang w:val="en-US"/>
        </w:rPr>
        <w:tab/>
      </w:r>
      <w:r w:rsidRPr="00F56CCC">
        <w:rPr>
          <w:sz w:val="22"/>
          <w:szCs w:val="22"/>
          <w:lang w:val="en-US"/>
        </w:rPr>
        <w:tab/>
      </w:r>
      <w:r w:rsidRPr="00F56CCC">
        <w:rPr>
          <w:sz w:val="22"/>
          <w:szCs w:val="22"/>
          <w:lang w:val="en-US"/>
        </w:rPr>
        <w:tab/>
        <w:t xml:space="preserve">David </w:t>
      </w:r>
      <w:proofErr w:type="gramStart"/>
      <w:r w:rsidRPr="00F56CCC">
        <w:rPr>
          <w:sz w:val="22"/>
          <w:szCs w:val="22"/>
          <w:lang w:val="en-US"/>
        </w:rPr>
        <w:t>Duncan(</w:t>
      </w:r>
      <w:proofErr w:type="gramEnd"/>
      <w:r w:rsidRPr="00F56CCC">
        <w:rPr>
          <w:sz w:val="22"/>
          <w:szCs w:val="22"/>
          <w:lang w:val="en-US"/>
        </w:rPr>
        <w:t xml:space="preserve">Ministry of Natural Resources) </w:t>
      </w:r>
    </w:p>
    <w:p w:rsidR="00645259" w:rsidRDefault="00AD20FC"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F56CCC">
        <w:rPr>
          <w:sz w:val="22"/>
          <w:szCs w:val="22"/>
          <w:lang w:val="en-US"/>
        </w:rPr>
        <w:tab/>
      </w:r>
      <w:r w:rsidRPr="00F56CCC">
        <w:rPr>
          <w:sz w:val="22"/>
          <w:szCs w:val="22"/>
          <w:lang w:val="en-US"/>
        </w:rPr>
        <w:tab/>
      </w:r>
      <w:r w:rsidRPr="00F56CCC">
        <w:rPr>
          <w:sz w:val="22"/>
          <w:szCs w:val="22"/>
          <w:lang w:val="en-US"/>
        </w:rPr>
        <w:tab/>
      </w:r>
      <w:r w:rsidRPr="00F56CCC">
        <w:rPr>
          <w:sz w:val="22"/>
          <w:szCs w:val="22"/>
          <w:lang w:val="en-US"/>
        </w:rPr>
        <w:tab/>
      </w:r>
      <w:r w:rsidRPr="00F56CCC">
        <w:rPr>
          <w:sz w:val="22"/>
          <w:szCs w:val="22"/>
          <w:lang w:val="en-US"/>
        </w:rPr>
        <w:tab/>
        <w:t xml:space="preserve">Dave Croft </w:t>
      </w:r>
      <w:r w:rsidR="005F35D6" w:rsidRPr="00F56CCC">
        <w:rPr>
          <w:sz w:val="22"/>
          <w:szCs w:val="22"/>
          <w:lang w:val="en-US"/>
        </w:rPr>
        <w:t>(</w:t>
      </w:r>
      <w:r w:rsidRPr="00F56CCC">
        <w:rPr>
          <w:sz w:val="22"/>
          <w:szCs w:val="22"/>
          <w:lang w:val="en-US"/>
        </w:rPr>
        <w:t>current EMP Student)</w:t>
      </w: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r w:rsidRPr="001C2154">
        <w:drawing>
          <wp:inline distT="0" distB="0" distL="0" distR="0" wp14:anchorId="0A135CEF" wp14:editId="23E0F758">
            <wp:extent cx="5928360" cy="7137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28360" cy="7137712"/>
                    </a:xfrm>
                    <a:prstGeom prst="rect">
                      <a:avLst/>
                    </a:prstGeom>
                  </pic:spPr>
                </pic:pic>
              </a:graphicData>
            </a:graphic>
          </wp:inline>
        </w:drawing>
      </w: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r w:rsidRPr="001C2154">
        <w:drawing>
          <wp:inline distT="0" distB="0" distL="0" distR="0" wp14:anchorId="42DDF5ED" wp14:editId="583069A6">
            <wp:extent cx="5943600" cy="2853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853690"/>
                    </a:xfrm>
                    <a:prstGeom prst="rect">
                      <a:avLst/>
                    </a:prstGeom>
                  </pic:spPr>
                </pic:pic>
              </a:graphicData>
            </a:graphic>
          </wp:inline>
        </w:drawing>
      </w: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p>
    <w:p w:rsidR="001C2154" w:rsidRPr="00F56CCC" w:rsidRDefault="001C2154" w:rsidP="005F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8"/>
          <w:szCs w:val="28"/>
        </w:rPr>
      </w:pPr>
      <w:r w:rsidRPr="001C2154">
        <w:drawing>
          <wp:inline distT="0" distB="0" distL="0" distR="0" wp14:anchorId="2F724A52" wp14:editId="4E99F704">
            <wp:extent cx="5943600" cy="2898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898775"/>
                    </a:xfrm>
                    <a:prstGeom prst="rect">
                      <a:avLst/>
                    </a:prstGeom>
                  </pic:spPr>
                </pic:pic>
              </a:graphicData>
            </a:graphic>
          </wp:inline>
        </w:drawing>
      </w:r>
      <w:bookmarkStart w:id="0" w:name="_GoBack"/>
      <w:bookmarkEnd w:id="0"/>
    </w:p>
    <w:sectPr w:rsidR="001C2154" w:rsidRPr="00F56CCC" w:rsidSect="00923D9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95A" w:rsidRDefault="0054695A" w:rsidP="00373D5B">
      <w:r>
        <w:separator/>
      </w:r>
    </w:p>
  </w:endnote>
  <w:endnote w:type="continuationSeparator" w:id="0">
    <w:p w:rsidR="0054695A" w:rsidRDefault="0054695A"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5016"/>
      <w:docPartObj>
        <w:docPartGallery w:val="Page Numbers (Bottom of Page)"/>
        <w:docPartUnique/>
      </w:docPartObj>
    </w:sdtPr>
    <w:sdtEndPr/>
    <w:sdtContent>
      <w:p w:rsidR="005C4328" w:rsidRDefault="00E7779F">
        <w:pPr>
          <w:pStyle w:val="Footer"/>
          <w:jc w:val="center"/>
        </w:pPr>
        <w:r>
          <w:fldChar w:fldCharType="begin"/>
        </w:r>
        <w:r>
          <w:instrText xml:space="preserve"> PAGE   \* MERGEFORMAT </w:instrText>
        </w:r>
        <w:r>
          <w:fldChar w:fldCharType="separate"/>
        </w:r>
        <w:r w:rsidR="001C2154">
          <w:rPr>
            <w:noProof/>
          </w:rPr>
          <w:t>1</w:t>
        </w:r>
        <w:r>
          <w:rPr>
            <w:noProof/>
          </w:rPr>
          <w:fldChar w:fldCharType="end"/>
        </w:r>
      </w:p>
    </w:sdtContent>
  </w:sdt>
  <w:p w:rsidR="005C4328" w:rsidRDefault="005C4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95A" w:rsidRDefault="0054695A" w:rsidP="00373D5B">
      <w:r>
        <w:separator/>
      </w:r>
    </w:p>
  </w:footnote>
  <w:footnote w:type="continuationSeparator" w:id="0">
    <w:p w:rsidR="0054695A" w:rsidRDefault="0054695A"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F2"/>
    <w:multiLevelType w:val="hybridMultilevel"/>
    <w:tmpl w:val="1CBCE1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35107C0"/>
    <w:multiLevelType w:val="hybridMultilevel"/>
    <w:tmpl w:val="4606B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3E76C49"/>
    <w:multiLevelType w:val="hybridMultilevel"/>
    <w:tmpl w:val="18B40274"/>
    <w:lvl w:ilvl="0" w:tplc="561836B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535A4"/>
    <w:multiLevelType w:val="hybridMultilevel"/>
    <w:tmpl w:val="22849D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14D1BC2"/>
    <w:multiLevelType w:val="hybridMultilevel"/>
    <w:tmpl w:val="1C82F526"/>
    <w:lvl w:ilvl="0" w:tplc="561836B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3753D7B"/>
    <w:multiLevelType w:val="hybridMultilevel"/>
    <w:tmpl w:val="D082B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7BE21DA"/>
    <w:multiLevelType w:val="hybridMultilevel"/>
    <w:tmpl w:val="D188C8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E0E5A7B"/>
    <w:multiLevelType w:val="hybridMultilevel"/>
    <w:tmpl w:val="2A1CBD74"/>
    <w:lvl w:ilvl="0" w:tplc="561836BC">
      <w:start w:val="1"/>
      <w:numFmt w:val="decimal"/>
      <w:lvlText w:val="%1)"/>
      <w:lvlJc w:val="left"/>
      <w:pPr>
        <w:ind w:left="1080" w:hanging="72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AF6BC8"/>
    <w:multiLevelType w:val="hybridMultilevel"/>
    <w:tmpl w:val="A7A87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D673A79"/>
    <w:multiLevelType w:val="hybridMultilevel"/>
    <w:tmpl w:val="83C00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1"/>
  </w:num>
  <w:num w:numId="5">
    <w:abstractNumId w:val="7"/>
  </w:num>
  <w:num w:numId="6">
    <w:abstractNumId w:val="5"/>
  </w:num>
  <w:num w:numId="7">
    <w:abstractNumId w:val="1"/>
  </w:num>
  <w:num w:numId="8">
    <w:abstractNumId w:val="0"/>
  </w:num>
  <w:num w:numId="9">
    <w:abstractNumId w:val="8"/>
  </w:num>
  <w:num w:numId="10">
    <w:abstractNumId w:val="12"/>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2749"/>
    <w:rsid w:val="00045E01"/>
    <w:rsid w:val="00090C39"/>
    <w:rsid w:val="000A2794"/>
    <w:rsid w:val="000D2749"/>
    <w:rsid w:val="001219FA"/>
    <w:rsid w:val="00146DCB"/>
    <w:rsid w:val="001759A2"/>
    <w:rsid w:val="001C2154"/>
    <w:rsid w:val="001E692A"/>
    <w:rsid w:val="00233A93"/>
    <w:rsid w:val="00297A43"/>
    <w:rsid w:val="0031640B"/>
    <w:rsid w:val="00344DC2"/>
    <w:rsid w:val="00365E69"/>
    <w:rsid w:val="00370B5B"/>
    <w:rsid w:val="00373D5B"/>
    <w:rsid w:val="003B12C6"/>
    <w:rsid w:val="003B68BA"/>
    <w:rsid w:val="003C3164"/>
    <w:rsid w:val="00485696"/>
    <w:rsid w:val="005022EF"/>
    <w:rsid w:val="0054695A"/>
    <w:rsid w:val="005C4328"/>
    <w:rsid w:val="005F35D6"/>
    <w:rsid w:val="00645259"/>
    <w:rsid w:val="00647B47"/>
    <w:rsid w:val="006B7692"/>
    <w:rsid w:val="006C12D2"/>
    <w:rsid w:val="006C3E9E"/>
    <w:rsid w:val="006D13B2"/>
    <w:rsid w:val="006F71E2"/>
    <w:rsid w:val="00762063"/>
    <w:rsid w:val="007861A9"/>
    <w:rsid w:val="0081608D"/>
    <w:rsid w:val="008448C4"/>
    <w:rsid w:val="00882951"/>
    <w:rsid w:val="00923D95"/>
    <w:rsid w:val="009524D9"/>
    <w:rsid w:val="009A772F"/>
    <w:rsid w:val="00A109BA"/>
    <w:rsid w:val="00A865D6"/>
    <w:rsid w:val="00AB4EE8"/>
    <w:rsid w:val="00AD20FC"/>
    <w:rsid w:val="00B3567D"/>
    <w:rsid w:val="00B64097"/>
    <w:rsid w:val="00BA4333"/>
    <w:rsid w:val="00BA6256"/>
    <w:rsid w:val="00BB142C"/>
    <w:rsid w:val="00C172B9"/>
    <w:rsid w:val="00C54829"/>
    <w:rsid w:val="00CB27CB"/>
    <w:rsid w:val="00CC7662"/>
    <w:rsid w:val="00CF16FF"/>
    <w:rsid w:val="00D26440"/>
    <w:rsid w:val="00D50DC9"/>
    <w:rsid w:val="00D9002D"/>
    <w:rsid w:val="00DF00A7"/>
    <w:rsid w:val="00E36AB5"/>
    <w:rsid w:val="00E46254"/>
    <w:rsid w:val="00E7779F"/>
    <w:rsid w:val="00EB5128"/>
    <w:rsid w:val="00F56CCC"/>
    <w:rsid w:val="00F755E1"/>
    <w:rsid w:val="00F87C87"/>
    <w:rsid w:val="00FC4E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paragraph" w:styleId="Title">
    <w:name w:val="Title"/>
    <w:basedOn w:val="Normal"/>
    <w:link w:val="TitleChar"/>
    <w:qFormat/>
    <w:rsid w:val="00CC7662"/>
    <w:pPr>
      <w:jc w:val="center"/>
    </w:pPr>
    <w:rPr>
      <w:rFonts w:ascii="Times New Roman" w:hAnsi="Times New Roman"/>
      <w:szCs w:val="20"/>
      <w:lang w:val="en-GB"/>
    </w:rPr>
  </w:style>
  <w:style w:type="character" w:customStyle="1" w:styleId="TitleChar">
    <w:name w:val="Title Char"/>
    <w:basedOn w:val="DefaultParagraphFont"/>
    <w:link w:val="Title"/>
    <w:rsid w:val="00CC7662"/>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CC76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34CD2605</Template>
  <TotalTime>15</TotalTime>
  <Pages>6</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Tracey Bell</cp:lastModifiedBy>
  <cp:revision>4</cp:revision>
  <dcterms:created xsi:type="dcterms:W3CDTF">2013-02-07T17:54:00Z</dcterms:created>
  <dcterms:modified xsi:type="dcterms:W3CDTF">2013-03-14T19:36:00Z</dcterms:modified>
</cp:coreProperties>
</file>