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DF" w:rsidRDefault="0079656D" w:rsidP="00EA4DDF">
      <w:pPr>
        <w:pStyle w:val="Header"/>
        <w:jc w:val="center"/>
        <w:rPr>
          <w:rFonts w:cs="Arial"/>
          <w:b/>
          <w:sz w:val="28"/>
          <w:szCs w:val="28"/>
          <w:lang w:val="en-CA"/>
        </w:rPr>
      </w:pPr>
      <w:r>
        <w:rPr>
          <w:rFonts w:cs="Arial"/>
          <w:b/>
          <w:sz w:val="28"/>
          <w:szCs w:val="28"/>
          <w:lang w:val="en-CA"/>
        </w:rPr>
        <w:t>Progr</w:t>
      </w:r>
      <w:r w:rsidR="00EA4DDF" w:rsidRPr="00CA500D">
        <w:rPr>
          <w:rFonts w:cs="Arial"/>
          <w:b/>
          <w:sz w:val="28"/>
          <w:szCs w:val="28"/>
          <w:lang w:val="en-CA"/>
        </w:rPr>
        <w:t>am Review Self Study Template</w:t>
      </w:r>
    </w:p>
    <w:tbl>
      <w:tblPr>
        <w:tblW w:w="1310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723"/>
        <w:gridCol w:w="3940"/>
        <w:gridCol w:w="2268"/>
        <w:gridCol w:w="4111"/>
        <w:gridCol w:w="60"/>
      </w:tblGrid>
      <w:tr w:rsidR="000715B2" w:rsidRPr="00C54C7B" w:rsidTr="000715B2">
        <w:trPr>
          <w:gridAfter w:val="1"/>
          <w:wAfter w:w="60" w:type="dxa"/>
          <w:tblHeader/>
        </w:trPr>
        <w:tc>
          <w:tcPr>
            <w:tcW w:w="2723"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 xml:space="preserve">Program Coordinator:  </w:t>
            </w:r>
          </w:p>
        </w:tc>
        <w:tc>
          <w:tcPr>
            <w:tcW w:w="3940" w:type="dxa"/>
            <w:shd w:val="clear" w:color="auto" w:fill="DBE5F1" w:themeFill="accent1" w:themeFillTint="33"/>
          </w:tcPr>
          <w:p w:rsidR="009668DC" w:rsidRPr="00C54C7B" w:rsidRDefault="00A751DD" w:rsidP="001F7FC3">
            <w:pPr>
              <w:pStyle w:val="Header"/>
              <w:jc w:val="center"/>
              <w:rPr>
                <w:rFonts w:cs="Arial"/>
                <w:b/>
                <w:szCs w:val="22"/>
                <w:lang w:val="en-CA"/>
              </w:rPr>
            </w:pPr>
            <w:r>
              <w:rPr>
                <w:rFonts w:cs="Arial"/>
                <w:b/>
                <w:szCs w:val="22"/>
                <w:lang w:val="en-CA"/>
              </w:rPr>
              <w:t>Susan Hyndman</w:t>
            </w:r>
          </w:p>
        </w:tc>
        <w:tc>
          <w:tcPr>
            <w:tcW w:w="2268"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School:</w:t>
            </w:r>
          </w:p>
        </w:tc>
        <w:tc>
          <w:tcPr>
            <w:tcW w:w="4111" w:type="dxa"/>
            <w:shd w:val="clear" w:color="auto" w:fill="DBE5F1" w:themeFill="accent1" w:themeFillTint="33"/>
          </w:tcPr>
          <w:p w:rsidR="000715B2" w:rsidRPr="00C54C7B" w:rsidRDefault="00A751DD" w:rsidP="000715B2">
            <w:pPr>
              <w:pStyle w:val="Header"/>
              <w:jc w:val="center"/>
              <w:rPr>
                <w:rFonts w:cs="Arial"/>
                <w:b/>
                <w:szCs w:val="22"/>
                <w:lang w:val="en-CA"/>
              </w:rPr>
            </w:pPr>
            <w:r>
              <w:rPr>
                <w:rFonts w:cs="Arial"/>
                <w:b/>
                <w:szCs w:val="22"/>
                <w:lang w:val="en-CA"/>
              </w:rPr>
              <w:t>General Arts &amp; Science</w:t>
            </w:r>
            <w:r w:rsidR="00F77DEB">
              <w:rPr>
                <w:rFonts w:cs="Arial"/>
                <w:b/>
                <w:szCs w:val="22"/>
                <w:lang w:val="en-CA"/>
              </w:rPr>
              <w:t xml:space="preserve"> (GAS)</w:t>
            </w:r>
          </w:p>
        </w:tc>
      </w:tr>
      <w:tr w:rsidR="000715B2" w:rsidRPr="00C54C7B" w:rsidTr="000715B2">
        <w:trPr>
          <w:gridAfter w:val="1"/>
          <w:wAfter w:w="60" w:type="dxa"/>
          <w:tblHeader/>
        </w:trPr>
        <w:tc>
          <w:tcPr>
            <w:tcW w:w="2723" w:type="dxa"/>
            <w:shd w:val="clear" w:color="auto" w:fill="DBE5F1" w:themeFill="accent1" w:themeFillTint="33"/>
          </w:tcPr>
          <w:p w:rsidR="000715B2" w:rsidRPr="00C54C7B" w:rsidRDefault="000715B2" w:rsidP="000715B2">
            <w:pPr>
              <w:pStyle w:val="Header"/>
              <w:jc w:val="right"/>
              <w:rPr>
                <w:rFonts w:cs="Arial"/>
                <w:b/>
                <w:szCs w:val="22"/>
                <w:lang w:val="en-CA"/>
              </w:rPr>
            </w:pPr>
            <w:r>
              <w:rPr>
                <w:rFonts w:cs="Arial"/>
                <w:b/>
                <w:szCs w:val="22"/>
                <w:lang w:val="en-CA"/>
              </w:rPr>
              <w:t>Program Code:</w:t>
            </w:r>
          </w:p>
        </w:tc>
        <w:tc>
          <w:tcPr>
            <w:tcW w:w="3940" w:type="dxa"/>
            <w:shd w:val="clear" w:color="auto" w:fill="DBE5F1" w:themeFill="accent1" w:themeFillTint="33"/>
          </w:tcPr>
          <w:p w:rsidR="009668DC" w:rsidRPr="00C54C7B" w:rsidRDefault="007B6227" w:rsidP="007B6227">
            <w:pPr>
              <w:pStyle w:val="Header"/>
              <w:jc w:val="center"/>
              <w:rPr>
                <w:rFonts w:cs="Arial"/>
                <w:b/>
                <w:szCs w:val="22"/>
                <w:lang w:val="en-CA"/>
              </w:rPr>
            </w:pPr>
            <w:r>
              <w:rPr>
                <w:rFonts w:cs="Arial"/>
                <w:b/>
                <w:szCs w:val="22"/>
                <w:lang w:val="en-CA"/>
              </w:rPr>
              <w:t>GHS</w:t>
            </w:r>
            <w:bookmarkStart w:id="0" w:name="_GoBack"/>
            <w:bookmarkEnd w:id="0"/>
          </w:p>
        </w:tc>
        <w:tc>
          <w:tcPr>
            <w:tcW w:w="2268"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Date Completed:</w:t>
            </w:r>
          </w:p>
        </w:tc>
        <w:tc>
          <w:tcPr>
            <w:tcW w:w="4111" w:type="dxa"/>
            <w:shd w:val="clear" w:color="auto" w:fill="DBE5F1" w:themeFill="accent1" w:themeFillTint="33"/>
          </w:tcPr>
          <w:p w:rsidR="000715B2" w:rsidRPr="00C54C7B" w:rsidRDefault="00A751DD" w:rsidP="000715B2">
            <w:pPr>
              <w:pStyle w:val="Header"/>
              <w:jc w:val="center"/>
              <w:rPr>
                <w:rFonts w:cs="Arial"/>
                <w:b/>
                <w:szCs w:val="22"/>
                <w:lang w:val="en-CA"/>
              </w:rPr>
            </w:pPr>
            <w:r>
              <w:rPr>
                <w:rFonts w:cs="Arial"/>
                <w:b/>
                <w:szCs w:val="22"/>
                <w:lang w:val="en-CA"/>
              </w:rPr>
              <w:t>January 2, 2013</w:t>
            </w:r>
          </w:p>
        </w:tc>
      </w:tr>
      <w:tr w:rsidR="000715B2" w:rsidRPr="00C54C7B" w:rsidTr="000715B2">
        <w:trPr>
          <w:gridAfter w:val="1"/>
          <w:wAfter w:w="60" w:type="dxa"/>
          <w:tblHeader/>
        </w:trPr>
        <w:tc>
          <w:tcPr>
            <w:tcW w:w="2723" w:type="dxa"/>
            <w:shd w:val="clear" w:color="auto" w:fill="DBE5F1" w:themeFill="accent1" w:themeFillTint="33"/>
          </w:tcPr>
          <w:p w:rsidR="000715B2" w:rsidRDefault="000715B2" w:rsidP="000715B2">
            <w:pPr>
              <w:pStyle w:val="Header"/>
              <w:jc w:val="right"/>
              <w:rPr>
                <w:rFonts w:cs="Arial"/>
                <w:b/>
                <w:szCs w:val="22"/>
                <w:lang w:val="en-CA"/>
              </w:rPr>
            </w:pPr>
            <w:r w:rsidRPr="00C54C7B">
              <w:rPr>
                <w:rFonts w:cs="Arial"/>
                <w:b/>
                <w:szCs w:val="22"/>
                <w:lang w:val="en-CA"/>
              </w:rPr>
              <w:t xml:space="preserve">Program Name:  </w:t>
            </w:r>
          </w:p>
        </w:tc>
        <w:tc>
          <w:tcPr>
            <w:tcW w:w="10319" w:type="dxa"/>
            <w:gridSpan w:val="3"/>
            <w:shd w:val="clear" w:color="auto" w:fill="DBE5F1" w:themeFill="accent1" w:themeFillTint="33"/>
          </w:tcPr>
          <w:p w:rsidR="000715B2" w:rsidRDefault="00A751DD" w:rsidP="000715B2">
            <w:pPr>
              <w:pStyle w:val="Header"/>
              <w:jc w:val="center"/>
              <w:rPr>
                <w:rFonts w:cs="Arial"/>
                <w:b/>
                <w:szCs w:val="22"/>
                <w:lang w:val="en-CA"/>
              </w:rPr>
            </w:pPr>
            <w:r>
              <w:rPr>
                <w:rFonts w:cs="Arial"/>
                <w:b/>
                <w:szCs w:val="22"/>
                <w:lang w:val="en-CA"/>
              </w:rPr>
              <w:t>G</w:t>
            </w:r>
            <w:r w:rsidR="00A02F32">
              <w:rPr>
                <w:rFonts w:cs="Arial"/>
                <w:b/>
                <w:szCs w:val="22"/>
                <w:lang w:val="en-CA"/>
              </w:rPr>
              <w:t xml:space="preserve">eneral </w:t>
            </w:r>
            <w:r>
              <w:rPr>
                <w:rFonts w:cs="Arial"/>
                <w:b/>
                <w:szCs w:val="22"/>
                <w:lang w:val="en-CA"/>
              </w:rPr>
              <w:t>A</w:t>
            </w:r>
            <w:r w:rsidR="00A02F32">
              <w:rPr>
                <w:rFonts w:cs="Arial"/>
                <w:b/>
                <w:szCs w:val="22"/>
                <w:lang w:val="en-CA"/>
              </w:rPr>
              <w:t xml:space="preserve">rts and </w:t>
            </w:r>
            <w:r>
              <w:rPr>
                <w:rFonts w:cs="Arial"/>
                <w:b/>
                <w:szCs w:val="22"/>
                <w:lang w:val="en-CA"/>
              </w:rPr>
              <w:t>S</w:t>
            </w:r>
            <w:r w:rsidR="00A02F32">
              <w:rPr>
                <w:rFonts w:cs="Arial"/>
                <w:b/>
                <w:szCs w:val="22"/>
                <w:lang w:val="en-CA"/>
              </w:rPr>
              <w:t>cience</w:t>
            </w:r>
            <w:r>
              <w:rPr>
                <w:rFonts w:cs="Arial"/>
                <w:b/>
                <w:szCs w:val="22"/>
                <w:lang w:val="en-CA"/>
              </w:rPr>
              <w:t xml:space="preserve"> College Health Science (GHS)</w:t>
            </w:r>
          </w:p>
          <w:p w:rsidR="009668DC" w:rsidRPr="00C54C7B" w:rsidRDefault="009668DC" w:rsidP="000715B2">
            <w:pPr>
              <w:pStyle w:val="Header"/>
              <w:jc w:val="center"/>
              <w:rPr>
                <w:rFonts w:cs="Arial"/>
                <w:b/>
                <w:szCs w:val="22"/>
                <w:lang w:val="en-CA"/>
              </w:rPr>
            </w:pP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EA4DDF" w:rsidRPr="00356C80" w:rsidRDefault="000715B2" w:rsidP="00AB5A30">
            <w:pPr>
              <w:rPr>
                <w:rFonts w:cs="Arial"/>
                <w:b/>
              </w:rPr>
            </w:pPr>
            <w:r>
              <w:rPr>
                <w:rFonts w:cs="Arial"/>
                <w:b/>
              </w:rPr>
              <w:t>In</w:t>
            </w:r>
            <w:r w:rsidR="00EA4DDF" w:rsidRPr="00356C80">
              <w:rPr>
                <w:rFonts w:cs="Arial"/>
                <w:b/>
              </w:rPr>
              <w:t>dicator</w:t>
            </w:r>
          </w:p>
          <w:p w:rsidR="00EA4DDF" w:rsidRPr="00356C80" w:rsidRDefault="00EA4DDF" w:rsidP="00AB5A30">
            <w:pPr>
              <w:rPr>
                <w:rFonts w:cs="Arial"/>
                <w:b/>
              </w:rPr>
            </w:pPr>
          </w:p>
          <w:p w:rsidR="00EA4DDF" w:rsidRPr="00356C80" w:rsidRDefault="00EA4DDF" w:rsidP="00AB5A30">
            <w:pPr>
              <w:rPr>
                <w:rFonts w:cs="Arial"/>
                <w:b/>
              </w:rPr>
            </w:pPr>
            <w:r w:rsidRPr="00356C80">
              <w:rPr>
                <w:rFonts w:cs="Arial"/>
                <w:b/>
              </w:rPr>
              <w:t>1.0 Industry Trends</w:t>
            </w:r>
          </w:p>
        </w:tc>
        <w:tc>
          <w:tcPr>
            <w:tcW w:w="6379" w:type="dxa"/>
            <w:gridSpan w:val="2"/>
            <w:shd w:val="clear" w:color="auto" w:fill="C0C0C0"/>
            <w:tcMar>
              <w:top w:w="113" w:type="dxa"/>
              <w:bottom w:w="113" w:type="dxa"/>
            </w:tcMar>
          </w:tcPr>
          <w:p w:rsidR="00EA4DDF" w:rsidRPr="00356C80" w:rsidRDefault="00EA4DDF" w:rsidP="00AB5A30">
            <w:pPr>
              <w:rPr>
                <w:rFonts w:cs="Arial"/>
                <w:b/>
              </w:rPr>
            </w:pPr>
          </w:p>
          <w:p w:rsidR="00EA4DDF" w:rsidRPr="00356C80" w:rsidRDefault="00EA4DDF" w:rsidP="00AB5A30">
            <w:pPr>
              <w:rPr>
                <w:rFonts w:cs="Arial"/>
                <w:b/>
              </w:rPr>
            </w:pPr>
          </w:p>
          <w:p w:rsidR="00EA4DDF" w:rsidRPr="00356C80" w:rsidRDefault="00EA4DDF" w:rsidP="00AB5A30">
            <w:pPr>
              <w:rPr>
                <w:rFonts w:cs="Arial"/>
                <w:b/>
                <w:sz w:val="28"/>
                <w:szCs w:val="28"/>
              </w:rPr>
            </w:pPr>
            <w:r w:rsidRPr="00356C80">
              <w:rPr>
                <w:rFonts w:cs="Arial"/>
                <w:b/>
              </w:rPr>
              <w:t>Summary</w:t>
            </w:r>
            <w:r w:rsidRPr="00356C80">
              <w:rPr>
                <w:rFonts w:cs="Arial"/>
                <w:b/>
                <w:lang w:val="en-CA"/>
              </w:rPr>
              <w:t xml:space="preserve"> of Key Findings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rPr>
                <w:rFonts w:cs="Arial"/>
                <w:b/>
                <w:bCs/>
                <w:sz w:val="20"/>
              </w:rPr>
            </w:pPr>
            <w:r w:rsidRPr="00356C80">
              <w:rPr>
                <w:rFonts w:cs="Arial"/>
                <w:b/>
                <w:bCs/>
                <w:sz w:val="20"/>
              </w:rPr>
              <w:t>1.1 Sectoral Standards and Industry Trends</w:t>
            </w:r>
          </w:p>
          <w:p w:rsidR="00EA4DDF" w:rsidRPr="00356C80" w:rsidRDefault="00EA4DDF" w:rsidP="005D66C4">
            <w:pPr>
              <w:ind w:right="-108"/>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New or emergent industry / sector themes or issues that may have a potential impact on program positioning</w:t>
            </w:r>
          </w:p>
          <w:p w:rsidR="00D07044" w:rsidRPr="00356C80" w:rsidRDefault="00D07044" w:rsidP="00D07044">
            <w:pPr>
              <w:ind w:left="360"/>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Industry / sector issues identified by the Program Advisory Committee </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Recent labour market data or sector reports</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Recent or anticipated changes in occupational standards, level of entry and credential and / or standards of accreditation </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Program alignment to labour market and sectoral trends</w:t>
            </w:r>
          </w:p>
          <w:p w:rsidR="00D07044" w:rsidRDefault="00D07044" w:rsidP="00D07044">
            <w:pPr>
              <w:pStyle w:val="ListParagraph"/>
              <w:rPr>
                <w:rFonts w:cs="Arial"/>
                <w:sz w:val="20"/>
              </w:rPr>
            </w:pPr>
          </w:p>
          <w:p w:rsidR="00EA4DDF" w:rsidRPr="00D63B24" w:rsidRDefault="00EA4DDF" w:rsidP="00EA4DDF">
            <w:pPr>
              <w:numPr>
                <w:ilvl w:val="0"/>
                <w:numId w:val="6"/>
              </w:numPr>
              <w:tabs>
                <w:tab w:val="clear" w:pos="720"/>
                <w:tab w:val="num" w:pos="360"/>
              </w:tabs>
              <w:ind w:left="360"/>
              <w:rPr>
                <w:rFonts w:cs="Arial"/>
                <w:sz w:val="20"/>
              </w:rPr>
            </w:pPr>
            <w:r w:rsidRPr="00D63B24">
              <w:rPr>
                <w:rFonts w:cs="Arial"/>
                <w:sz w:val="20"/>
              </w:rPr>
              <w:t>Trends identified by the Program Advisory Committee</w:t>
            </w:r>
            <w:r w:rsidR="00AF1BAA" w:rsidRPr="00D63B24">
              <w:rPr>
                <w:rFonts w:cs="Arial"/>
                <w:sz w:val="20"/>
              </w:rPr>
              <w:t xml:space="preserve"> </w:t>
            </w:r>
          </w:p>
          <w:p w:rsidR="00EA4DDF" w:rsidRPr="00356C80" w:rsidRDefault="00EA4DDF" w:rsidP="00AB5A30">
            <w:pPr>
              <w:rPr>
                <w:rFonts w:cs="Arial"/>
                <w:szCs w:val="22"/>
              </w:rPr>
            </w:pPr>
          </w:p>
        </w:tc>
        <w:tc>
          <w:tcPr>
            <w:tcW w:w="6379" w:type="dxa"/>
            <w:gridSpan w:val="2"/>
            <w:tcMar>
              <w:top w:w="113" w:type="dxa"/>
              <w:bottom w:w="113" w:type="dxa"/>
            </w:tcMar>
          </w:tcPr>
          <w:p w:rsidR="009B6C56" w:rsidRPr="001E45AF" w:rsidRDefault="009B6C56" w:rsidP="009B6C56">
            <w:pPr>
              <w:rPr>
                <w:rFonts w:cs="Arial"/>
                <w:color w:val="FF0000"/>
                <w:sz w:val="20"/>
              </w:rPr>
            </w:pPr>
            <w:r w:rsidRPr="001E45AF">
              <w:rPr>
                <w:rFonts w:cs="Arial"/>
                <w:b/>
                <w:sz w:val="20"/>
              </w:rPr>
              <w:t xml:space="preserve">See </w:t>
            </w:r>
            <w:r w:rsidR="004F5EED">
              <w:rPr>
                <w:rFonts w:cs="Arial"/>
                <w:b/>
                <w:sz w:val="20"/>
              </w:rPr>
              <w:t>Appendix A</w:t>
            </w:r>
            <w:r>
              <w:rPr>
                <w:rFonts w:cs="Arial"/>
                <w:b/>
                <w:sz w:val="20"/>
              </w:rPr>
              <w:t xml:space="preserve">: </w:t>
            </w:r>
            <w:r w:rsidRPr="001E45AF">
              <w:rPr>
                <w:rFonts w:cs="Arial"/>
                <w:b/>
                <w:sz w:val="20"/>
              </w:rPr>
              <w:t>Key Research Findings: College Health Science Option (44700)</w:t>
            </w:r>
          </w:p>
          <w:p w:rsidR="009B6C56" w:rsidRPr="001E45AF" w:rsidRDefault="009B6C56" w:rsidP="009B6C56">
            <w:pPr>
              <w:rPr>
                <w:rFonts w:cs="Arial"/>
                <w:sz w:val="20"/>
              </w:rPr>
            </w:pPr>
          </w:p>
          <w:p w:rsidR="009B6C56" w:rsidRPr="001E45AF" w:rsidRDefault="009B6C56" w:rsidP="00820F78">
            <w:pPr>
              <w:jc w:val="both"/>
              <w:rPr>
                <w:rFonts w:cs="Arial"/>
                <w:sz w:val="20"/>
              </w:rPr>
            </w:pPr>
            <w:r w:rsidRPr="001E45AF">
              <w:rPr>
                <w:rFonts w:cs="Arial"/>
                <w:sz w:val="20"/>
              </w:rPr>
              <w:t>The College Health Science Option of the General Arts and Science program is designed to prepare students for entry into college programs that will allow them to pursue careers in health care or forensic sciences, such as Massage Therapy, Paramedic, Occupational Therapist / Physiotherapist Assistant, Practical Nursing, Biotechnol</w:t>
            </w:r>
            <w:r w:rsidR="00C7200D">
              <w:rPr>
                <w:rFonts w:cs="Arial"/>
                <w:sz w:val="20"/>
              </w:rPr>
              <w:t xml:space="preserve">ogy </w:t>
            </w:r>
            <w:r w:rsidR="00CE338B">
              <w:rPr>
                <w:rFonts w:cs="Arial"/>
                <w:sz w:val="20"/>
              </w:rPr>
              <w:t xml:space="preserve">Technologist </w:t>
            </w:r>
            <w:r w:rsidR="00C7200D">
              <w:rPr>
                <w:rFonts w:cs="Arial"/>
                <w:sz w:val="20"/>
              </w:rPr>
              <w:t xml:space="preserve">Forensics, </w:t>
            </w:r>
            <w:r w:rsidR="00D94683">
              <w:rPr>
                <w:rFonts w:cs="Arial"/>
                <w:sz w:val="20"/>
              </w:rPr>
              <w:t xml:space="preserve">and </w:t>
            </w:r>
            <w:r w:rsidRPr="001E45AF">
              <w:rPr>
                <w:rFonts w:cs="Arial"/>
                <w:sz w:val="20"/>
              </w:rPr>
              <w:t>Fitness and Health Pr</w:t>
            </w:r>
            <w:r w:rsidR="00D94683">
              <w:rPr>
                <w:rFonts w:cs="Arial"/>
                <w:sz w:val="20"/>
              </w:rPr>
              <w:t>omotion.</w:t>
            </w:r>
          </w:p>
          <w:p w:rsidR="009B6C56" w:rsidRPr="001E45AF" w:rsidRDefault="009B6C56" w:rsidP="009B6C56">
            <w:pPr>
              <w:rPr>
                <w:rFonts w:cs="Arial"/>
                <w:sz w:val="20"/>
              </w:rPr>
            </w:pPr>
          </w:p>
          <w:p w:rsidR="009B6C56" w:rsidRPr="001E45AF" w:rsidRDefault="009B6C56" w:rsidP="00820F78">
            <w:pPr>
              <w:widowControl w:val="0"/>
              <w:autoSpaceDE w:val="0"/>
              <w:autoSpaceDN w:val="0"/>
              <w:adjustRightInd w:val="0"/>
              <w:spacing w:after="240"/>
              <w:jc w:val="both"/>
              <w:rPr>
                <w:rFonts w:cs="Arial"/>
                <w:sz w:val="20"/>
              </w:rPr>
            </w:pPr>
            <w:r w:rsidRPr="001E45AF">
              <w:rPr>
                <w:rFonts w:cs="Arial"/>
                <w:sz w:val="20"/>
              </w:rPr>
              <w:t xml:space="preserve">Twenty-four colleges offer this program, including all four of Fleming’s main competitors. Fleming has a </w:t>
            </w:r>
            <w:r w:rsidRPr="001E45AF">
              <w:rPr>
                <w:rFonts w:cs="Arial"/>
                <w:bCs/>
                <w:sz w:val="20"/>
              </w:rPr>
              <w:t>4%</w:t>
            </w:r>
            <w:r w:rsidRPr="001E45AF">
              <w:rPr>
                <w:rFonts w:cs="Arial"/>
                <w:b/>
                <w:bCs/>
                <w:sz w:val="20"/>
              </w:rPr>
              <w:t xml:space="preserve"> </w:t>
            </w:r>
            <w:r w:rsidRPr="001E45AF">
              <w:rPr>
                <w:rFonts w:cs="Arial"/>
                <w:sz w:val="20"/>
              </w:rPr>
              <w:t xml:space="preserve">mean growth rate, slightly lower than the system rate of </w:t>
            </w:r>
            <w:r w:rsidRPr="001E45AF">
              <w:rPr>
                <w:rFonts w:cs="Arial"/>
                <w:bCs/>
                <w:sz w:val="20"/>
              </w:rPr>
              <w:t>5%.</w:t>
            </w:r>
            <w:r w:rsidRPr="001E45AF">
              <w:rPr>
                <w:rFonts w:cs="Arial"/>
                <w:b/>
                <w:bCs/>
                <w:sz w:val="20"/>
              </w:rPr>
              <w:t xml:space="preserve"> </w:t>
            </w:r>
            <w:r w:rsidRPr="001E45AF">
              <w:rPr>
                <w:rFonts w:cs="Arial"/>
                <w:sz w:val="20"/>
              </w:rPr>
              <w:t xml:space="preserve">Out of the key competitors, Georgian has the highest mean growth rate </w:t>
            </w:r>
            <w:r w:rsidRPr="001E45AF">
              <w:rPr>
                <w:rFonts w:cs="Arial"/>
                <w:bCs/>
                <w:sz w:val="20"/>
              </w:rPr>
              <w:t>(137%)</w:t>
            </w:r>
            <w:r w:rsidRPr="001E45AF">
              <w:rPr>
                <w:rFonts w:cs="Arial"/>
                <w:b/>
                <w:bCs/>
                <w:sz w:val="20"/>
              </w:rPr>
              <w:t xml:space="preserve"> </w:t>
            </w:r>
            <w:r w:rsidRPr="001E45AF">
              <w:rPr>
                <w:rFonts w:cs="Arial"/>
                <w:sz w:val="20"/>
              </w:rPr>
              <w:t xml:space="preserve">and Seneca has the lowest </w:t>
            </w:r>
            <w:r w:rsidR="00C7200D">
              <w:rPr>
                <w:rFonts w:cs="Arial"/>
                <w:sz w:val="20"/>
              </w:rPr>
              <w:t xml:space="preserve">     </w:t>
            </w:r>
            <w:r w:rsidRPr="001E45AF">
              <w:rPr>
                <w:rFonts w:cs="Arial"/>
                <w:bCs/>
                <w:sz w:val="20"/>
              </w:rPr>
              <w:t>(-5%).</w:t>
            </w:r>
            <w:r w:rsidRPr="001E45AF">
              <w:rPr>
                <w:rFonts w:cs="Arial"/>
                <w:b/>
                <w:bCs/>
                <w:sz w:val="20"/>
              </w:rPr>
              <w:t xml:space="preserve"> </w:t>
            </w:r>
            <w:r w:rsidRPr="001E45AF">
              <w:rPr>
                <w:rFonts w:cs="Arial"/>
                <w:sz w:val="20"/>
              </w:rPr>
              <w:t xml:space="preserve">Overall, Mohawk has the highest mean growth rate </w:t>
            </w:r>
            <w:r w:rsidRPr="001E45AF">
              <w:rPr>
                <w:rFonts w:cs="Arial"/>
                <w:bCs/>
                <w:sz w:val="20"/>
              </w:rPr>
              <w:t>(206%)</w:t>
            </w:r>
            <w:r w:rsidRPr="001E45AF">
              <w:rPr>
                <w:rFonts w:cs="Arial"/>
                <w:b/>
                <w:bCs/>
                <w:sz w:val="20"/>
              </w:rPr>
              <w:t xml:space="preserve"> </w:t>
            </w:r>
            <w:r w:rsidRPr="001E45AF">
              <w:rPr>
                <w:rFonts w:cs="Arial"/>
                <w:sz w:val="20"/>
              </w:rPr>
              <w:t xml:space="preserve">and St. Clair has the lowest mean growth rate </w:t>
            </w:r>
            <w:r w:rsidRPr="001E45AF">
              <w:rPr>
                <w:rFonts w:cs="Arial"/>
                <w:bCs/>
                <w:sz w:val="20"/>
              </w:rPr>
              <w:t>(-22%).</w:t>
            </w:r>
            <w:r w:rsidRPr="001E45AF">
              <w:rPr>
                <w:rFonts w:cs="Arial"/>
                <w:b/>
                <w:bCs/>
                <w:sz w:val="20"/>
              </w:rPr>
              <w:t xml:space="preserve"> </w:t>
            </w:r>
            <w:r w:rsidRPr="001E45AF">
              <w:rPr>
                <w:rFonts w:cs="Arial"/>
                <w:sz w:val="20"/>
              </w:rPr>
              <w:t xml:space="preserve">Algonquin has the highest average registration with </w:t>
            </w:r>
            <w:r w:rsidRPr="001E45AF">
              <w:rPr>
                <w:rFonts w:cs="Arial"/>
                <w:bCs/>
                <w:sz w:val="20"/>
              </w:rPr>
              <w:t>1061 students</w:t>
            </w:r>
            <w:r w:rsidRPr="001E45AF">
              <w:rPr>
                <w:rFonts w:cs="Arial"/>
                <w:b/>
                <w:bCs/>
                <w:sz w:val="20"/>
              </w:rPr>
              <w:t xml:space="preserve"> </w:t>
            </w:r>
            <w:r w:rsidRPr="001E45AF">
              <w:rPr>
                <w:rFonts w:cs="Arial"/>
                <w:sz w:val="20"/>
              </w:rPr>
              <w:t xml:space="preserve">and Boreal has the lowest with </w:t>
            </w:r>
            <w:r w:rsidRPr="001E45AF">
              <w:rPr>
                <w:rFonts w:cs="Arial"/>
                <w:bCs/>
                <w:sz w:val="20"/>
              </w:rPr>
              <w:t>14 students</w:t>
            </w:r>
            <w:r w:rsidRPr="001E45AF">
              <w:rPr>
                <w:rFonts w:cs="Arial"/>
                <w:b/>
                <w:bCs/>
                <w:sz w:val="20"/>
              </w:rPr>
              <w:t>.</w:t>
            </w:r>
          </w:p>
          <w:p w:rsidR="009B6C56" w:rsidRPr="001E45AF" w:rsidRDefault="009B6C56" w:rsidP="009B6C56">
            <w:pPr>
              <w:rPr>
                <w:rFonts w:cs="Arial"/>
                <w:b/>
                <w:sz w:val="20"/>
              </w:rPr>
            </w:pPr>
            <w:r w:rsidRPr="001E45AF">
              <w:rPr>
                <w:rFonts w:cs="Arial"/>
                <w:b/>
                <w:sz w:val="20"/>
              </w:rPr>
              <w:t>Student Demand: Moderate</w:t>
            </w:r>
          </w:p>
          <w:p w:rsidR="009B6C56" w:rsidRPr="001E45AF" w:rsidRDefault="009B6C56" w:rsidP="009B6C56">
            <w:pPr>
              <w:rPr>
                <w:rFonts w:cs="Arial"/>
                <w:sz w:val="20"/>
              </w:rPr>
            </w:pPr>
          </w:p>
          <w:p w:rsidR="009B6C56" w:rsidRPr="001E45AF" w:rsidRDefault="009B6C56" w:rsidP="00820F78">
            <w:pPr>
              <w:jc w:val="both"/>
              <w:rPr>
                <w:rFonts w:cs="Arial"/>
                <w:sz w:val="20"/>
              </w:rPr>
            </w:pPr>
            <w:r w:rsidRPr="001E45AF">
              <w:rPr>
                <w:rFonts w:cs="Arial"/>
                <w:sz w:val="20"/>
              </w:rPr>
              <w:t xml:space="preserve">According to Fleming College’s </w:t>
            </w:r>
            <w:r w:rsidRPr="001E45AF">
              <w:rPr>
                <w:rFonts w:cs="Arial"/>
                <w:i/>
                <w:sz w:val="20"/>
              </w:rPr>
              <w:t>Key Research Findings Report for the College Health Science Option (44700)</w:t>
            </w:r>
            <w:r w:rsidRPr="001E45AF">
              <w:rPr>
                <w:rFonts w:cs="Arial"/>
                <w:sz w:val="20"/>
              </w:rPr>
              <w:t>, student demand for this program is moderate; i.e., Fleming enrollment growth is equivalent to system demand and is between 1.0 to 2.9%, based on OCAS enrolment data 2007-2011.</w:t>
            </w:r>
          </w:p>
          <w:p w:rsidR="009B6C56" w:rsidRPr="001E45AF" w:rsidRDefault="009B6C56" w:rsidP="009B6C56">
            <w:pPr>
              <w:rPr>
                <w:rFonts w:cs="Arial"/>
                <w:sz w:val="20"/>
              </w:rPr>
            </w:pPr>
          </w:p>
          <w:p w:rsidR="009B6C56" w:rsidRPr="001E45AF" w:rsidRDefault="009B6C56" w:rsidP="009B6C56">
            <w:pPr>
              <w:rPr>
                <w:rFonts w:cs="Arial"/>
                <w:b/>
                <w:sz w:val="20"/>
              </w:rPr>
            </w:pPr>
            <w:r w:rsidRPr="001E45AF">
              <w:rPr>
                <w:rFonts w:cs="Arial"/>
                <w:b/>
                <w:sz w:val="20"/>
              </w:rPr>
              <w:t>Labour Market: Moderate</w:t>
            </w:r>
          </w:p>
          <w:p w:rsidR="009B6C56" w:rsidRPr="001E45AF" w:rsidRDefault="009B6C56" w:rsidP="00820F78">
            <w:pPr>
              <w:jc w:val="both"/>
              <w:rPr>
                <w:rFonts w:cs="Arial"/>
                <w:sz w:val="20"/>
              </w:rPr>
            </w:pPr>
            <w:r w:rsidRPr="001E45AF">
              <w:rPr>
                <w:rFonts w:cs="Arial"/>
                <w:sz w:val="20"/>
              </w:rPr>
              <w:t xml:space="preserve">Projected employment rate growth based on a consolidation of various Ontario, Canadian, and US sources including HRSDC, Sector </w:t>
            </w:r>
            <w:r w:rsidRPr="001E45AF">
              <w:rPr>
                <w:rFonts w:cs="Arial"/>
                <w:sz w:val="20"/>
              </w:rPr>
              <w:lastRenderedPageBreak/>
              <w:t>Cou</w:t>
            </w:r>
            <w:r w:rsidR="00C7200D">
              <w:rPr>
                <w:rFonts w:cs="Arial"/>
                <w:sz w:val="20"/>
              </w:rPr>
              <w:t>ncil Reports, US Bureau of Labo</w:t>
            </w:r>
            <w:r w:rsidRPr="001E45AF">
              <w:rPr>
                <w:rFonts w:cs="Arial"/>
                <w:sz w:val="20"/>
              </w:rPr>
              <w:t xml:space="preserve">r Statistics, and the MTCU Employment Profile, </w:t>
            </w:r>
            <w:r w:rsidR="00C7200D">
              <w:rPr>
                <w:rFonts w:cs="Arial"/>
                <w:sz w:val="20"/>
              </w:rPr>
              <w:t xml:space="preserve">suggest that </w:t>
            </w:r>
            <w:r w:rsidRPr="001E45AF">
              <w:rPr>
                <w:rFonts w:cs="Arial"/>
                <w:sz w:val="20"/>
              </w:rPr>
              <w:t>the lab</w:t>
            </w:r>
            <w:r w:rsidR="00C7200D">
              <w:rPr>
                <w:rFonts w:cs="Arial"/>
                <w:sz w:val="20"/>
              </w:rPr>
              <w:t>our market analysis is moderate;</w:t>
            </w:r>
            <w:r w:rsidRPr="001E45AF">
              <w:rPr>
                <w:rFonts w:cs="Arial"/>
                <w:sz w:val="20"/>
              </w:rPr>
              <w:t xml:space="preserve"> i.e., 3-5 positive labour market indicators. Overall, </w:t>
            </w:r>
            <w:r w:rsidRPr="001E45AF">
              <w:rPr>
                <w:rFonts w:cs="Arial"/>
                <w:i/>
                <w:sz w:val="20"/>
              </w:rPr>
              <w:t>Health Force Ontario</w:t>
            </w:r>
            <w:r w:rsidRPr="001E45AF">
              <w:rPr>
                <w:rFonts w:cs="Arial"/>
                <w:sz w:val="20"/>
              </w:rPr>
              <w:t xml:space="preserve"> (2012) reports, “Job prospects for many allied health professionals in Ontario are excellent. Baby boomers (born between 1946 and 1964) are beginning to retire and there is a growing demand for professionals in many areas of health care.”</w:t>
            </w:r>
          </w:p>
          <w:p w:rsidR="009B6C56" w:rsidRPr="001E45AF" w:rsidRDefault="009B6C56" w:rsidP="009B6C56">
            <w:pPr>
              <w:rPr>
                <w:rFonts w:cs="Arial"/>
                <w:sz w:val="20"/>
              </w:rPr>
            </w:pPr>
          </w:p>
          <w:p w:rsidR="009B6C56" w:rsidRPr="001E45AF" w:rsidRDefault="009B6C56" w:rsidP="009B6C56">
            <w:pPr>
              <w:rPr>
                <w:rFonts w:cs="Arial"/>
                <w:b/>
                <w:sz w:val="20"/>
              </w:rPr>
            </w:pPr>
            <w:r w:rsidRPr="001E45AF">
              <w:rPr>
                <w:rFonts w:cs="Arial"/>
                <w:b/>
                <w:sz w:val="20"/>
              </w:rPr>
              <w:t>Competitive Analysis: Moderate</w:t>
            </w:r>
          </w:p>
          <w:p w:rsidR="009B6C56" w:rsidRPr="001E45AF" w:rsidRDefault="009B6C56" w:rsidP="009B6C56">
            <w:pPr>
              <w:rPr>
                <w:rFonts w:cs="Arial"/>
                <w:sz w:val="20"/>
              </w:rPr>
            </w:pPr>
          </w:p>
          <w:p w:rsidR="009B6C56" w:rsidRPr="001E45AF" w:rsidRDefault="009B6C56" w:rsidP="00820F78">
            <w:pPr>
              <w:widowControl w:val="0"/>
              <w:tabs>
                <w:tab w:val="left" w:pos="220"/>
                <w:tab w:val="left" w:pos="720"/>
              </w:tabs>
              <w:autoSpaceDE w:val="0"/>
              <w:autoSpaceDN w:val="0"/>
              <w:adjustRightInd w:val="0"/>
              <w:spacing w:after="280"/>
              <w:jc w:val="both"/>
              <w:rPr>
                <w:rFonts w:cs="Arial"/>
                <w:sz w:val="20"/>
              </w:rPr>
            </w:pPr>
            <w:r w:rsidRPr="001E45AF">
              <w:rPr>
                <w:rFonts w:cs="Arial"/>
                <w:sz w:val="20"/>
              </w:rPr>
              <w:t xml:space="preserve">Based on the number of colleges offering the program as well as the ratio of applications to acceptances at Fleming compared to other colleges the competitive analysis is moderate; i.e., the Fleming conversion ratio is 1 above, below or equal to the system. Fleming’s ratio was equal to the system’s </w:t>
            </w:r>
            <w:r w:rsidRPr="001E45AF">
              <w:rPr>
                <w:rFonts w:cs="Arial"/>
                <w:bCs/>
                <w:sz w:val="20"/>
              </w:rPr>
              <w:t>(3:1)</w:t>
            </w:r>
            <w:r w:rsidRPr="001E45AF">
              <w:rPr>
                <w:rFonts w:cs="Arial"/>
                <w:b/>
                <w:bCs/>
                <w:sz w:val="20"/>
              </w:rPr>
              <w:t xml:space="preserve"> </w:t>
            </w:r>
            <w:r w:rsidRPr="001E45AF">
              <w:rPr>
                <w:rFonts w:cs="Arial"/>
                <w:sz w:val="20"/>
              </w:rPr>
              <w:t xml:space="preserve">in 2011, and the only direct competitor with a  ratio that is not lower than the system is Georgian </w:t>
            </w:r>
            <w:r w:rsidRPr="001E45AF">
              <w:rPr>
                <w:rFonts w:cs="Arial"/>
                <w:bCs/>
                <w:sz w:val="20"/>
              </w:rPr>
              <w:t>(3:1)</w:t>
            </w:r>
            <w:r w:rsidRPr="001E45AF">
              <w:rPr>
                <w:rFonts w:cs="Arial"/>
                <w:b/>
                <w:bCs/>
                <w:sz w:val="20"/>
              </w:rPr>
              <w:t xml:space="preserve">. </w:t>
            </w:r>
            <w:r w:rsidRPr="001E45AF">
              <w:rPr>
                <w:rFonts w:cs="Arial"/>
                <w:sz w:val="20"/>
              </w:rPr>
              <w:t xml:space="preserve">Algonquin has had the highest number of applications and registrations for the past 5 years. Georgian had the best ratio in 2011 </w:t>
            </w:r>
            <w:r w:rsidRPr="001E45AF">
              <w:rPr>
                <w:rFonts w:cs="Arial"/>
                <w:bCs/>
                <w:sz w:val="20"/>
              </w:rPr>
              <w:t>(0:1)</w:t>
            </w:r>
            <w:r w:rsidRPr="001E45AF">
              <w:rPr>
                <w:rFonts w:cs="Arial"/>
                <w:sz w:val="20"/>
              </w:rPr>
              <w:t xml:space="preserve"> and Canadore had the lowest </w:t>
            </w:r>
            <w:r w:rsidRPr="001E45AF">
              <w:rPr>
                <w:rFonts w:cs="Arial"/>
                <w:bCs/>
                <w:sz w:val="20"/>
              </w:rPr>
              <w:t>(5:1).</w:t>
            </w:r>
          </w:p>
          <w:p w:rsidR="009B6C56" w:rsidRPr="001E45AF" w:rsidRDefault="009B6C56" w:rsidP="009B6C56">
            <w:pPr>
              <w:widowControl w:val="0"/>
              <w:tabs>
                <w:tab w:val="left" w:pos="220"/>
                <w:tab w:val="left" w:pos="720"/>
              </w:tabs>
              <w:autoSpaceDE w:val="0"/>
              <w:autoSpaceDN w:val="0"/>
              <w:adjustRightInd w:val="0"/>
              <w:spacing w:after="280"/>
              <w:rPr>
                <w:rFonts w:cs="Arial"/>
                <w:b/>
                <w:bCs/>
                <w:sz w:val="20"/>
              </w:rPr>
            </w:pPr>
            <w:r w:rsidRPr="001E45AF">
              <w:rPr>
                <w:rFonts w:cs="Arial"/>
                <w:b/>
                <w:bCs/>
                <w:sz w:val="20"/>
              </w:rPr>
              <w:t>Financial Analysis: Strong</w:t>
            </w:r>
          </w:p>
          <w:p w:rsidR="009B6C56" w:rsidRPr="001E45AF" w:rsidRDefault="009B6C56" w:rsidP="00820F78">
            <w:pPr>
              <w:widowControl w:val="0"/>
              <w:tabs>
                <w:tab w:val="left" w:pos="220"/>
                <w:tab w:val="left" w:pos="720"/>
              </w:tabs>
              <w:autoSpaceDE w:val="0"/>
              <w:autoSpaceDN w:val="0"/>
              <w:adjustRightInd w:val="0"/>
              <w:spacing w:after="280"/>
              <w:jc w:val="both"/>
              <w:rPr>
                <w:rFonts w:cs="Arial"/>
                <w:bCs/>
                <w:sz w:val="20"/>
              </w:rPr>
            </w:pPr>
            <w:r w:rsidRPr="001E45AF">
              <w:rPr>
                <w:rFonts w:cs="Arial"/>
                <w:bCs/>
                <w:sz w:val="20"/>
              </w:rPr>
              <w:t>Based on a review of Contribution to Overhead (CTO) for existing programs (2010-11) the financial analysis is strong; i.e, CTO is greater than 35%. As of the 2010/11 Program Costing Analysis, the GHS Program’s CTO is 54.1%.</w:t>
            </w:r>
          </w:p>
          <w:p w:rsidR="00EA4DDF" w:rsidRPr="002D38D3" w:rsidRDefault="00A02F32" w:rsidP="00820F78">
            <w:pPr>
              <w:jc w:val="both"/>
              <w:rPr>
                <w:rFonts w:cs="Arial"/>
                <w:sz w:val="20"/>
              </w:rPr>
            </w:pPr>
            <w:r w:rsidRPr="002D38D3">
              <w:rPr>
                <w:rFonts w:cs="Arial"/>
                <w:sz w:val="20"/>
              </w:rPr>
              <w:t xml:space="preserve">The Program Advisory Committee for GAS did not identify any sectoral standards or industry trends in </w:t>
            </w:r>
            <w:r w:rsidR="00F77DEB" w:rsidRPr="002D38D3">
              <w:rPr>
                <w:rFonts w:cs="Arial"/>
                <w:sz w:val="20"/>
              </w:rPr>
              <w:t xml:space="preserve">either of </w:t>
            </w:r>
            <w:r w:rsidRPr="002D38D3">
              <w:rPr>
                <w:rFonts w:cs="Arial"/>
                <w:sz w:val="20"/>
              </w:rPr>
              <w:t xml:space="preserve">the last two meetings (October 25, 2011 &amp; November 8, 2012) that were specific or relevant for </w:t>
            </w:r>
            <w:r w:rsidR="00F77DEB" w:rsidRPr="002D38D3">
              <w:rPr>
                <w:rFonts w:cs="Arial"/>
                <w:sz w:val="20"/>
              </w:rPr>
              <w:t>t</w:t>
            </w:r>
            <w:r w:rsidRPr="002D38D3">
              <w:rPr>
                <w:rFonts w:cs="Arial"/>
                <w:sz w:val="20"/>
              </w:rPr>
              <w:t>he GHS program.</w:t>
            </w:r>
          </w:p>
          <w:p w:rsidR="00EA4DDF" w:rsidRDefault="00EA4DDF" w:rsidP="00AB5A30">
            <w:pPr>
              <w:rPr>
                <w:rFonts w:cs="Arial"/>
                <w:szCs w:val="22"/>
              </w:rPr>
            </w:pPr>
          </w:p>
          <w:p w:rsidR="00235E6C" w:rsidRPr="00356C80" w:rsidRDefault="00235E6C" w:rsidP="00AB5A30">
            <w:pPr>
              <w:rPr>
                <w:rFonts w:cs="Arial"/>
                <w:szCs w:val="22"/>
              </w:rPr>
            </w:pP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pStyle w:val="Title"/>
              <w:jc w:val="left"/>
              <w:rPr>
                <w:rFonts w:ascii="Arial" w:hAnsi="Arial" w:cs="Arial"/>
                <w:b/>
                <w:bCs/>
                <w:sz w:val="20"/>
              </w:rPr>
            </w:pPr>
            <w:r w:rsidRPr="00356C80">
              <w:rPr>
                <w:rFonts w:ascii="Arial" w:hAnsi="Arial" w:cs="Arial"/>
                <w:b/>
                <w:bCs/>
                <w:sz w:val="20"/>
              </w:rPr>
              <w:lastRenderedPageBreak/>
              <w:t>1.2 Industry Liaison</w:t>
            </w:r>
            <w:r w:rsidR="00C812F8">
              <w:rPr>
                <w:rFonts w:ascii="Arial" w:hAnsi="Arial" w:cs="Arial"/>
                <w:b/>
                <w:bCs/>
                <w:sz w:val="20"/>
              </w:rPr>
              <w:t xml:space="preserve"> </w:t>
            </w:r>
          </w:p>
          <w:p w:rsidR="00EA4DDF" w:rsidRPr="00356C80" w:rsidRDefault="00EA4DDF" w:rsidP="00AB5A30">
            <w:pPr>
              <w:pStyle w:val="Title"/>
              <w:jc w:val="left"/>
              <w:rPr>
                <w:rFonts w:ascii="Arial" w:hAnsi="Arial" w:cs="Arial"/>
                <w:b/>
                <w:bCs/>
                <w:sz w:val="20"/>
              </w:rPr>
            </w:pPr>
          </w:p>
          <w:p w:rsidR="00EA4DDF" w:rsidRPr="00356C80" w:rsidRDefault="00EA4DDF" w:rsidP="00AB5A30">
            <w:pPr>
              <w:rPr>
                <w:rFonts w:cs="Arial"/>
                <w:b/>
                <w:bCs/>
                <w:sz w:val="20"/>
              </w:rPr>
            </w:pPr>
            <w:r w:rsidRPr="00356C80">
              <w:rPr>
                <w:rFonts w:cs="Arial"/>
                <w:b/>
                <w:bCs/>
                <w:sz w:val="20"/>
              </w:rPr>
              <w:lastRenderedPageBreak/>
              <w:t>Review / discuss:</w:t>
            </w:r>
          </w:p>
          <w:p w:rsidR="00EA4DDF" w:rsidRPr="00356C80" w:rsidRDefault="00EA4DDF" w:rsidP="00AB5A30">
            <w:pPr>
              <w:rPr>
                <w:rFonts w:cs="Arial"/>
                <w:b/>
                <w:bCs/>
                <w:sz w:val="20"/>
              </w:rPr>
            </w:pPr>
          </w:p>
          <w:p w:rsidR="00EA4DDF" w:rsidRPr="008667D6" w:rsidRDefault="00EA4DDF" w:rsidP="00AB5A30">
            <w:pPr>
              <w:numPr>
                <w:ilvl w:val="0"/>
                <w:numId w:val="7"/>
              </w:numPr>
              <w:tabs>
                <w:tab w:val="clear" w:pos="900"/>
                <w:tab w:val="num" w:pos="360"/>
              </w:tabs>
              <w:ind w:left="360"/>
              <w:rPr>
                <w:rFonts w:cs="Arial"/>
                <w:b/>
                <w:bCs/>
                <w:sz w:val="20"/>
              </w:rPr>
            </w:pPr>
            <w:r w:rsidRPr="008667D6">
              <w:rPr>
                <w:rFonts w:cs="Arial"/>
                <w:sz w:val="20"/>
              </w:rPr>
              <w:t>Program initiatives to maintain involvement with the industry / sector such as field placement supervisions, clinical, faculty renewal, professional learning, other professional affiliations, or community-based projects</w:t>
            </w:r>
          </w:p>
          <w:p w:rsidR="005D66C4" w:rsidRDefault="005D66C4" w:rsidP="00AB5A30">
            <w:pPr>
              <w:pStyle w:val="Title"/>
              <w:jc w:val="left"/>
              <w:rPr>
                <w:rFonts w:ascii="Arial" w:hAnsi="Arial" w:cs="Arial"/>
                <w:b/>
                <w:bCs/>
                <w:sz w:val="20"/>
              </w:rPr>
            </w:pPr>
          </w:p>
          <w:p w:rsidR="005D66C4" w:rsidRPr="00356C80" w:rsidRDefault="005D66C4" w:rsidP="00AB5A30">
            <w:pPr>
              <w:pStyle w:val="Title"/>
              <w:jc w:val="left"/>
              <w:rPr>
                <w:rFonts w:ascii="Arial" w:hAnsi="Arial" w:cs="Arial"/>
                <w:b/>
                <w:bCs/>
                <w:sz w:val="20"/>
              </w:rPr>
            </w:pPr>
          </w:p>
        </w:tc>
        <w:tc>
          <w:tcPr>
            <w:tcW w:w="6379" w:type="dxa"/>
            <w:gridSpan w:val="2"/>
            <w:tcMar>
              <w:top w:w="113" w:type="dxa"/>
              <w:bottom w:w="113" w:type="dxa"/>
            </w:tcMar>
          </w:tcPr>
          <w:p w:rsidR="00EA4DDF" w:rsidRDefault="00AF1BAA" w:rsidP="00820F78">
            <w:pPr>
              <w:jc w:val="both"/>
              <w:rPr>
                <w:rFonts w:cs="Arial"/>
                <w:szCs w:val="22"/>
              </w:rPr>
            </w:pPr>
            <w:r w:rsidRPr="002D38D3">
              <w:rPr>
                <w:rFonts w:cs="Arial"/>
                <w:sz w:val="20"/>
              </w:rPr>
              <w:lastRenderedPageBreak/>
              <w:t xml:space="preserve">Because the GHS program is a pathway program for students who wish to enter into health-based programs (i.e., Massage Therapy, </w:t>
            </w:r>
            <w:r w:rsidRPr="002D38D3">
              <w:rPr>
                <w:rFonts w:cs="Arial"/>
                <w:sz w:val="20"/>
              </w:rPr>
              <w:lastRenderedPageBreak/>
              <w:t xml:space="preserve">Paramedic, Occupational Therapist Assistant/Physiotherapist Assistant, Practical Nursing, Biotechnology Technologist Forensics, Fitness and Health Promotion), the </w:t>
            </w:r>
            <w:r w:rsidR="0007213A" w:rsidRPr="002D38D3">
              <w:rPr>
                <w:rFonts w:cs="Arial"/>
                <w:sz w:val="20"/>
              </w:rPr>
              <w:t xml:space="preserve">GHS </w:t>
            </w:r>
            <w:r w:rsidRPr="002D38D3">
              <w:rPr>
                <w:rFonts w:cs="Arial"/>
                <w:sz w:val="20"/>
              </w:rPr>
              <w:t xml:space="preserve">faculty and the program coordinator maintain strong ties with coordinators in these </w:t>
            </w:r>
            <w:r w:rsidR="0007213A" w:rsidRPr="002D38D3">
              <w:rPr>
                <w:rFonts w:cs="Arial"/>
                <w:sz w:val="20"/>
              </w:rPr>
              <w:t xml:space="preserve">other programs within </w:t>
            </w:r>
            <w:r w:rsidR="00C812F8" w:rsidRPr="002D38D3">
              <w:rPr>
                <w:rFonts w:cs="Arial"/>
                <w:sz w:val="20"/>
              </w:rPr>
              <w:t>Fleming C</w:t>
            </w:r>
            <w:r w:rsidRPr="002D38D3">
              <w:rPr>
                <w:rFonts w:cs="Arial"/>
                <w:sz w:val="20"/>
              </w:rPr>
              <w:t xml:space="preserve">ollege.  The GHS program coordinator has </w:t>
            </w:r>
            <w:r w:rsidR="0007213A" w:rsidRPr="002D38D3">
              <w:rPr>
                <w:rFonts w:cs="Arial"/>
                <w:sz w:val="20"/>
              </w:rPr>
              <w:t xml:space="preserve">also </w:t>
            </w:r>
            <w:r w:rsidRPr="002D38D3">
              <w:rPr>
                <w:rFonts w:cs="Arial"/>
                <w:sz w:val="20"/>
              </w:rPr>
              <w:t xml:space="preserve">made numerous presentations and </w:t>
            </w:r>
            <w:r w:rsidR="0007213A" w:rsidRPr="002D38D3">
              <w:rPr>
                <w:rFonts w:cs="Arial"/>
                <w:sz w:val="20"/>
              </w:rPr>
              <w:t xml:space="preserve">has invited coordinators of </w:t>
            </w:r>
            <w:r w:rsidR="00350AFB" w:rsidRPr="002D38D3">
              <w:rPr>
                <w:rFonts w:cs="Arial"/>
                <w:sz w:val="20"/>
              </w:rPr>
              <w:t xml:space="preserve">these </w:t>
            </w:r>
            <w:r w:rsidR="0007213A" w:rsidRPr="002D38D3">
              <w:rPr>
                <w:rFonts w:cs="Arial"/>
                <w:sz w:val="20"/>
              </w:rPr>
              <w:t>health-based programs to make presentations to GHS second semester students who are preparing to apply to their next progra</w:t>
            </w:r>
            <w:r w:rsidR="00C812F8" w:rsidRPr="002D38D3">
              <w:rPr>
                <w:rFonts w:cs="Arial"/>
                <w:sz w:val="20"/>
              </w:rPr>
              <w:t>m</w:t>
            </w:r>
            <w:r w:rsidR="0007213A" w:rsidRPr="002D38D3">
              <w:rPr>
                <w:rFonts w:cs="Arial"/>
                <w:sz w:val="20"/>
              </w:rPr>
              <w:t>.</w:t>
            </w:r>
            <w:r w:rsidR="00350AFB" w:rsidRPr="002D38D3">
              <w:rPr>
                <w:rFonts w:cs="Arial"/>
                <w:sz w:val="20"/>
              </w:rPr>
              <w:t xml:space="preserve">  In addition, the GHS program coordinator is continuing to build on her relationship</w:t>
            </w:r>
            <w:r w:rsidR="004F5EED">
              <w:rPr>
                <w:rFonts w:cs="Arial"/>
                <w:sz w:val="20"/>
              </w:rPr>
              <w:t xml:space="preserve">s with Trent University, the </w:t>
            </w:r>
            <w:r w:rsidR="00350AFB" w:rsidRPr="002D38D3">
              <w:rPr>
                <w:rFonts w:cs="Arial"/>
                <w:sz w:val="20"/>
              </w:rPr>
              <w:t>University</w:t>
            </w:r>
            <w:r w:rsidR="004F5EED">
              <w:rPr>
                <w:rFonts w:cs="Arial"/>
                <w:sz w:val="20"/>
              </w:rPr>
              <w:t xml:space="preserve"> of Guelph</w:t>
            </w:r>
            <w:r w:rsidR="00350AFB" w:rsidRPr="002D38D3">
              <w:rPr>
                <w:rFonts w:cs="Arial"/>
                <w:sz w:val="20"/>
              </w:rPr>
              <w:t xml:space="preserve"> and other colleges that typically admit graduating students from the GHS program</w:t>
            </w:r>
            <w:r w:rsidR="00350AFB">
              <w:rPr>
                <w:rFonts w:cs="Arial"/>
                <w:szCs w:val="22"/>
              </w:rPr>
              <w:t>.</w:t>
            </w:r>
          </w:p>
          <w:p w:rsidR="00350AFB" w:rsidRDefault="00350AFB" w:rsidP="00820F78">
            <w:pPr>
              <w:jc w:val="both"/>
              <w:rPr>
                <w:rFonts w:cs="Arial"/>
                <w:szCs w:val="22"/>
              </w:rPr>
            </w:pPr>
          </w:p>
          <w:p w:rsidR="00350AFB" w:rsidRPr="002D38D3" w:rsidRDefault="00350AFB" w:rsidP="00820F78">
            <w:pPr>
              <w:jc w:val="both"/>
              <w:rPr>
                <w:rFonts w:cs="Arial"/>
                <w:sz w:val="20"/>
              </w:rPr>
            </w:pPr>
            <w:r w:rsidRPr="002D38D3">
              <w:rPr>
                <w:rFonts w:cs="Arial"/>
                <w:sz w:val="20"/>
              </w:rPr>
              <w:t>Last, as part of the curriculum review conducted last year, the</w:t>
            </w:r>
            <w:r w:rsidR="000E70F8" w:rsidRPr="002D38D3">
              <w:rPr>
                <w:rFonts w:cs="Arial"/>
                <w:sz w:val="20"/>
              </w:rPr>
              <w:t xml:space="preserve"> re-designed</w:t>
            </w:r>
            <w:r w:rsidRPr="002D38D3">
              <w:rPr>
                <w:rFonts w:cs="Arial"/>
                <w:sz w:val="20"/>
              </w:rPr>
              <w:t xml:space="preserve"> GHS </w:t>
            </w:r>
            <w:r w:rsidR="00FE56D0" w:rsidRPr="002D38D3">
              <w:rPr>
                <w:rFonts w:cs="Arial"/>
                <w:sz w:val="20"/>
              </w:rPr>
              <w:t>program</w:t>
            </w:r>
            <w:r w:rsidRPr="002D38D3">
              <w:rPr>
                <w:rFonts w:cs="Arial"/>
                <w:sz w:val="20"/>
              </w:rPr>
              <w:t xml:space="preserve"> ha</w:t>
            </w:r>
            <w:r w:rsidR="00C812F8" w:rsidRPr="002D38D3">
              <w:rPr>
                <w:rFonts w:cs="Arial"/>
                <w:sz w:val="20"/>
              </w:rPr>
              <w:t>s</w:t>
            </w:r>
            <w:r w:rsidR="00AF1EE3" w:rsidRPr="002D38D3">
              <w:rPr>
                <w:rFonts w:cs="Arial"/>
                <w:sz w:val="20"/>
              </w:rPr>
              <w:t xml:space="preserve"> </w:t>
            </w:r>
            <w:r w:rsidRPr="002D38D3">
              <w:rPr>
                <w:rFonts w:cs="Arial"/>
                <w:sz w:val="20"/>
              </w:rPr>
              <w:t xml:space="preserve">incorporated </w:t>
            </w:r>
            <w:r w:rsidR="00AF1EE3" w:rsidRPr="002D38D3">
              <w:rPr>
                <w:rFonts w:cs="Arial"/>
                <w:sz w:val="20"/>
              </w:rPr>
              <w:t>two new courses – Professional Issues in Health Science and Integrating Theory and Practice.  Both of these course</w:t>
            </w:r>
            <w:r w:rsidR="00C812F8" w:rsidRPr="002D38D3">
              <w:rPr>
                <w:rFonts w:cs="Arial"/>
                <w:sz w:val="20"/>
              </w:rPr>
              <w:t>s</w:t>
            </w:r>
            <w:r w:rsidR="00AF1EE3" w:rsidRPr="002D38D3">
              <w:rPr>
                <w:rFonts w:cs="Arial"/>
                <w:sz w:val="20"/>
              </w:rPr>
              <w:t xml:space="preserve"> are intended to prepare and support student</w:t>
            </w:r>
            <w:r w:rsidR="00C812F8" w:rsidRPr="002D38D3">
              <w:rPr>
                <w:rFonts w:cs="Arial"/>
                <w:sz w:val="20"/>
              </w:rPr>
              <w:t>s</w:t>
            </w:r>
            <w:r w:rsidR="00AF1EE3" w:rsidRPr="002D38D3">
              <w:rPr>
                <w:rFonts w:cs="Arial"/>
                <w:sz w:val="20"/>
              </w:rPr>
              <w:t xml:space="preserve"> for th</w:t>
            </w:r>
            <w:r w:rsidR="00C812F8" w:rsidRPr="002D38D3">
              <w:rPr>
                <w:rFonts w:cs="Arial"/>
                <w:sz w:val="20"/>
              </w:rPr>
              <w:t>eir future health-based program</w:t>
            </w:r>
            <w:r w:rsidR="00FE56D0" w:rsidRPr="002D38D3">
              <w:rPr>
                <w:rFonts w:cs="Arial"/>
                <w:sz w:val="20"/>
              </w:rPr>
              <w:t xml:space="preserve"> by asking students to res</w:t>
            </w:r>
            <w:r w:rsidR="004F5EED">
              <w:rPr>
                <w:rFonts w:cs="Arial"/>
                <w:sz w:val="20"/>
              </w:rPr>
              <w:t>earch and to think critically about</w:t>
            </w:r>
            <w:r w:rsidR="00FE56D0" w:rsidRPr="002D38D3">
              <w:rPr>
                <w:rFonts w:cs="Arial"/>
                <w:sz w:val="20"/>
              </w:rPr>
              <w:t xml:space="preserve"> </w:t>
            </w:r>
            <w:r w:rsidR="000E70F8" w:rsidRPr="002D38D3">
              <w:rPr>
                <w:rFonts w:cs="Arial"/>
                <w:sz w:val="20"/>
              </w:rPr>
              <w:t xml:space="preserve">legal, ethical and professional </w:t>
            </w:r>
            <w:r w:rsidR="00FE56D0" w:rsidRPr="002D38D3">
              <w:rPr>
                <w:rFonts w:cs="Arial"/>
                <w:sz w:val="20"/>
              </w:rPr>
              <w:t>issues within these new fields</w:t>
            </w:r>
            <w:r w:rsidR="00C812F8" w:rsidRPr="002D38D3">
              <w:rPr>
                <w:rFonts w:cs="Arial"/>
                <w:sz w:val="20"/>
              </w:rPr>
              <w:t>.</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2.0 Curriculum Development and Framework</w:t>
            </w:r>
          </w:p>
        </w:tc>
        <w:tc>
          <w:tcPr>
            <w:tcW w:w="6379"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2.1 Curriculum Framework</w:t>
            </w:r>
          </w:p>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2116CE" w:rsidRPr="002116CE" w:rsidRDefault="002116CE" w:rsidP="002116CE">
            <w:pPr>
              <w:numPr>
                <w:ilvl w:val="0"/>
                <w:numId w:val="7"/>
              </w:numPr>
              <w:tabs>
                <w:tab w:val="clear" w:pos="900"/>
                <w:tab w:val="num" w:pos="360"/>
              </w:tabs>
              <w:ind w:left="360"/>
              <w:rPr>
                <w:rFonts w:cs="Arial"/>
                <w:sz w:val="20"/>
              </w:rPr>
            </w:pPr>
            <w:r>
              <w:rPr>
                <w:rFonts w:cs="Arial"/>
                <w:sz w:val="20"/>
              </w:rPr>
              <w:t xml:space="preserve">Describe how your program demonstrates a </w:t>
            </w:r>
            <w:r w:rsidRPr="002116CE">
              <w:rPr>
                <w:rFonts w:cs="Arial"/>
                <w:sz w:val="20"/>
              </w:rPr>
              <w:t>learn</w:t>
            </w:r>
            <w:r>
              <w:rPr>
                <w:rFonts w:cs="Arial"/>
                <w:sz w:val="20"/>
              </w:rPr>
              <w:t xml:space="preserve">er </w:t>
            </w:r>
            <w:r w:rsidRPr="002116CE">
              <w:rPr>
                <w:rFonts w:cs="Arial"/>
                <w:sz w:val="20"/>
              </w:rPr>
              <w:t xml:space="preserve">centered </w:t>
            </w:r>
            <w:r>
              <w:rPr>
                <w:rFonts w:cs="Arial"/>
                <w:sz w:val="20"/>
              </w:rPr>
              <w:t xml:space="preserve">approach and addresses our </w:t>
            </w:r>
            <w:r w:rsidRPr="002116CE">
              <w:rPr>
                <w:rFonts w:cs="Arial"/>
                <w:sz w:val="20"/>
              </w:rPr>
              <w:t>core promise</w:t>
            </w:r>
            <w:r>
              <w:rPr>
                <w:rFonts w:cs="Arial"/>
                <w:sz w:val="20"/>
              </w:rPr>
              <w:t xml:space="preserve"> to students concerning </w:t>
            </w:r>
            <w:r w:rsidRPr="002116CE">
              <w:rPr>
                <w:rFonts w:cs="Arial"/>
                <w:sz w:val="20"/>
              </w:rPr>
              <w:t>personalized learning and support</w:t>
            </w:r>
            <w:r>
              <w:rPr>
                <w:rFonts w:cs="Arial"/>
                <w:sz w:val="20"/>
              </w:rPr>
              <w:t xml:space="preserve">.  </w:t>
            </w:r>
          </w:p>
          <w:p w:rsidR="00EB4375" w:rsidRPr="00356C80" w:rsidRDefault="00EB4375" w:rsidP="002116CE">
            <w:pPr>
              <w:ind w:left="360"/>
              <w:rPr>
                <w:rFonts w:cs="Arial"/>
                <w:b/>
                <w:sz w:val="20"/>
              </w:rPr>
            </w:pPr>
          </w:p>
        </w:tc>
        <w:tc>
          <w:tcPr>
            <w:tcW w:w="6379" w:type="dxa"/>
            <w:gridSpan w:val="2"/>
            <w:tcMar>
              <w:top w:w="113" w:type="dxa"/>
              <w:bottom w:w="113" w:type="dxa"/>
            </w:tcMar>
          </w:tcPr>
          <w:p w:rsidR="000E3D8E" w:rsidRPr="002D38D3" w:rsidRDefault="000E3D8E" w:rsidP="00820F78">
            <w:pPr>
              <w:jc w:val="both"/>
              <w:rPr>
                <w:rFonts w:cs="Arial"/>
                <w:sz w:val="20"/>
              </w:rPr>
            </w:pPr>
            <w:r w:rsidRPr="002D38D3">
              <w:rPr>
                <w:rFonts w:cs="Arial"/>
                <w:sz w:val="20"/>
              </w:rPr>
              <w:t>The GHS program has been re-designed to provide a more integrated student learning experience.  This integration is achieved through the coordination of topics across the program’s four core courses (Biology, Chemistry, Mathematics and Professional Issues).  There is also a weekly linkage of learning topics and themes across these 4 core courses and the utilization of case studies and discussion of current issues.</w:t>
            </w:r>
            <w:r w:rsidR="00CE108C" w:rsidRPr="002D38D3">
              <w:rPr>
                <w:rFonts w:cs="Arial"/>
                <w:sz w:val="20"/>
              </w:rPr>
              <w:t xml:space="preserve"> In addition, assignments are completed in more than one of the 4 core courses.</w:t>
            </w:r>
            <w:r w:rsidRPr="002D38D3">
              <w:rPr>
                <w:rFonts w:cs="Arial"/>
                <w:sz w:val="20"/>
              </w:rPr>
              <w:t xml:space="preserve"> This coordination and integration of topics/themes provides a more cohesive and comprehensive approach to student learning whereby students can readily see </w:t>
            </w:r>
            <w:r w:rsidR="00CE108C" w:rsidRPr="002D38D3">
              <w:rPr>
                <w:rFonts w:cs="Arial"/>
                <w:sz w:val="20"/>
              </w:rPr>
              <w:t xml:space="preserve">how the material is connected </w:t>
            </w:r>
            <w:r w:rsidRPr="002D38D3">
              <w:rPr>
                <w:rFonts w:cs="Arial"/>
                <w:sz w:val="20"/>
              </w:rPr>
              <w:t xml:space="preserve">across </w:t>
            </w:r>
            <w:r w:rsidR="00CE108C" w:rsidRPr="002D38D3">
              <w:rPr>
                <w:rFonts w:cs="Arial"/>
                <w:sz w:val="20"/>
              </w:rPr>
              <w:t>their program of study</w:t>
            </w:r>
            <w:r w:rsidRPr="002D38D3">
              <w:rPr>
                <w:rFonts w:cs="Arial"/>
                <w:sz w:val="20"/>
              </w:rPr>
              <w:t>.</w:t>
            </w:r>
          </w:p>
          <w:p w:rsidR="000E3D8E" w:rsidRPr="002D38D3" w:rsidRDefault="000E3D8E" w:rsidP="00820F78">
            <w:pPr>
              <w:jc w:val="both"/>
              <w:rPr>
                <w:rFonts w:cs="Arial"/>
                <w:sz w:val="20"/>
              </w:rPr>
            </w:pPr>
          </w:p>
          <w:p w:rsidR="00CE108C" w:rsidRPr="002D38D3" w:rsidRDefault="00CE108C" w:rsidP="00820F78">
            <w:pPr>
              <w:jc w:val="both"/>
              <w:rPr>
                <w:rFonts w:cs="Arial"/>
                <w:sz w:val="20"/>
              </w:rPr>
            </w:pPr>
            <w:r w:rsidRPr="002D38D3">
              <w:rPr>
                <w:rFonts w:cs="Arial"/>
                <w:sz w:val="20"/>
              </w:rPr>
              <w:lastRenderedPageBreak/>
              <w:t>Also</w:t>
            </w:r>
            <w:r w:rsidR="000E3D8E" w:rsidRPr="002D38D3">
              <w:rPr>
                <w:rFonts w:cs="Arial"/>
                <w:sz w:val="20"/>
              </w:rPr>
              <w:t>, the core promise to students is achieved through the increased ad</w:t>
            </w:r>
            <w:r w:rsidRPr="002D38D3">
              <w:rPr>
                <w:rFonts w:cs="Arial"/>
                <w:sz w:val="20"/>
              </w:rPr>
              <w:t xml:space="preserve">vising and support for students.  All faculty </w:t>
            </w:r>
            <w:r w:rsidR="00235E6C">
              <w:rPr>
                <w:rFonts w:cs="Arial"/>
                <w:sz w:val="20"/>
              </w:rPr>
              <w:t xml:space="preserve">members </w:t>
            </w:r>
            <w:r w:rsidRPr="002D38D3">
              <w:rPr>
                <w:rFonts w:cs="Arial"/>
                <w:sz w:val="20"/>
              </w:rPr>
              <w:t>who teach in the core courses act as academic advisors and meet weekly (formally and informally) to discuss challenges/issues.</w:t>
            </w:r>
          </w:p>
          <w:p w:rsidR="00CE108C" w:rsidRPr="002D38D3" w:rsidRDefault="00CE108C" w:rsidP="00820F78">
            <w:pPr>
              <w:jc w:val="both"/>
              <w:rPr>
                <w:rFonts w:cs="Arial"/>
                <w:sz w:val="20"/>
              </w:rPr>
            </w:pPr>
          </w:p>
          <w:p w:rsidR="00E9420D" w:rsidRPr="00356C80" w:rsidRDefault="00CE108C" w:rsidP="00820F78">
            <w:pPr>
              <w:jc w:val="both"/>
              <w:rPr>
                <w:rFonts w:cs="Arial"/>
                <w:szCs w:val="22"/>
              </w:rPr>
            </w:pPr>
            <w:r w:rsidRPr="002D38D3">
              <w:rPr>
                <w:rFonts w:cs="Arial"/>
                <w:sz w:val="20"/>
              </w:rPr>
              <w:t>The program teaching team has also developed consistent expectations of st</w:t>
            </w:r>
            <w:r w:rsidR="00807113">
              <w:rPr>
                <w:rFonts w:cs="Arial"/>
                <w:sz w:val="20"/>
              </w:rPr>
              <w:t xml:space="preserve">udents across the core courses; </w:t>
            </w:r>
            <w:r w:rsidRPr="002D38D3">
              <w:rPr>
                <w:rFonts w:cs="Arial"/>
                <w:sz w:val="20"/>
              </w:rPr>
              <w:t>i.e., course outline checklist, co</w:t>
            </w:r>
            <w:r w:rsidR="00807113">
              <w:rPr>
                <w:rFonts w:cs="Arial"/>
                <w:sz w:val="20"/>
              </w:rPr>
              <w:t>nsistent language and policies (</w:t>
            </w:r>
            <w:r w:rsidR="004F5EED" w:rsidRPr="00807113">
              <w:rPr>
                <w:rFonts w:cs="Arial"/>
                <w:b/>
                <w:sz w:val="20"/>
              </w:rPr>
              <w:t>Appendix B</w:t>
            </w:r>
            <w:r w:rsidR="00244F6F">
              <w:rPr>
                <w:rFonts w:cs="Arial"/>
                <w:b/>
                <w:sz w:val="20"/>
              </w:rPr>
              <w:t>: GHS Program Norms</w:t>
            </w:r>
            <w:r w:rsidRPr="004F5EED">
              <w:rPr>
                <w:rFonts w:cs="Arial"/>
                <w:sz w:val="20"/>
              </w:rPr>
              <w:t>).</w:t>
            </w:r>
            <w:r w:rsidRPr="002D38D3">
              <w:rPr>
                <w:rFonts w:cs="Arial"/>
                <w:sz w:val="20"/>
              </w:rPr>
              <w:t xml:space="preserve">   Progress reports that summarize s</w:t>
            </w:r>
            <w:r w:rsidR="004F5EED">
              <w:rPr>
                <w:rFonts w:cs="Arial"/>
                <w:sz w:val="20"/>
              </w:rPr>
              <w:t xml:space="preserve">tudent marks and attendance have </w:t>
            </w:r>
            <w:r w:rsidRPr="002D38D3">
              <w:rPr>
                <w:rFonts w:cs="Arial"/>
                <w:sz w:val="20"/>
              </w:rPr>
              <w:t>been implemented as of September 2012 (</w:t>
            </w:r>
            <w:r w:rsidR="00807113" w:rsidRPr="00807113">
              <w:rPr>
                <w:rFonts w:cs="Arial"/>
                <w:b/>
                <w:sz w:val="20"/>
              </w:rPr>
              <w:t xml:space="preserve">Appendix C: </w:t>
            </w:r>
            <w:r w:rsidR="00244F6F">
              <w:rPr>
                <w:rFonts w:cs="Arial"/>
                <w:b/>
                <w:sz w:val="20"/>
              </w:rPr>
              <w:t>Sample GHS Progress R</w:t>
            </w:r>
            <w:r w:rsidRPr="00807113">
              <w:rPr>
                <w:rFonts w:cs="Arial"/>
                <w:b/>
                <w:sz w:val="20"/>
              </w:rPr>
              <w:t>eport</w:t>
            </w:r>
            <w:r w:rsidRPr="00807113">
              <w:rPr>
                <w:rFonts w:cs="Arial"/>
                <w:sz w:val="20"/>
              </w:rPr>
              <w:t>).</w:t>
            </w:r>
            <w:r w:rsidR="001C5A69">
              <w:rPr>
                <w:rFonts w:cs="Arial"/>
                <w:szCs w:val="22"/>
              </w:rPr>
              <w:t xml:space="preserve">  </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2.2 Outcomes from Curriculum Renewal</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7"/>
              </w:numPr>
              <w:tabs>
                <w:tab w:val="clear" w:pos="900"/>
              </w:tabs>
              <w:ind w:left="360"/>
              <w:rPr>
                <w:rFonts w:cs="Arial"/>
                <w:sz w:val="20"/>
              </w:rPr>
            </w:pPr>
            <w:r w:rsidRPr="00356C80">
              <w:rPr>
                <w:rFonts w:cs="Arial"/>
                <w:sz w:val="20"/>
              </w:rPr>
              <w:t>Key outcomes from the Curriculum Renewal processes of the past few years</w:t>
            </w:r>
          </w:p>
          <w:p w:rsidR="00D07044" w:rsidRPr="00356C80" w:rsidRDefault="00D07044" w:rsidP="00D07044">
            <w:pPr>
              <w:ind w:left="360"/>
              <w:rPr>
                <w:rFonts w:cs="Arial"/>
                <w:sz w:val="20"/>
              </w:rPr>
            </w:pPr>
          </w:p>
          <w:p w:rsidR="00EA4DDF" w:rsidRDefault="00EA4DDF" w:rsidP="00EA4DDF">
            <w:pPr>
              <w:numPr>
                <w:ilvl w:val="0"/>
                <w:numId w:val="7"/>
              </w:numPr>
              <w:tabs>
                <w:tab w:val="clear" w:pos="900"/>
              </w:tabs>
              <w:ind w:left="360"/>
              <w:rPr>
                <w:rFonts w:cs="Arial"/>
                <w:sz w:val="20"/>
              </w:rPr>
            </w:pPr>
            <w:r w:rsidRPr="00356C80">
              <w:rPr>
                <w:rFonts w:cs="Arial"/>
                <w:sz w:val="20"/>
              </w:rPr>
              <w:t>Progress to date in implementing the recommendations arising from Curriculum Renewal</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EA4DDF" w:rsidRDefault="00EA4DDF" w:rsidP="00EA4DDF">
            <w:pPr>
              <w:numPr>
                <w:ilvl w:val="0"/>
                <w:numId w:val="7"/>
              </w:numPr>
              <w:tabs>
                <w:tab w:val="clear" w:pos="900"/>
              </w:tabs>
              <w:ind w:left="360"/>
              <w:rPr>
                <w:rFonts w:cs="Arial"/>
                <w:sz w:val="20"/>
              </w:rPr>
            </w:pPr>
            <w:r w:rsidRPr="00356C80">
              <w:rPr>
                <w:rFonts w:cs="Arial"/>
                <w:sz w:val="20"/>
              </w:rPr>
              <w:t>Success of the changes implemented and the means by which they are being evaluated</w:t>
            </w:r>
          </w:p>
          <w:p w:rsidR="00EB4375" w:rsidRPr="00356C80" w:rsidRDefault="00EB4375" w:rsidP="00EB4375">
            <w:pPr>
              <w:rPr>
                <w:rFonts w:cs="Arial"/>
                <w:sz w:val="20"/>
              </w:rPr>
            </w:pPr>
          </w:p>
          <w:p w:rsidR="00EA4DDF" w:rsidRPr="00356C80" w:rsidRDefault="00EA4DDF" w:rsidP="00AB5A30">
            <w:pPr>
              <w:pStyle w:val="Title"/>
              <w:jc w:val="left"/>
              <w:rPr>
                <w:rFonts w:ascii="Arial" w:hAnsi="Arial" w:cs="Arial"/>
                <w:b/>
                <w:sz w:val="20"/>
              </w:rPr>
            </w:pPr>
          </w:p>
        </w:tc>
        <w:tc>
          <w:tcPr>
            <w:tcW w:w="6379" w:type="dxa"/>
            <w:gridSpan w:val="2"/>
            <w:tcMar>
              <w:top w:w="113" w:type="dxa"/>
              <w:bottom w:w="113" w:type="dxa"/>
            </w:tcMar>
          </w:tcPr>
          <w:p w:rsidR="00CF48C7" w:rsidRPr="002D38D3" w:rsidRDefault="00E9420D" w:rsidP="00820F78">
            <w:pPr>
              <w:pStyle w:val="Title"/>
              <w:tabs>
                <w:tab w:val="left" w:pos="432"/>
                <w:tab w:val="left" w:pos="972"/>
              </w:tabs>
              <w:jc w:val="both"/>
              <w:rPr>
                <w:rFonts w:ascii="Arial" w:hAnsi="Arial" w:cs="Arial"/>
                <w:sz w:val="20"/>
              </w:rPr>
            </w:pPr>
            <w:r w:rsidRPr="002D38D3">
              <w:rPr>
                <w:rFonts w:ascii="Arial" w:hAnsi="Arial" w:cs="Arial"/>
                <w:sz w:val="20"/>
              </w:rPr>
              <w:t xml:space="preserve">No major curriculum changes have been made to the GHS program since the original development in 2004.  </w:t>
            </w:r>
          </w:p>
          <w:p w:rsidR="00CF48C7" w:rsidRPr="002D38D3" w:rsidRDefault="00CF48C7" w:rsidP="00820F78">
            <w:pPr>
              <w:pStyle w:val="Title"/>
              <w:tabs>
                <w:tab w:val="left" w:pos="432"/>
                <w:tab w:val="left" w:pos="972"/>
              </w:tabs>
              <w:jc w:val="both"/>
              <w:rPr>
                <w:rFonts w:ascii="Arial" w:hAnsi="Arial" w:cs="Arial"/>
                <w:sz w:val="20"/>
              </w:rPr>
            </w:pPr>
          </w:p>
          <w:p w:rsidR="00CF48C7" w:rsidRPr="002D38D3" w:rsidRDefault="00E9420D" w:rsidP="00820F78">
            <w:pPr>
              <w:pStyle w:val="Title"/>
              <w:tabs>
                <w:tab w:val="left" w:pos="432"/>
                <w:tab w:val="left" w:pos="972"/>
              </w:tabs>
              <w:jc w:val="both"/>
              <w:rPr>
                <w:rFonts w:ascii="Arial" w:hAnsi="Arial" w:cs="Arial"/>
                <w:sz w:val="20"/>
              </w:rPr>
            </w:pPr>
            <w:r w:rsidRPr="002D38D3">
              <w:rPr>
                <w:rFonts w:ascii="Arial" w:hAnsi="Arial" w:cs="Arial"/>
                <w:sz w:val="20"/>
              </w:rPr>
              <w:t>Over the past three years, the program teaching team has modified learning experiences within Biology, Chemistry, and Mathematics to improve student engagement</w:t>
            </w:r>
            <w:r w:rsidR="00CF48C7" w:rsidRPr="002D38D3">
              <w:rPr>
                <w:rFonts w:ascii="Arial" w:hAnsi="Arial" w:cs="Arial"/>
                <w:sz w:val="20"/>
              </w:rPr>
              <w:t xml:space="preserve"> and success</w:t>
            </w:r>
            <w:r w:rsidRPr="002D38D3">
              <w:rPr>
                <w:rFonts w:ascii="Arial" w:hAnsi="Arial" w:cs="Arial"/>
                <w:sz w:val="20"/>
              </w:rPr>
              <w:t>.</w:t>
            </w:r>
            <w:r w:rsidR="00CF48C7" w:rsidRPr="002D38D3">
              <w:rPr>
                <w:rFonts w:ascii="Arial" w:hAnsi="Arial" w:cs="Arial"/>
                <w:sz w:val="20"/>
              </w:rPr>
              <w:t xml:space="preserve">  Generally, the curriculum now includes applied laboratory activities and demonstrations, WebCT-based preparatory exercises and discussions regarding integration of curriculum between program courses.  These initiatives are aligned with the college’s e-learning and applied learning strategies.</w:t>
            </w:r>
          </w:p>
          <w:p w:rsidR="00EA4DDF" w:rsidRDefault="00EA4DDF" w:rsidP="00820F78">
            <w:pPr>
              <w:jc w:val="both"/>
              <w:rPr>
                <w:rFonts w:cs="Arial"/>
                <w:sz w:val="20"/>
              </w:rPr>
            </w:pPr>
          </w:p>
          <w:p w:rsidR="00982F89" w:rsidRPr="009B6C56" w:rsidRDefault="00982F89" w:rsidP="00820F78">
            <w:pPr>
              <w:jc w:val="both"/>
              <w:rPr>
                <w:rFonts w:cs="Arial"/>
                <w:i/>
                <w:sz w:val="20"/>
              </w:rPr>
            </w:pPr>
            <w:r w:rsidRPr="00982F89">
              <w:rPr>
                <w:rFonts w:cs="Arial"/>
                <w:sz w:val="20"/>
              </w:rPr>
              <w:t>GNED25 (Self-Directed Learning) and GNED10 (Critical Thinking) were removed from the program as mandated General Education courses and were replaced by HLTH273 (Professional Issues in Health Science) and HLTH274 (Integrating Theory and Practice).</w:t>
            </w:r>
            <w:r w:rsidRPr="00982F89">
              <w:rPr>
                <w:rFonts w:cs="Arial"/>
                <w:i/>
                <w:sz w:val="20"/>
              </w:rPr>
              <w:t xml:space="preserve"> </w:t>
            </w:r>
            <w:r w:rsidRPr="00982F89">
              <w:rPr>
                <w:rFonts w:cs="Arial"/>
                <w:sz w:val="20"/>
              </w:rPr>
              <w:t>T</w:t>
            </w:r>
            <w:r w:rsidR="00807113">
              <w:rPr>
                <w:rFonts w:cs="Arial"/>
                <w:sz w:val="20"/>
              </w:rPr>
              <w:t>hese new courses focus on self-</w:t>
            </w:r>
            <w:r w:rsidRPr="00982F89">
              <w:rPr>
                <w:rFonts w:cs="Arial"/>
                <w:sz w:val="20"/>
              </w:rPr>
              <w:t>directed learning skills and critical thinking skills in a</w:t>
            </w:r>
            <w:r>
              <w:rPr>
                <w:rFonts w:cs="Arial"/>
                <w:sz w:val="20"/>
              </w:rPr>
              <w:t xml:space="preserve"> more </w:t>
            </w:r>
            <w:r w:rsidRPr="00982F89">
              <w:rPr>
                <w:rFonts w:cs="Arial"/>
                <w:sz w:val="20"/>
              </w:rPr>
              <w:t>applied and health related context.</w:t>
            </w:r>
          </w:p>
          <w:p w:rsidR="00982F89" w:rsidRPr="00B56042" w:rsidRDefault="00982F89" w:rsidP="00820F78">
            <w:pPr>
              <w:pStyle w:val="ListParagraph"/>
              <w:ind w:left="1440"/>
              <w:jc w:val="both"/>
              <w:rPr>
                <w:rFonts w:cs="Arial"/>
                <w:i/>
                <w:sz w:val="10"/>
                <w:szCs w:val="10"/>
              </w:rPr>
            </w:pPr>
          </w:p>
          <w:p w:rsidR="00982F89" w:rsidRPr="00982F89" w:rsidRDefault="00982F89" w:rsidP="00820F78">
            <w:pPr>
              <w:jc w:val="both"/>
              <w:rPr>
                <w:rFonts w:cs="Arial"/>
                <w:sz w:val="20"/>
              </w:rPr>
            </w:pPr>
            <w:r>
              <w:rPr>
                <w:rFonts w:cs="Arial"/>
                <w:sz w:val="20"/>
              </w:rPr>
              <w:t>There was m</w:t>
            </w:r>
            <w:r w:rsidRPr="00982F89">
              <w:rPr>
                <w:rFonts w:cs="Arial"/>
                <w:sz w:val="20"/>
              </w:rPr>
              <w:t xml:space="preserve">odification of delivery </w:t>
            </w:r>
            <w:r>
              <w:rPr>
                <w:rFonts w:cs="Arial"/>
                <w:sz w:val="20"/>
              </w:rPr>
              <w:t xml:space="preserve">to </w:t>
            </w:r>
            <w:r w:rsidRPr="00982F89">
              <w:rPr>
                <w:rFonts w:cs="Arial"/>
                <w:sz w:val="20"/>
              </w:rPr>
              <w:t xml:space="preserve">the Chemistry course to </w:t>
            </w:r>
            <w:r w:rsidR="005478A3">
              <w:rPr>
                <w:rFonts w:cs="Arial"/>
                <w:sz w:val="20"/>
              </w:rPr>
              <w:t>be one lecture hour and one two-</w:t>
            </w:r>
            <w:r w:rsidRPr="00982F89">
              <w:rPr>
                <w:rFonts w:cs="Arial"/>
                <w:sz w:val="20"/>
              </w:rPr>
              <w:t>hour laboratory session per week.</w:t>
            </w:r>
          </w:p>
          <w:p w:rsidR="00982F89" w:rsidRPr="00982F89" w:rsidRDefault="00982F89" w:rsidP="002B3973">
            <w:pPr>
              <w:pStyle w:val="ListParagraph"/>
              <w:ind w:left="1440"/>
              <w:rPr>
                <w:rFonts w:cs="Arial"/>
                <w:sz w:val="10"/>
                <w:szCs w:val="10"/>
              </w:rPr>
            </w:pPr>
          </w:p>
          <w:p w:rsidR="00982F89" w:rsidRPr="00982F89" w:rsidRDefault="00982F89" w:rsidP="00820F78">
            <w:pPr>
              <w:jc w:val="both"/>
              <w:rPr>
                <w:rFonts w:cs="Arial"/>
                <w:sz w:val="20"/>
              </w:rPr>
            </w:pPr>
            <w:r>
              <w:rPr>
                <w:rFonts w:cs="Arial"/>
                <w:sz w:val="20"/>
              </w:rPr>
              <w:t xml:space="preserve">A </w:t>
            </w:r>
            <w:r w:rsidRPr="00982F89">
              <w:rPr>
                <w:rFonts w:cs="Arial"/>
                <w:sz w:val="20"/>
              </w:rPr>
              <w:t xml:space="preserve">second math course </w:t>
            </w:r>
            <w:r>
              <w:rPr>
                <w:rFonts w:cs="Arial"/>
                <w:sz w:val="20"/>
              </w:rPr>
              <w:t xml:space="preserve">was added </w:t>
            </w:r>
            <w:r w:rsidRPr="00982F89">
              <w:rPr>
                <w:rFonts w:cs="Arial"/>
                <w:sz w:val="20"/>
              </w:rPr>
              <w:t>in Semester 2</w:t>
            </w:r>
            <w:r>
              <w:rPr>
                <w:rFonts w:cs="Arial"/>
                <w:sz w:val="20"/>
              </w:rPr>
              <w:t>.</w:t>
            </w:r>
            <w:r w:rsidR="00202DB2">
              <w:rPr>
                <w:rFonts w:cs="Arial"/>
                <w:sz w:val="20"/>
              </w:rPr>
              <w:t xml:space="preserve">  </w:t>
            </w:r>
            <w:r w:rsidR="00807113">
              <w:rPr>
                <w:rFonts w:cs="Arial"/>
                <w:sz w:val="20"/>
              </w:rPr>
              <w:t>(</w:t>
            </w:r>
            <w:r w:rsidR="00807113" w:rsidRPr="00807113">
              <w:rPr>
                <w:rFonts w:cs="Arial"/>
                <w:b/>
                <w:sz w:val="20"/>
              </w:rPr>
              <w:t>Appendix D</w:t>
            </w:r>
            <w:r w:rsidR="00244F6F">
              <w:rPr>
                <w:rFonts w:cs="Arial"/>
                <w:sz w:val="20"/>
              </w:rPr>
              <w:t xml:space="preserve">: </w:t>
            </w:r>
            <w:r w:rsidR="00244F6F" w:rsidRPr="00244F6F">
              <w:rPr>
                <w:rFonts w:cs="Arial"/>
                <w:b/>
                <w:sz w:val="20"/>
              </w:rPr>
              <w:t>GHS Curriculum Renewal for September 2012</w:t>
            </w:r>
            <w:r w:rsidR="00244F6F">
              <w:rPr>
                <w:rFonts w:cs="Arial"/>
                <w:sz w:val="20"/>
              </w:rPr>
              <w:t xml:space="preserve"> </w:t>
            </w:r>
            <w:r w:rsidR="00202DB2" w:rsidRPr="00807113">
              <w:rPr>
                <w:rFonts w:cs="Arial"/>
                <w:sz w:val="20"/>
              </w:rPr>
              <w:t>summarizes the modifications to the program hours and delivery patterns across semester</w:t>
            </w:r>
            <w:r w:rsidR="00807113" w:rsidRPr="00807113">
              <w:rPr>
                <w:rFonts w:cs="Arial"/>
                <w:sz w:val="20"/>
              </w:rPr>
              <w:t>s</w:t>
            </w:r>
            <w:r w:rsidR="00202DB2" w:rsidRPr="00807113">
              <w:rPr>
                <w:rFonts w:cs="Arial"/>
                <w:sz w:val="20"/>
              </w:rPr>
              <w:t xml:space="preserve"> 1 and 2 as a result of feedback from student focus groups, </w:t>
            </w:r>
            <w:r w:rsidR="00202DB2" w:rsidRPr="00807113">
              <w:rPr>
                <w:rFonts w:cs="Arial"/>
                <w:sz w:val="20"/>
              </w:rPr>
              <w:lastRenderedPageBreak/>
              <w:t>program faculty discussion and curriculum renewal</w:t>
            </w:r>
            <w:r w:rsidR="00807113" w:rsidRPr="00807113">
              <w:rPr>
                <w:rFonts w:cs="Arial"/>
                <w:sz w:val="20"/>
              </w:rPr>
              <w:t>.)</w:t>
            </w:r>
            <w:r w:rsidR="00202DB2">
              <w:rPr>
                <w:rFonts w:cs="Arial"/>
                <w:sz w:val="20"/>
              </w:rPr>
              <w:t xml:space="preserve"> </w:t>
            </w:r>
          </w:p>
          <w:p w:rsidR="00982F89" w:rsidRPr="00B56042" w:rsidRDefault="00982F89" w:rsidP="002B3973">
            <w:pPr>
              <w:pStyle w:val="ListParagraph"/>
              <w:ind w:left="1440"/>
              <w:rPr>
                <w:rFonts w:cs="Arial"/>
                <w:i/>
                <w:sz w:val="10"/>
                <w:szCs w:val="10"/>
              </w:rPr>
            </w:pPr>
          </w:p>
          <w:p w:rsidR="00E9420D" w:rsidRPr="002D38D3" w:rsidRDefault="00E9420D" w:rsidP="002B3973">
            <w:pPr>
              <w:rPr>
                <w:rFonts w:cs="Arial"/>
                <w:sz w:val="20"/>
              </w:rPr>
            </w:pPr>
            <w:r w:rsidRPr="002D38D3">
              <w:rPr>
                <w:rFonts w:cs="Arial"/>
                <w:sz w:val="20"/>
              </w:rPr>
              <w:t xml:space="preserve">Some </w:t>
            </w:r>
            <w:r w:rsidR="00CF48C7" w:rsidRPr="002D38D3">
              <w:rPr>
                <w:rFonts w:cs="Arial"/>
                <w:sz w:val="20"/>
              </w:rPr>
              <w:t>other</w:t>
            </w:r>
            <w:r w:rsidRPr="002D38D3">
              <w:rPr>
                <w:rFonts w:cs="Arial"/>
                <w:sz w:val="20"/>
              </w:rPr>
              <w:t xml:space="preserve"> modifications are detailed below.</w:t>
            </w:r>
          </w:p>
          <w:p w:rsidR="00E9420D" w:rsidRPr="002D38D3" w:rsidRDefault="00E9420D" w:rsidP="002B3973">
            <w:pPr>
              <w:rPr>
                <w:rFonts w:cs="Arial"/>
                <w:sz w:val="20"/>
              </w:rPr>
            </w:pPr>
          </w:p>
          <w:p w:rsidR="00E9420D" w:rsidRPr="002D38D3" w:rsidRDefault="00E9420D" w:rsidP="00820F78">
            <w:pPr>
              <w:jc w:val="both"/>
              <w:rPr>
                <w:rFonts w:cs="Arial"/>
                <w:sz w:val="20"/>
              </w:rPr>
            </w:pPr>
            <w:r w:rsidRPr="00807113">
              <w:rPr>
                <w:rFonts w:cs="Arial"/>
                <w:b/>
                <w:sz w:val="20"/>
              </w:rPr>
              <w:t>Biology</w:t>
            </w:r>
            <w:r w:rsidRPr="002D38D3">
              <w:rPr>
                <w:rFonts w:cs="Arial"/>
                <w:sz w:val="20"/>
              </w:rPr>
              <w:t xml:space="preserve"> – Case study applications have been added and </w:t>
            </w:r>
            <w:r w:rsidR="00807113">
              <w:rPr>
                <w:rFonts w:cs="Arial"/>
                <w:sz w:val="20"/>
              </w:rPr>
              <w:t xml:space="preserve">are discussed during lectures. </w:t>
            </w:r>
            <w:r w:rsidRPr="002D38D3">
              <w:rPr>
                <w:rFonts w:cs="Arial"/>
                <w:sz w:val="20"/>
              </w:rPr>
              <w:t>Students respond to these applied situations during the subsequent laboratory session. To encourage student preparation prior to lab and lecture (just in time learning), laboratory preparation packages are completed to facilitate discussions.</w:t>
            </w:r>
          </w:p>
          <w:p w:rsidR="00E9420D" w:rsidRPr="002D38D3" w:rsidRDefault="00E9420D" w:rsidP="00820F78">
            <w:pPr>
              <w:jc w:val="both"/>
              <w:rPr>
                <w:rFonts w:cs="Arial"/>
                <w:sz w:val="20"/>
              </w:rPr>
            </w:pPr>
          </w:p>
          <w:p w:rsidR="00E9420D" w:rsidRPr="002D38D3" w:rsidRDefault="00E9420D" w:rsidP="00820F78">
            <w:pPr>
              <w:jc w:val="both"/>
              <w:rPr>
                <w:rFonts w:cs="Arial"/>
                <w:sz w:val="20"/>
              </w:rPr>
            </w:pPr>
            <w:r w:rsidRPr="00807113">
              <w:rPr>
                <w:rFonts w:cs="Arial"/>
                <w:b/>
                <w:sz w:val="20"/>
              </w:rPr>
              <w:t>Chemistry</w:t>
            </w:r>
            <w:r w:rsidRPr="002D38D3">
              <w:rPr>
                <w:rFonts w:cs="Arial"/>
                <w:sz w:val="20"/>
              </w:rPr>
              <w:t xml:space="preserve"> – Online learning resources have been added to the course learning materials.  The use of a formal lab notebook and laboratory reports that provide students with essential reporting skills have been introduced.  An additional hour within the lab has been added to provide students with the opp</w:t>
            </w:r>
            <w:r w:rsidR="00807113">
              <w:rPr>
                <w:rFonts w:cs="Arial"/>
                <w:sz w:val="20"/>
              </w:rPr>
              <w:t>ortunity to directly apply the</w:t>
            </w:r>
            <w:r w:rsidRPr="002D38D3">
              <w:rPr>
                <w:rFonts w:cs="Arial"/>
                <w:sz w:val="20"/>
              </w:rPr>
              <w:t xml:space="preserve"> knowledge </w:t>
            </w:r>
            <w:r w:rsidR="00807113">
              <w:rPr>
                <w:rFonts w:cs="Arial"/>
                <w:sz w:val="20"/>
              </w:rPr>
              <w:t>they gain</w:t>
            </w:r>
            <w:r w:rsidRPr="002D38D3">
              <w:rPr>
                <w:rFonts w:cs="Arial"/>
                <w:sz w:val="20"/>
              </w:rPr>
              <w:t xml:space="preserve"> in the lecture.</w:t>
            </w:r>
          </w:p>
          <w:p w:rsidR="00E9420D" w:rsidRPr="002D38D3" w:rsidRDefault="00E9420D" w:rsidP="00820F78">
            <w:pPr>
              <w:jc w:val="both"/>
              <w:rPr>
                <w:rFonts w:cs="Arial"/>
                <w:sz w:val="20"/>
              </w:rPr>
            </w:pPr>
          </w:p>
          <w:p w:rsidR="00E9420D" w:rsidRPr="002D38D3" w:rsidRDefault="00E9420D" w:rsidP="00820F78">
            <w:pPr>
              <w:jc w:val="both"/>
              <w:rPr>
                <w:rFonts w:cs="Arial"/>
                <w:sz w:val="20"/>
              </w:rPr>
            </w:pPr>
            <w:r w:rsidRPr="00807113">
              <w:rPr>
                <w:rFonts w:cs="Arial"/>
                <w:b/>
                <w:sz w:val="20"/>
              </w:rPr>
              <w:t>Mathematics</w:t>
            </w:r>
            <w:r w:rsidRPr="002D38D3">
              <w:rPr>
                <w:rFonts w:cs="Arial"/>
                <w:sz w:val="20"/>
              </w:rPr>
              <w:t xml:space="preserve"> – Seminar preparation packages were introduced to encourage practice and self-assessment.  There was an increased focus on the development and implementation of health care rela</w:t>
            </w:r>
            <w:r w:rsidR="00807113">
              <w:rPr>
                <w:rFonts w:cs="Arial"/>
                <w:sz w:val="20"/>
              </w:rPr>
              <w:t xml:space="preserve">ted examples and applications. </w:t>
            </w:r>
            <w:r w:rsidRPr="002D38D3">
              <w:rPr>
                <w:rFonts w:cs="Arial"/>
                <w:sz w:val="20"/>
              </w:rPr>
              <w:t>More frequent assessment has been added to allow for timely and relevant feedback to students.</w:t>
            </w:r>
          </w:p>
          <w:p w:rsidR="00E9420D" w:rsidRPr="002D38D3" w:rsidRDefault="00E9420D" w:rsidP="00820F78">
            <w:pPr>
              <w:jc w:val="both"/>
              <w:rPr>
                <w:rFonts w:cs="Arial"/>
                <w:sz w:val="20"/>
              </w:rPr>
            </w:pPr>
          </w:p>
          <w:p w:rsidR="00E9420D" w:rsidRDefault="00E9420D" w:rsidP="00820F78">
            <w:pPr>
              <w:jc w:val="both"/>
              <w:rPr>
                <w:rFonts w:cs="Arial"/>
                <w:sz w:val="20"/>
              </w:rPr>
            </w:pPr>
            <w:r w:rsidRPr="002D38D3">
              <w:rPr>
                <w:rFonts w:cs="Arial"/>
                <w:sz w:val="20"/>
              </w:rPr>
              <w:t xml:space="preserve">Multiple “drop-in” labs were timetabled conflict-free for Biology, Chemistry and Mathematics to allow students to meet with faculty outside of regular class time.  </w:t>
            </w:r>
          </w:p>
          <w:p w:rsidR="003C46D6" w:rsidRDefault="003C46D6" w:rsidP="00820F78">
            <w:pPr>
              <w:jc w:val="both"/>
              <w:rPr>
                <w:rFonts w:cs="Arial"/>
                <w:sz w:val="20"/>
              </w:rPr>
            </w:pPr>
          </w:p>
          <w:p w:rsidR="003C46D6" w:rsidRPr="003C46D6" w:rsidRDefault="003C46D6" w:rsidP="00820F78">
            <w:pPr>
              <w:jc w:val="both"/>
              <w:rPr>
                <w:rFonts w:cs="Arial"/>
                <w:b/>
                <w:sz w:val="20"/>
              </w:rPr>
            </w:pPr>
            <w:r>
              <w:rPr>
                <w:rFonts w:cs="Arial"/>
                <w:sz w:val="20"/>
              </w:rPr>
              <w:t>GNED10 (</w:t>
            </w:r>
            <w:r w:rsidRPr="003C46D6">
              <w:rPr>
                <w:rFonts w:cs="Arial"/>
                <w:sz w:val="20"/>
              </w:rPr>
              <w:t>Critical Thinking Skills</w:t>
            </w:r>
            <w:r>
              <w:rPr>
                <w:rFonts w:cs="Arial"/>
                <w:sz w:val="20"/>
              </w:rPr>
              <w:t>)</w:t>
            </w:r>
            <w:r w:rsidRPr="003C46D6">
              <w:rPr>
                <w:rFonts w:cs="Arial"/>
                <w:sz w:val="20"/>
              </w:rPr>
              <w:t xml:space="preserve"> and </w:t>
            </w:r>
            <w:r>
              <w:rPr>
                <w:rFonts w:cs="Arial"/>
                <w:sz w:val="20"/>
              </w:rPr>
              <w:t>GNED25 (Self Directed L</w:t>
            </w:r>
            <w:r w:rsidRPr="003C46D6">
              <w:rPr>
                <w:rFonts w:cs="Arial"/>
                <w:sz w:val="20"/>
              </w:rPr>
              <w:t>earning</w:t>
            </w:r>
            <w:r>
              <w:rPr>
                <w:rFonts w:cs="Arial"/>
                <w:sz w:val="20"/>
              </w:rPr>
              <w:t>) were removed from the program of study as of Fall 2012.  T</w:t>
            </w:r>
            <w:r w:rsidRPr="003C46D6">
              <w:rPr>
                <w:rFonts w:cs="Arial"/>
                <w:sz w:val="20"/>
              </w:rPr>
              <w:t xml:space="preserve">he skills </w:t>
            </w:r>
            <w:r>
              <w:rPr>
                <w:rFonts w:cs="Arial"/>
                <w:sz w:val="20"/>
              </w:rPr>
              <w:t xml:space="preserve">that were taught in those 2 courses </w:t>
            </w:r>
            <w:r w:rsidRPr="003C46D6">
              <w:rPr>
                <w:rFonts w:cs="Arial"/>
                <w:sz w:val="20"/>
              </w:rPr>
              <w:t xml:space="preserve">are </w:t>
            </w:r>
            <w:r>
              <w:rPr>
                <w:rFonts w:cs="Arial"/>
                <w:sz w:val="20"/>
              </w:rPr>
              <w:t xml:space="preserve">now </w:t>
            </w:r>
            <w:r w:rsidR="00807113">
              <w:rPr>
                <w:rFonts w:cs="Arial"/>
                <w:sz w:val="20"/>
              </w:rPr>
              <w:t xml:space="preserve">embedded components within </w:t>
            </w:r>
            <w:r w:rsidRPr="003C46D6">
              <w:rPr>
                <w:rFonts w:cs="Arial"/>
                <w:sz w:val="20"/>
              </w:rPr>
              <w:t>all core courses</w:t>
            </w:r>
            <w:r>
              <w:rPr>
                <w:rFonts w:cs="Arial"/>
                <w:sz w:val="20"/>
              </w:rPr>
              <w:t xml:space="preserve"> in the new curriculum.  A</w:t>
            </w:r>
            <w:r w:rsidRPr="003C46D6">
              <w:rPr>
                <w:rFonts w:cs="Arial"/>
                <w:sz w:val="20"/>
              </w:rPr>
              <w:t xml:space="preserve">s reported in focus groups and course evaluations, </w:t>
            </w:r>
            <w:r>
              <w:rPr>
                <w:rFonts w:cs="Arial"/>
                <w:sz w:val="20"/>
              </w:rPr>
              <w:t>GNED10 and GNED25 had</w:t>
            </w:r>
            <w:r w:rsidRPr="003C46D6">
              <w:rPr>
                <w:rFonts w:cs="Arial"/>
                <w:sz w:val="20"/>
              </w:rPr>
              <w:t xml:space="preserve"> poor student engagement</w:t>
            </w:r>
            <w:r>
              <w:rPr>
                <w:rFonts w:cs="Arial"/>
                <w:sz w:val="20"/>
              </w:rPr>
              <w:t xml:space="preserve"> and students did not see the relevance of these courses</w:t>
            </w:r>
            <w:r w:rsidRPr="003C46D6">
              <w:rPr>
                <w:rFonts w:cs="Arial"/>
                <w:b/>
                <w:sz w:val="20"/>
              </w:rPr>
              <w:t xml:space="preserve">.  </w:t>
            </w:r>
          </w:p>
          <w:p w:rsidR="003C46D6" w:rsidRPr="002D38D3" w:rsidRDefault="003C46D6" w:rsidP="00820F78">
            <w:pPr>
              <w:jc w:val="both"/>
              <w:rPr>
                <w:rFonts w:cs="Arial"/>
                <w:sz w:val="20"/>
              </w:rPr>
            </w:pPr>
          </w:p>
          <w:p w:rsidR="00CF48C7" w:rsidRPr="002D38D3" w:rsidRDefault="00CF48C7" w:rsidP="00820F78">
            <w:pPr>
              <w:pStyle w:val="Title"/>
              <w:tabs>
                <w:tab w:val="left" w:pos="432"/>
                <w:tab w:val="left" w:pos="972"/>
              </w:tabs>
              <w:jc w:val="both"/>
              <w:rPr>
                <w:rFonts w:ascii="Arial" w:hAnsi="Arial" w:cs="Arial"/>
                <w:sz w:val="20"/>
              </w:rPr>
            </w:pPr>
            <w:r w:rsidRPr="002D38D3">
              <w:rPr>
                <w:rFonts w:ascii="Arial" w:hAnsi="Arial" w:cs="Arial"/>
                <w:sz w:val="20"/>
              </w:rPr>
              <w:t>Other changes from the curriculum review include:</w:t>
            </w:r>
          </w:p>
          <w:p w:rsidR="00CF48C7" w:rsidRPr="002D38D3" w:rsidRDefault="00CF48C7" w:rsidP="00820F78">
            <w:pPr>
              <w:pStyle w:val="Title"/>
              <w:tabs>
                <w:tab w:val="left" w:pos="432"/>
                <w:tab w:val="left" w:pos="972"/>
              </w:tabs>
              <w:ind w:left="792"/>
              <w:jc w:val="both"/>
              <w:rPr>
                <w:rFonts w:ascii="Arial" w:hAnsi="Arial" w:cs="Arial"/>
                <w:i/>
                <w:sz w:val="20"/>
              </w:rPr>
            </w:pPr>
          </w:p>
          <w:p w:rsidR="00CF48C7" w:rsidRPr="00807113" w:rsidRDefault="00CF48C7" w:rsidP="00820F78">
            <w:pPr>
              <w:pStyle w:val="Title"/>
              <w:numPr>
                <w:ilvl w:val="0"/>
                <w:numId w:val="32"/>
              </w:numPr>
              <w:tabs>
                <w:tab w:val="left" w:pos="432"/>
                <w:tab w:val="left" w:pos="972"/>
              </w:tabs>
              <w:jc w:val="both"/>
              <w:rPr>
                <w:rFonts w:ascii="Arial" w:hAnsi="Arial" w:cs="Arial"/>
                <w:sz w:val="20"/>
              </w:rPr>
            </w:pPr>
            <w:r w:rsidRPr="002D38D3">
              <w:rPr>
                <w:rFonts w:ascii="Arial" w:hAnsi="Arial" w:cs="Arial"/>
                <w:sz w:val="20"/>
              </w:rPr>
              <w:t xml:space="preserve">A more intensive orientation </w:t>
            </w:r>
            <w:r w:rsidR="00762862" w:rsidRPr="002D38D3">
              <w:rPr>
                <w:rFonts w:ascii="Arial" w:hAnsi="Arial" w:cs="Arial"/>
                <w:sz w:val="20"/>
              </w:rPr>
              <w:t xml:space="preserve">package </w:t>
            </w:r>
            <w:r w:rsidRPr="002D38D3">
              <w:rPr>
                <w:rFonts w:ascii="Arial" w:hAnsi="Arial" w:cs="Arial"/>
                <w:sz w:val="20"/>
              </w:rPr>
              <w:t xml:space="preserve">and introduction to the program </w:t>
            </w:r>
            <w:r w:rsidR="00762862" w:rsidRPr="002D38D3">
              <w:rPr>
                <w:rFonts w:ascii="Arial" w:hAnsi="Arial" w:cs="Arial"/>
                <w:sz w:val="20"/>
              </w:rPr>
              <w:t xml:space="preserve">is provided to students </w:t>
            </w:r>
            <w:r w:rsidRPr="002D38D3">
              <w:rPr>
                <w:rFonts w:ascii="Arial" w:hAnsi="Arial" w:cs="Arial"/>
                <w:sz w:val="20"/>
              </w:rPr>
              <w:t>during week 1.  This orientation includes comprehensiv</w:t>
            </w:r>
            <w:r w:rsidR="00807113">
              <w:rPr>
                <w:rFonts w:ascii="Arial" w:hAnsi="Arial" w:cs="Arial"/>
                <w:sz w:val="20"/>
              </w:rPr>
              <w:t>e printed materials, faculty-le</w:t>
            </w:r>
            <w:r w:rsidRPr="002D38D3">
              <w:rPr>
                <w:rFonts w:ascii="Arial" w:hAnsi="Arial" w:cs="Arial"/>
                <w:sz w:val="20"/>
              </w:rPr>
              <w:t>d program introduction, a college scavenger hunt and video clips from GHS graduates discussing tips for success.</w:t>
            </w:r>
          </w:p>
          <w:p w:rsidR="00CF48C7" w:rsidRPr="002D38D3" w:rsidRDefault="00CF48C7" w:rsidP="00820F78">
            <w:pPr>
              <w:pStyle w:val="Title"/>
              <w:tabs>
                <w:tab w:val="left" w:pos="432"/>
                <w:tab w:val="left" w:pos="972"/>
              </w:tabs>
              <w:jc w:val="both"/>
              <w:rPr>
                <w:rFonts w:ascii="Arial" w:hAnsi="Arial" w:cs="Arial"/>
                <w:i/>
                <w:sz w:val="20"/>
              </w:rPr>
            </w:pPr>
          </w:p>
          <w:p w:rsidR="00CF48C7" w:rsidRPr="002D38D3" w:rsidRDefault="00CF48C7" w:rsidP="00820F78">
            <w:pPr>
              <w:pStyle w:val="Title"/>
              <w:numPr>
                <w:ilvl w:val="0"/>
                <w:numId w:val="32"/>
              </w:numPr>
              <w:tabs>
                <w:tab w:val="left" w:pos="432"/>
                <w:tab w:val="left" w:pos="972"/>
              </w:tabs>
              <w:jc w:val="both"/>
              <w:rPr>
                <w:rFonts w:ascii="Arial" w:hAnsi="Arial" w:cs="Arial"/>
                <w:sz w:val="20"/>
              </w:rPr>
            </w:pPr>
            <w:r w:rsidRPr="002D38D3">
              <w:rPr>
                <w:rFonts w:ascii="Arial" w:hAnsi="Arial" w:cs="Arial"/>
                <w:sz w:val="20"/>
              </w:rPr>
              <w:t xml:space="preserve">A GHS program bulletin board was assembled with program information, faculty contacts and important dates.  </w:t>
            </w:r>
          </w:p>
          <w:p w:rsidR="00CF48C7" w:rsidRPr="002D38D3" w:rsidRDefault="00CF48C7" w:rsidP="00820F78">
            <w:pPr>
              <w:pStyle w:val="Title"/>
              <w:tabs>
                <w:tab w:val="left" w:pos="432"/>
                <w:tab w:val="left" w:pos="972"/>
              </w:tabs>
              <w:jc w:val="both"/>
              <w:rPr>
                <w:rFonts w:ascii="Arial" w:hAnsi="Arial" w:cs="Arial"/>
                <w:i/>
                <w:sz w:val="20"/>
              </w:rPr>
            </w:pPr>
          </w:p>
          <w:p w:rsidR="00CF48C7" w:rsidRPr="002D38D3" w:rsidRDefault="00CF48C7" w:rsidP="00820F78">
            <w:pPr>
              <w:pStyle w:val="Title"/>
              <w:numPr>
                <w:ilvl w:val="0"/>
                <w:numId w:val="32"/>
              </w:numPr>
              <w:tabs>
                <w:tab w:val="left" w:pos="432"/>
                <w:tab w:val="left" w:pos="972"/>
              </w:tabs>
              <w:jc w:val="both"/>
              <w:rPr>
                <w:rFonts w:ascii="Arial" w:hAnsi="Arial" w:cs="Arial"/>
                <w:sz w:val="20"/>
              </w:rPr>
            </w:pPr>
            <w:r w:rsidRPr="002D38D3">
              <w:rPr>
                <w:rFonts w:ascii="Arial" w:hAnsi="Arial" w:cs="Arial"/>
                <w:sz w:val="20"/>
              </w:rPr>
              <w:t xml:space="preserve">Students </w:t>
            </w:r>
            <w:r w:rsidR="00762862" w:rsidRPr="002D38D3">
              <w:rPr>
                <w:rFonts w:ascii="Arial" w:hAnsi="Arial" w:cs="Arial"/>
                <w:sz w:val="20"/>
              </w:rPr>
              <w:t>a</w:t>
            </w:r>
            <w:r w:rsidRPr="002D38D3">
              <w:rPr>
                <w:rFonts w:ascii="Arial" w:hAnsi="Arial" w:cs="Arial"/>
                <w:sz w:val="20"/>
              </w:rPr>
              <w:t>re p</w:t>
            </w:r>
            <w:r w:rsidR="00807113">
              <w:rPr>
                <w:rFonts w:ascii="Arial" w:hAnsi="Arial" w:cs="Arial"/>
                <w:sz w:val="20"/>
              </w:rPr>
              <w:t>rovided with progress reports in</w:t>
            </w:r>
            <w:r w:rsidRPr="002D38D3">
              <w:rPr>
                <w:rFonts w:ascii="Arial" w:hAnsi="Arial" w:cs="Arial"/>
                <w:sz w:val="20"/>
              </w:rPr>
              <w:t xml:space="preserve"> Week 4 and Week 9 of their first semester.  This initiative is in alignment with the Student Success and Retention pilot program within GAS.</w:t>
            </w:r>
          </w:p>
          <w:p w:rsidR="00674443" w:rsidRPr="002D38D3" w:rsidRDefault="00674443" w:rsidP="00820F78">
            <w:pPr>
              <w:pStyle w:val="ListParagraph"/>
              <w:jc w:val="both"/>
              <w:rPr>
                <w:rFonts w:cs="Arial"/>
                <w:sz w:val="20"/>
              </w:rPr>
            </w:pPr>
          </w:p>
          <w:p w:rsidR="00674443" w:rsidRPr="002D38D3" w:rsidRDefault="00674443" w:rsidP="00820F78">
            <w:pPr>
              <w:pStyle w:val="Title"/>
              <w:tabs>
                <w:tab w:val="left" w:pos="432"/>
                <w:tab w:val="left" w:pos="972"/>
              </w:tabs>
              <w:jc w:val="both"/>
              <w:rPr>
                <w:rFonts w:ascii="Arial" w:hAnsi="Arial" w:cs="Arial"/>
                <w:sz w:val="20"/>
              </w:rPr>
            </w:pPr>
            <w:r w:rsidRPr="002D38D3">
              <w:rPr>
                <w:rFonts w:ascii="Arial" w:hAnsi="Arial" w:cs="Arial"/>
                <w:sz w:val="20"/>
              </w:rPr>
              <w:t xml:space="preserve">The success of these recent changes will need to be evaluated in April </w:t>
            </w:r>
            <w:r w:rsidR="00244F6F" w:rsidRPr="002D38D3">
              <w:rPr>
                <w:rFonts w:ascii="Arial" w:hAnsi="Arial" w:cs="Arial"/>
                <w:sz w:val="20"/>
              </w:rPr>
              <w:t>2013,</w:t>
            </w:r>
            <w:r w:rsidRPr="002D38D3">
              <w:rPr>
                <w:rFonts w:ascii="Arial" w:hAnsi="Arial" w:cs="Arial"/>
                <w:sz w:val="20"/>
              </w:rPr>
              <w:t xml:space="preserve"> as it is the first year through the re-design of the program.</w:t>
            </w:r>
          </w:p>
          <w:p w:rsidR="00807113" w:rsidRDefault="00807113" w:rsidP="00820F78">
            <w:pPr>
              <w:pStyle w:val="Title"/>
              <w:tabs>
                <w:tab w:val="left" w:pos="432"/>
                <w:tab w:val="left" w:pos="972"/>
              </w:tabs>
              <w:jc w:val="both"/>
              <w:rPr>
                <w:rFonts w:ascii="Arial" w:hAnsi="Arial" w:cs="Arial"/>
                <w:sz w:val="20"/>
              </w:rPr>
            </w:pPr>
          </w:p>
          <w:p w:rsidR="00674443" w:rsidRPr="00D94683" w:rsidRDefault="00807113" w:rsidP="00820F78">
            <w:pPr>
              <w:pStyle w:val="Title"/>
              <w:tabs>
                <w:tab w:val="left" w:pos="432"/>
                <w:tab w:val="left" w:pos="972"/>
              </w:tabs>
              <w:jc w:val="both"/>
              <w:rPr>
                <w:rFonts w:cs="Arial"/>
                <w:szCs w:val="22"/>
              </w:rPr>
            </w:pPr>
            <w:r w:rsidRPr="00D94683">
              <w:rPr>
                <w:rFonts w:ascii="Arial" w:hAnsi="Arial" w:cs="Arial"/>
                <w:sz w:val="20"/>
              </w:rPr>
              <w:t xml:space="preserve">See the Program Review Action Plan for specific recommendations. </w:t>
            </w:r>
          </w:p>
        </w:tc>
      </w:tr>
      <w:tr w:rsidR="00EA4DDF" w:rsidRPr="00356C80" w:rsidTr="00DC2B7E">
        <w:tblPrEx>
          <w:shd w:val="clear" w:color="auto" w:fill="auto"/>
          <w:tblCellMar>
            <w:top w:w="0" w:type="dxa"/>
            <w:left w:w="108" w:type="dxa"/>
            <w:bottom w:w="0" w:type="dxa"/>
            <w:right w:w="108" w:type="dxa"/>
          </w:tblCellMar>
          <w:tblLook w:val="01E0" w:firstRow="1" w:lastRow="1" w:firstColumn="1" w:lastColumn="1" w:noHBand="0" w:noVBand="0"/>
        </w:tblPrEx>
        <w:trPr>
          <w:trHeight w:val="529"/>
        </w:trPr>
        <w:tc>
          <w:tcPr>
            <w:tcW w:w="6663"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2.3 Curriculum Sequencing and Alignment with Standards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sz w:val="20"/>
              </w:rPr>
            </w:pPr>
            <w:r w:rsidRPr="00356C80">
              <w:rPr>
                <w:rFonts w:cs="Arial"/>
                <w:b/>
                <w:sz w:val="20"/>
              </w:rPr>
              <w:t>Review / discuss:</w:t>
            </w:r>
          </w:p>
          <w:p w:rsidR="00EA4DDF" w:rsidRPr="00D07044" w:rsidRDefault="00EA4DDF" w:rsidP="00EA4DDF">
            <w:pPr>
              <w:numPr>
                <w:ilvl w:val="0"/>
                <w:numId w:val="9"/>
              </w:numPr>
              <w:tabs>
                <w:tab w:val="clear" w:pos="720"/>
                <w:tab w:val="num" w:pos="360"/>
              </w:tabs>
              <w:ind w:left="360"/>
              <w:rPr>
                <w:rFonts w:cs="Arial"/>
                <w:b/>
                <w:bCs/>
                <w:sz w:val="20"/>
              </w:rPr>
            </w:pPr>
            <w:r w:rsidRPr="00356C80">
              <w:rPr>
                <w:rFonts w:cs="Arial"/>
                <w:sz w:val="20"/>
              </w:rPr>
              <w:t xml:space="preserve">The Ontario College Credentials Framework and the extent to which the program aligns with the provincial standards. </w:t>
            </w:r>
          </w:p>
          <w:p w:rsidR="00D07044" w:rsidRPr="00356C80" w:rsidRDefault="00D07044" w:rsidP="00D07044">
            <w:pPr>
              <w:ind w:left="360"/>
              <w:rPr>
                <w:rFonts w:cs="Arial"/>
                <w:b/>
                <w:bCs/>
                <w:sz w:val="20"/>
              </w:rPr>
            </w:pPr>
          </w:p>
          <w:p w:rsidR="00EA4DDF" w:rsidRPr="00D07044" w:rsidRDefault="00EA4DDF" w:rsidP="00EA4DDF">
            <w:pPr>
              <w:numPr>
                <w:ilvl w:val="0"/>
                <w:numId w:val="9"/>
              </w:numPr>
              <w:tabs>
                <w:tab w:val="clear" w:pos="720"/>
                <w:tab w:val="num" w:pos="360"/>
              </w:tabs>
              <w:ind w:left="360"/>
              <w:rPr>
                <w:rFonts w:cs="Arial"/>
                <w:b/>
                <w:bCs/>
                <w:sz w:val="20"/>
              </w:rPr>
            </w:pPr>
            <w:r w:rsidRPr="00356C80">
              <w:rPr>
                <w:rFonts w:cs="Arial"/>
                <w:sz w:val="20"/>
              </w:rPr>
              <w:t>The program’s current admission requirements and their suitability in relation to program rigour and student preparedness</w:t>
            </w:r>
          </w:p>
          <w:p w:rsidR="00D07044" w:rsidRDefault="00D07044" w:rsidP="00D07044">
            <w:pPr>
              <w:pStyle w:val="ListParagraph"/>
              <w:rPr>
                <w:rFonts w:cs="Arial"/>
                <w:b/>
                <w:bCs/>
                <w:sz w:val="20"/>
              </w:rPr>
            </w:pPr>
          </w:p>
          <w:p w:rsidR="006F46E4" w:rsidRDefault="006F46E4" w:rsidP="00D07044">
            <w:pPr>
              <w:pStyle w:val="ListParagraph"/>
              <w:rPr>
                <w:rFonts w:cs="Arial"/>
                <w:b/>
                <w:bCs/>
                <w:sz w:val="20"/>
              </w:rPr>
            </w:pPr>
          </w:p>
          <w:p w:rsidR="00EB4375" w:rsidRPr="00356C80" w:rsidRDefault="00EA4DDF" w:rsidP="006F46E4">
            <w:pPr>
              <w:pStyle w:val="Title"/>
              <w:numPr>
                <w:ilvl w:val="0"/>
                <w:numId w:val="8"/>
              </w:numPr>
              <w:tabs>
                <w:tab w:val="clear" w:pos="720"/>
                <w:tab w:val="num" w:pos="360"/>
              </w:tabs>
              <w:ind w:left="360"/>
              <w:jc w:val="left"/>
              <w:rPr>
                <w:rFonts w:ascii="Arial" w:hAnsi="Arial" w:cs="Arial"/>
                <w:b/>
                <w:sz w:val="20"/>
              </w:rPr>
            </w:pPr>
            <w:r w:rsidRPr="006F46E4">
              <w:rPr>
                <w:rFonts w:ascii="Arial" w:hAnsi="Arial" w:cs="Arial"/>
                <w:sz w:val="20"/>
              </w:rPr>
              <w:t>The extent to which course content, levels of learning, and assessment methodology are successfully sequenced and aligned between courses and across semesters</w:t>
            </w:r>
          </w:p>
        </w:tc>
        <w:tc>
          <w:tcPr>
            <w:tcW w:w="6439" w:type="dxa"/>
            <w:gridSpan w:val="3"/>
            <w:tcMar>
              <w:top w:w="113" w:type="dxa"/>
              <w:bottom w:w="113" w:type="dxa"/>
            </w:tcMar>
          </w:tcPr>
          <w:p w:rsidR="009B6C56" w:rsidRPr="001E45AF" w:rsidRDefault="009B6C56" w:rsidP="009B6C56">
            <w:pPr>
              <w:rPr>
                <w:rFonts w:cs="Arial"/>
                <w:b/>
                <w:sz w:val="20"/>
              </w:rPr>
            </w:pPr>
            <w:r w:rsidRPr="001E45AF">
              <w:rPr>
                <w:rFonts w:cs="Arial"/>
                <w:b/>
                <w:sz w:val="20"/>
              </w:rPr>
              <w:t>Ontario College Credentials Framework</w:t>
            </w:r>
          </w:p>
          <w:p w:rsidR="009B6C56" w:rsidRPr="001E45AF" w:rsidRDefault="009B6C56" w:rsidP="009B6C56">
            <w:pPr>
              <w:rPr>
                <w:rFonts w:cs="Arial"/>
                <w:sz w:val="20"/>
              </w:rPr>
            </w:pPr>
          </w:p>
          <w:p w:rsidR="009B6C56" w:rsidRPr="001E45AF" w:rsidRDefault="009B6C56" w:rsidP="00820F78">
            <w:pPr>
              <w:jc w:val="both"/>
              <w:rPr>
                <w:rFonts w:cs="Arial"/>
                <w:sz w:val="20"/>
              </w:rPr>
            </w:pPr>
            <w:r w:rsidRPr="001E45AF">
              <w:rPr>
                <w:rFonts w:cs="Arial"/>
                <w:sz w:val="20"/>
              </w:rPr>
              <w:t>There are no MTCU Program Standards for the College Health Science Option. They are currently (2012) under review at the provincial level.</w:t>
            </w:r>
          </w:p>
          <w:p w:rsidR="009B6C56" w:rsidRPr="001E45AF" w:rsidRDefault="009B6C56" w:rsidP="009B6C56">
            <w:pPr>
              <w:rPr>
                <w:rFonts w:cs="Arial"/>
                <w:sz w:val="20"/>
              </w:rPr>
            </w:pPr>
          </w:p>
          <w:p w:rsidR="009B6C56" w:rsidRPr="001E45AF" w:rsidRDefault="009B6C56" w:rsidP="009B6C56">
            <w:pPr>
              <w:rPr>
                <w:rFonts w:cs="Arial"/>
                <w:b/>
                <w:sz w:val="20"/>
              </w:rPr>
            </w:pPr>
            <w:r w:rsidRPr="001E45AF">
              <w:rPr>
                <w:rFonts w:cs="Arial"/>
                <w:b/>
                <w:sz w:val="20"/>
              </w:rPr>
              <w:t>Admission Requirements</w:t>
            </w:r>
          </w:p>
          <w:p w:rsidR="009B6C56" w:rsidRPr="001E45AF" w:rsidRDefault="009B6C56" w:rsidP="009B6C56">
            <w:pPr>
              <w:rPr>
                <w:rFonts w:cs="Arial"/>
                <w:sz w:val="20"/>
              </w:rPr>
            </w:pPr>
          </w:p>
          <w:p w:rsidR="009B6C56" w:rsidRPr="001E45AF" w:rsidRDefault="00820F78" w:rsidP="00820F78">
            <w:pPr>
              <w:jc w:val="both"/>
              <w:rPr>
                <w:rFonts w:cs="Arial"/>
                <w:sz w:val="20"/>
              </w:rPr>
            </w:pPr>
            <w:r>
              <w:rPr>
                <w:rFonts w:cs="Arial"/>
                <w:sz w:val="20"/>
              </w:rPr>
              <w:t xml:space="preserve">Students require an </w:t>
            </w:r>
            <w:r w:rsidR="009B6C56" w:rsidRPr="001E45AF">
              <w:rPr>
                <w:rFonts w:cs="Arial"/>
                <w:sz w:val="20"/>
              </w:rPr>
              <w:t xml:space="preserve">OSSD with the majority of credits at the College (C) and Open (O) level, including 2 College (C) English courses (Grade 11 and Grade 12) and 1 College (C) Grade 11 or Grade 12 science course (Chemistry, Physics or Biology). When (C) is the minimum course level for admission, (U) or (U/C) courses are also accepted. </w:t>
            </w:r>
          </w:p>
          <w:p w:rsidR="009B6C56" w:rsidRPr="001E45AF" w:rsidRDefault="009B6C56" w:rsidP="00820F78">
            <w:pPr>
              <w:jc w:val="both"/>
              <w:rPr>
                <w:rFonts w:cs="Arial"/>
                <w:sz w:val="20"/>
              </w:rPr>
            </w:pPr>
          </w:p>
          <w:p w:rsidR="009B6C56" w:rsidRPr="001E45AF" w:rsidRDefault="009B6C56" w:rsidP="00820F78">
            <w:pPr>
              <w:jc w:val="both"/>
              <w:rPr>
                <w:rFonts w:cs="Arial"/>
                <w:sz w:val="20"/>
              </w:rPr>
            </w:pPr>
            <w:r w:rsidRPr="001E45AF">
              <w:rPr>
                <w:rFonts w:cs="Arial"/>
                <w:sz w:val="20"/>
              </w:rPr>
              <w:lastRenderedPageBreak/>
              <w:t>Mature students, who are 19 years of age before classes start and who do not possess an OSSD, can write the Canadian Adult Achievement Test to assess eligibility for admission. Additional testing or academic upgrading is made available to meet specific course requirements for this program, and all applicants are required to achieve course credit in any mandatory sciences, through Secondary School or through Academic Upgrading programs.</w:t>
            </w:r>
          </w:p>
          <w:p w:rsidR="009B6C56" w:rsidRPr="001E45AF" w:rsidRDefault="009B6C56" w:rsidP="00820F78">
            <w:pPr>
              <w:jc w:val="both"/>
              <w:rPr>
                <w:rFonts w:cs="Arial"/>
                <w:sz w:val="20"/>
              </w:rPr>
            </w:pPr>
          </w:p>
          <w:p w:rsidR="009B6C56" w:rsidRPr="001E45AF" w:rsidRDefault="009B6C56" w:rsidP="00820F78">
            <w:pPr>
              <w:jc w:val="both"/>
              <w:rPr>
                <w:rFonts w:cs="Arial"/>
                <w:sz w:val="20"/>
              </w:rPr>
            </w:pPr>
            <w:r w:rsidRPr="001E45AF">
              <w:rPr>
                <w:rFonts w:cs="Arial"/>
                <w:sz w:val="20"/>
              </w:rPr>
              <w:t>The current minimum admission requirements assume that some students will choose the College Health Science Option to acquire the necessary background knowledge and improve their general academic skills, and thus enhance their qualifications as they seek a pathway to college-level programs in health care or forensic biotechnology.</w:t>
            </w:r>
          </w:p>
          <w:p w:rsidR="009B6C56" w:rsidRDefault="009B6C56" w:rsidP="009B6C56">
            <w:pPr>
              <w:rPr>
                <w:rFonts w:cs="Arial"/>
                <w:b/>
                <w:sz w:val="20"/>
              </w:rPr>
            </w:pPr>
          </w:p>
          <w:p w:rsidR="009B6C56" w:rsidRPr="001E45AF" w:rsidRDefault="009B6C56" w:rsidP="009B6C56">
            <w:pPr>
              <w:rPr>
                <w:rFonts w:cs="Arial"/>
                <w:sz w:val="20"/>
              </w:rPr>
            </w:pPr>
            <w:r w:rsidRPr="001E45AF">
              <w:rPr>
                <w:rFonts w:cs="Arial"/>
                <w:b/>
                <w:sz w:val="20"/>
              </w:rPr>
              <w:t>Course Content, Levels, and Assessment Methodology</w:t>
            </w:r>
          </w:p>
          <w:p w:rsidR="009B6C56" w:rsidRPr="001E45AF" w:rsidRDefault="009B6C56" w:rsidP="009B6C56">
            <w:pPr>
              <w:rPr>
                <w:rFonts w:cs="Arial"/>
                <w:sz w:val="20"/>
              </w:rPr>
            </w:pPr>
          </w:p>
          <w:p w:rsidR="009B6C56" w:rsidRPr="001E45AF" w:rsidRDefault="009B6C56" w:rsidP="00820F78">
            <w:pPr>
              <w:jc w:val="both"/>
              <w:rPr>
                <w:rFonts w:cs="Arial"/>
                <w:sz w:val="20"/>
              </w:rPr>
            </w:pPr>
            <w:r w:rsidRPr="001E45AF">
              <w:rPr>
                <w:rFonts w:cs="Arial"/>
                <w:sz w:val="20"/>
              </w:rPr>
              <w:t xml:space="preserve">The current curriculum redesign more carefully aligns the core subjects in the program. The Math, Biology, Chemistry, and Communications courses are laddered over two semesters, so students begin with more basic college-level skills and content and then progress to a more advanced level in all subjects in the second semester of the program. There is also a strong tie between the first semester Professional Issues in Health Science and the second semester course, Integrating Theory and Practice. Moreover, the curriculum has been redesigned to integrate weekly themes across Biology, Math, Chemistry, and Professional Issues in Health Science. </w:t>
            </w:r>
          </w:p>
          <w:p w:rsidR="009B6C56" w:rsidRPr="001E45AF" w:rsidRDefault="009B6C56" w:rsidP="00820F78">
            <w:pPr>
              <w:jc w:val="both"/>
              <w:rPr>
                <w:rFonts w:cs="Arial"/>
                <w:sz w:val="20"/>
              </w:rPr>
            </w:pPr>
          </w:p>
          <w:p w:rsidR="00EA4DDF" w:rsidRPr="00356C80" w:rsidRDefault="009B6C56" w:rsidP="00820F78">
            <w:pPr>
              <w:jc w:val="both"/>
              <w:rPr>
                <w:rFonts w:cs="Arial"/>
                <w:sz w:val="20"/>
              </w:rPr>
            </w:pPr>
            <w:r w:rsidRPr="001E45AF">
              <w:rPr>
                <w:rFonts w:cs="Arial"/>
                <w:sz w:val="20"/>
              </w:rPr>
              <w:t>The assessment methodology is widely varied across the disciplines and courses but appeals to a wide variety of learning styles and utilizes a variety of evaluation methods, such as quizzes, tests, essays, case studies, lab reports, presentations, and portfolios.</w:t>
            </w:r>
          </w:p>
        </w:tc>
      </w:tr>
      <w:tr w:rsidR="00EA4DDF" w:rsidRPr="002D4BAE"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2D4BAE" w:rsidRDefault="00EA4DDF" w:rsidP="00AB5A30">
            <w:pPr>
              <w:pStyle w:val="Title"/>
              <w:jc w:val="left"/>
              <w:rPr>
                <w:rFonts w:ascii="Arial" w:hAnsi="Arial" w:cs="Arial"/>
                <w:b/>
                <w:sz w:val="20"/>
              </w:rPr>
            </w:pPr>
            <w:r>
              <w:rPr>
                <w:rFonts w:ascii="Arial" w:hAnsi="Arial" w:cs="Arial"/>
                <w:b/>
                <w:sz w:val="20"/>
              </w:rPr>
              <w:lastRenderedPageBreak/>
              <w:t>2.4</w:t>
            </w:r>
            <w:r w:rsidRPr="002D4BAE">
              <w:rPr>
                <w:rFonts w:ascii="Arial" w:hAnsi="Arial" w:cs="Arial"/>
                <w:b/>
                <w:sz w:val="20"/>
              </w:rPr>
              <w:t xml:space="preserve"> </w:t>
            </w:r>
            <w:r w:rsidR="00360EEA">
              <w:rPr>
                <w:rFonts w:ascii="Arial" w:hAnsi="Arial" w:cs="Arial"/>
                <w:b/>
                <w:sz w:val="20"/>
              </w:rPr>
              <w:t xml:space="preserve">a) </w:t>
            </w:r>
            <w:r w:rsidRPr="002D4BAE">
              <w:rPr>
                <w:rFonts w:ascii="Arial" w:hAnsi="Arial" w:cs="Arial"/>
                <w:b/>
                <w:sz w:val="20"/>
              </w:rPr>
              <w:t>Curriculum Map</w:t>
            </w:r>
          </w:p>
          <w:p w:rsidR="00EA4DDF" w:rsidRPr="002D4BAE" w:rsidRDefault="00EA4DDF" w:rsidP="00AB5A30">
            <w:pPr>
              <w:pStyle w:val="Title"/>
              <w:jc w:val="left"/>
              <w:rPr>
                <w:rFonts w:ascii="Arial" w:hAnsi="Arial" w:cs="Arial"/>
                <w:b/>
                <w:sz w:val="20"/>
              </w:rPr>
            </w:pPr>
          </w:p>
          <w:p w:rsidR="00EA4DDF" w:rsidRDefault="00EA4DDF" w:rsidP="00EA4DDF">
            <w:pPr>
              <w:pStyle w:val="Title"/>
              <w:numPr>
                <w:ilvl w:val="0"/>
                <w:numId w:val="11"/>
              </w:numPr>
              <w:tabs>
                <w:tab w:val="clear" w:pos="720"/>
                <w:tab w:val="num" w:pos="360"/>
              </w:tabs>
              <w:ind w:left="360"/>
              <w:jc w:val="left"/>
              <w:rPr>
                <w:rFonts w:ascii="Arial" w:hAnsi="Arial" w:cs="Arial"/>
                <w:sz w:val="20"/>
              </w:rPr>
            </w:pPr>
            <w:r w:rsidRPr="002D4BAE">
              <w:rPr>
                <w:rFonts w:ascii="Arial" w:hAnsi="Arial" w:cs="Arial"/>
                <w:sz w:val="20"/>
              </w:rPr>
              <w:t>Review the Program Curriculum Map and discuss the extent to which there is alignment of vocational and course outcomes</w:t>
            </w:r>
          </w:p>
          <w:p w:rsidR="00D07044" w:rsidRPr="002D4BAE" w:rsidRDefault="00D07044" w:rsidP="00D07044">
            <w:pPr>
              <w:pStyle w:val="Title"/>
              <w:ind w:left="360"/>
              <w:jc w:val="left"/>
              <w:rPr>
                <w:rFonts w:ascii="Arial" w:hAnsi="Arial" w:cs="Arial"/>
                <w:sz w:val="20"/>
              </w:rPr>
            </w:pPr>
          </w:p>
          <w:p w:rsidR="005D66C4" w:rsidRDefault="00EA4DDF" w:rsidP="00AB5A30">
            <w:pPr>
              <w:pStyle w:val="Title"/>
              <w:numPr>
                <w:ilvl w:val="0"/>
                <w:numId w:val="11"/>
              </w:numPr>
              <w:tabs>
                <w:tab w:val="clear" w:pos="720"/>
                <w:tab w:val="num" w:pos="360"/>
              </w:tabs>
              <w:ind w:left="360"/>
              <w:jc w:val="left"/>
              <w:rPr>
                <w:rFonts w:ascii="Arial" w:hAnsi="Arial" w:cs="Arial"/>
                <w:sz w:val="20"/>
              </w:rPr>
            </w:pPr>
            <w:r w:rsidRPr="005D66C4">
              <w:rPr>
                <w:rFonts w:ascii="Arial" w:hAnsi="Arial" w:cs="Arial"/>
                <w:sz w:val="20"/>
              </w:rPr>
              <w:t>Review / discuss the distribution and progression of Vocational Learning Outcomes, Essential Employability Skills, and General Education themes across the curriculum.</w:t>
            </w:r>
          </w:p>
          <w:p w:rsidR="00EA4DDF" w:rsidRDefault="00EA4DDF" w:rsidP="002F1CD6">
            <w:pPr>
              <w:tabs>
                <w:tab w:val="left" w:pos="72"/>
              </w:tabs>
              <w:ind w:left="360"/>
              <w:rPr>
                <w:rFonts w:cs="Arial"/>
                <w:b/>
                <w:sz w:val="20"/>
                <w:lang w:val="en-GB"/>
              </w:rPr>
            </w:pPr>
          </w:p>
          <w:p w:rsidR="002F1CD6" w:rsidRPr="002F1CD6" w:rsidRDefault="002F1CD6" w:rsidP="00360EEA">
            <w:pPr>
              <w:tabs>
                <w:tab w:val="left" w:pos="72"/>
              </w:tabs>
              <w:rPr>
                <w:rFonts w:cs="Arial"/>
                <w:b/>
                <w:sz w:val="20"/>
              </w:rPr>
            </w:pPr>
          </w:p>
        </w:tc>
        <w:tc>
          <w:tcPr>
            <w:tcW w:w="6379" w:type="dxa"/>
            <w:gridSpan w:val="2"/>
            <w:tcMar>
              <w:top w:w="113" w:type="dxa"/>
              <w:bottom w:w="113" w:type="dxa"/>
            </w:tcMar>
          </w:tcPr>
          <w:p w:rsidR="009B6C56" w:rsidRPr="001E45AF" w:rsidRDefault="009B6C56" w:rsidP="005D5C77">
            <w:pPr>
              <w:jc w:val="both"/>
              <w:rPr>
                <w:rFonts w:cs="Arial"/>
                <w:sz w:val="20"/>
              </w:rPr>
            </w:pPr>
            <w:r w:rsidRPr="001E45AF">
              <w:rPr>
                <w:rFonts w:cs="Arial"/>
                <w:sz w:val="20"/>
              </w:rPr>
              <w:lastRenderedPageBreak/>
              <w:t xml:space="preserve">In the absence of MTCU Program Standards, the course outcomes are aligned with the following 5 Program Goals: </w:t>
            </w:r>
          </w:p>
          <w:p w:rsidR="009B6C56" w:rsidRPr="001E45AF" w:rsidRDefault="009B6C56" w:rsidP="005D5C77">
            <w:pPr>
              <w:jc w:val="both"/>
              <w:rPr>
                <w:rFonts w:cs="Arial"/>
                <w:sz w:val="20"/>
              </w:rPr>
            </w:pPr>
          </w:p>
          <w:p w:rsidR="009B6C56" w:rsidRPr="001E45AF" w:rsidRDefault="009B6C56" w:rsidP="005D5C77">
            <w:pPr>
              <w:pStyle w:val="ListParagraph"/>
              <w:numPr>
                <w:ilvl w:val="0"/>
                <w:numId w:val="43"/>
              </w:numPr>
              <w:jc w:val="both"/>
              <w:rPr>
                <w:rFonts w:cs="Arial"/>
                <w:sz w:val="20"/>
              </w:rPr>
            </w:pPr>
            <w:r w:rsidRPr="001E45AF">
              <w:rPr>
                <w:rFonts w:cs="Arial"/>
                <w:sz w:val="20"/>
              </w:rPr>
              <w:t xml:space="preserve">Develop, through general knowledge gained in a wide variety </w:t>
            </w:r>
            <w:r w:rsidRPr="001E45AF">
              <w:rPr>
                <w:rFonts w:cs="Arial"/>
                <w:sz w:val="20"/>
              </w:rPr>
              <w:lastRenderedPageBreak/>
              <w:t>of subjects, insight into both self and society</w:t>
            </w:r>
          </w:p>
          <w:p w:rsidR="009B6C56" w:rsidRPr="001E45AF" w:rsidRDefault="009B6C56" w:rsidP="005D5C77">
            <w:pPr>
              <w:pStyle w:val="ListParagraph"/>
              <w:numPr>
                <w:ilvl w:val="0"/>
                <w:numId w:val="43"/>
              </w:numPr>
              <w:jc w:val="both"/>
              <w:rPr>
                <w:rFonts w:cs="Arial"/>
                <w:sz w:val="20"/>
              </w:rPr>
            </w:pPr>
            <w:r w:rsidRPr="001E45AF">
              <w:rPr>
                <w:rFonts w:cs="Arial"/>
                <w:sz w:val="20"/>
              </w:rPr>
              <w:t>Develop flexibility and clarity of both thought and expression in order to develop communications competence to a level required by business and industry</w:t>
            </w:r>
          </w:p>
          <w:p w:rsidR="009B6C56" w:rsidRPr="001E45AF" w:rsidRDefault="009B6C56" w:rsidP="005D5C77">
            <w:pPr>
              <w:pStyle w:val="ListParagraph"/>
              <w:numPr>
                <w:ilvl w:val="0"/>
                <w:numId w:val="43"/>
              </w:numPr>
              <w:jc w:val="both"/>
              <w:rPr>
                <w:rFonts w:cs="Arial"/>
                <w:sz w:val="20"/>
              </w:rPr>
            </w:pPr>
            <w:r w:rsidRPr="001E45AF">
              <w:rPr>
                <w:rFonts w:cs="Arial"/>
                <w:sz w:val="20"/>
              </w:rPr>
              <w:t>Understand and utilize critical thinking processes and problem solving techniques</w:t>
            </w:r>
          </w:p>
          <w:p w:rsidR="009B6C56" w:rsidRPr="001E45AF" w:rsidRDefault="009B6C56" w:rsidP="005D5C77">
            <w:pPr>
              <w:pStyle w:val="ListParagraph"/>
              <w:numPr>
                <w:ilvl w:val="0"/>
                <w:numId w:val="43"/>
              </w:numPr>
              <w:jc w:val="both"/>
              <w:rPr>
                <w:rFonts w:cs="Arial"/>
                <w:sz w:val="20"/>
              </w:rPr>
            </w:pPr>
            <w:r w:rsidRPr="001E45AF">
              <w:rPr>
                <w:rFonts w:cs="Arial"/>
                <w:sz w:val="20"/>
              </w:rPr>
              <w:t>Examine and evaluate various aspects of our changing society to assist in developing a sense of personal and social responsibility as a citizen in society</w:t>
            </w:r>
          </w:p>
          <w:p w:rsidR="009B6C56" w:rsidRPr="001E45AF" w:rsidRDefault="009B6C56" w:rsidP="005D5C77">
            <w:pPr>
              <w:pStyle w:val="ListParagraph"/>
              <w:numPr>
                <w:ilvl w:val="0"/>
                <w:numId w:val="43"/>
              </w:numPr>
              <w:jc w:val="both"/>
              <w:rPr>
                <w:rFonts w:cs="Arial"/>
                <w:sz w:val="20"/>
              </w:rPr>
            </w:pPr>
            <w:r w:rsidRPr="001E45AF">
              <w:rPr>
                <w:rFonts w:cs="Arial"/>
                <w:sz w:val="20"/>
              </w:rPr>
              <w:t>Employ basic vocational skills from the areas of the Humanities, Social and Behavioural Sciences of Vocational Studies (Business, Technology)</w:t>
            </w:r>
          </w:p>
          <w:p w:rsidR="009B6C56" w:rsidRPr="001E45AF" w:rsidRDefault="009B6C56" w:rsidP="005D5C77">
            <w:pPr>
              <w:jc w:val="both"/>
              <w:rPr>
                <w:rFonts w:cs="Arial"/>
                <w:sz w:val="20"/>
              </w:rPr>
            </w:pPr>
          </w:p>
          <w:p w:rsidR="009B6C56" w:rsidRPr="001E45AF" w:rsidRDefault="009B6C56" w:rsidP="005D5C77">
            <w:pPr>
              <w:jc w:val="both"/>
              <w:rPr>
                <w:rFonts w:cs="Arial"/>
                <w:sz w:val="20"/>
              </w:rPr>
            </w:pPr>
            <w:r w:rsidRPr="001E45AF">
              <w:rPr>
                <w:rFonts w:cs="Arial"/>
                <w:sz w:val="20"/>
              </w:rPr>
              <w:t>All students must take one General Education Elective in the second semester, but they are free to choose any available course that explores one or more of the five General Education themes.</w:t>
            </w:r>
          </w:p>
          <w:p w:rsidR="009B6C56" w:rsidRPr="001E45AF" w:rsidRDefault="009B6C56" w:rsidP="005D5C77">
            <w:pPr>
              <w:jc w:val="both"/>
              <w:rPr>
                <w:rFonts w:cs="Arial"/>
                <w:sz w:val="20"/>
              </w:rPr>
            </w:pPr>
            <w:r w:rsidRPr="001E45AF">
              <w:rPr>
                <w:rFonts w:cs="Arial"/>
                <w:sz w:val="20"/>
              </w:rPr>
              <w:t xml:space="preserve">The Essential Employability Skills are equally distributed across the two semesters of the program, and only one of the skills (8: show respect for the diverse opinions, values, belief systems, and contributions of others) is not evaluated as a learning outcome in any of the courses. </w:t>
            </w:r>
          </w:p>
          <w:p w:rsidR="009B6C56" w:rsidRPr="001E45AF" w:rsidRDefault="009B6C56" w:rsidP="005D5C77">
            <w:pPr>
              <w:jc w:val="both"/>
              <w:rPr>
                <w:rFonts w:cs="Arial"/>
                <w:sz w:val="20"/>
              </w:rPr>
            </w:pPr>
          </w:p>
          <w:p w:rsidR="00EA4DDF" w:rsidRPr="002D4BAE" w:rsidRDefault="009B6C56" w:rsidP="005D5C77">
            <w:pPr>
              <w:jc w:val="both"/>
              <w:rPr>
                <w:rFonts w:cs="Arial"/>
                <w:sz w:val="20"/>
              </w:rPr>
            </w:pPr>
            <w:r w:rsidRPr="001E45AF">
              <w:rPr>
                <w:rFonts w:cs="Arial"/>
                <w:sz w:val="20"/>
              </w:rPr>
              <w:t>The essential employability skills are addressed at the appropriate level for an Ontario College Certificate.  Graduates will have achieved the fundamental personal management, teamwork, communications, problem solving and critical thinking skills to enter and progress in a diploma-level college program in health care or forensic sciences.</w:t>
            </w:r>
          </w:p>
        </w:tc>
      </w:tr>
      <w:tr w:rsidR="00360EEA" w:rsidRPr="002D4BAE"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360EEA" w:rsidRDefault="002F1CD6" w:rsidP="00360EEA">
            <w:pPr>
              <w:pStyle w:val="Title"/>
              <w:ind w:left="601" w:hanging="601"/>
              <w:jc w:val="left"/>
              <w:rPr>
                <w:rFonts w:ascii="Arial" w:hAnsi="Arial" w:cs="Arial"/>
                <w:b/>
                <w:sz w:val="20"/>
              </w:rPr>
            </w:pPr>
            <w:r>
              <w:rPr>
                <w:rFonts w:ascii="Arial" w:hAnsi="Arial" w:cs="Arial"/>
                <w:b/>
                <w:sz w:val="20"/>
              </w:rPr>
              <w:lastRenderedPageBreak/>
              <w:t xml:space="preserve">2.4 b) </w:t>
            </w:r>
            <w:r w:rsidR="00360EEA">
              <w:rPr>
                <w:rFonts w:ascii="Arial" w:hAnsi="Arial" w:cs="Arial"/>
                <w:b/>
                <w:sz w:val="20"/>
              </w:rPr>
              <w:t>Curriculum Map</w:t>
            </w:r>
          </w:p>
          <w:p w:rsidR="00360EEA" w:rsidRDefault="00360EEA" w:rsidP="00360EEA">
            <w:pPr>
              <w:pStyle w:val="Title"/>
              <w:ind w:left="601" w:hanging="601"/>
              <w:jc w:val="left"/>
              <w:rPr>
                <w:rFonts w:ascii="Arial" w:hAnsi="Arial" w:cs="Arial"/>
                <w:b/>
                <w:sz w:val="20"/>
              </w:rPr>
            </w:pPr>
            <w:r>
              <w:rPr>
                <w:rFonts w:ascii="Arial" w:hAnsi="Arial" w:cs="Arial"/>
                <w:b/>
                <w:sz w:val="20"/>
              </w:rPr>
              <w:t xml:space="preserve">           </w:t>
            </w:r>
            <w:r w:rsidRPr="00360EEA">
              <w:rPr>
                <w:rFonts w:ascii="Arial" w:hAnsi="Arial" w:cs="Arial"/>
                <w:b/>
                <w:sz w:val="20"/>
              </w:rPr>
              <w:t>Submit an updated curriculum map as an attachment</w:t>
            </w:r>
            <w:r>
              <w:rPr>
                <w:rFonts w:ascii="Arial" w:hAnsi="Arial" w:cs="Arial"/>
                <w:b/>
                <w:sz w:val="20"/>
              </w:rPr>
              <w:t xml:space="preserve"> to the            Program Review Report</w:t>
            </w:r>
          </w:p>
        </w:tc>
        <w:tc>
          <w:tcPr>
            <w:tcW w:w="6379" w:type="dxa"/>
            <w:gridSpan w:val="2"/>
            <w:tcMar>
              <w:top w:w="113" w:type="dxa"/>
              <w:bottom w:w="113" w:type="dxa"/>
            </w:tcMar>
          </w:tcPr>
          <w:p w:rsidR="00360EEA" w:rsidRPr="003B715D" w:rsidRDefault="003B715D" w:rsidP="005D5C77">
            <w:pPr>
              <w:jc w:val="both"/>
              <w:rPr>
                <w:rFonts w:cs="Arial"/>
                <w:b/>
                <w:sz w:val="20"/>
              </w:rPr>
            </w:pPr>
            <w:r w:rsidRPr="003B715D">
              <w:rPr>
                <w:rFonts w:cs="Arial"/>
                <w:b/>
                <w:sz w:val="20"/>
              </w:rPr>
              <w:t>See Appendix E</w:t>
            </w:r>
            <w:r w:rsidR="005478A3" w:rsidRPr="003B715D">
              <w:rPr>
                <w:rFonts w:cs="Arial"/>
                <w:b/>
                <w:sz w:val="20"/>
              </w:rPr>
              <w:t>: GHS Curriculum Map 2013</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rPr>
                <w:rFonts w:cs="Arial"/>
                <w:b/>
                <w:sz w:val="20"/>
              </w:rPr>
            </w:pPr>
            <w:r w:rsidRPr="00356C80">
              <w:rPr>
                <w:rFonts w:cs="Arial"/>
                <w:b/>
                <w:sz w:val="20"/>
              </w:rPr>
              <w:t>2.5 Delivery Mode</w:t>
            </w:r>
          </w:p>
          <w:p w:rsidR="00EB4375" w:rsidRDefault="00EB4375" w:rsidP="00AB5A30">
            <w:pPr>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Default="00EA4DDF" w:rsidP="00EA4DDF">
            <w:pPr>
              <w:numPr>
                <w:ilvl w:val="0"/>
                <w:numId w:val="8"/>
              </w:numPr>
              <w:tabs>
                <w:tab w:val="clear" w:pos="720"/>
                <w:tab w:val="num" w:pos="360"/>
              </w:tabs>
              <w:ind w:left="360"/>
              <w:rPr>
                <w:rFonts w:cs="Arial"/>
                <w:sz w:val="20"/>
              </w:rPr>
            </w:pPr>
            <w:r w:rsidRPr="00356C80">
              <w:rPr>
                <w:rFonts w:cs="Arial"/>
                <w:sz w:val="20"/>
              </w:rPr>
              <w:t xml:space="preserve">The </w:t>
            </w:r>
            <w:r w:rsidRPr="00356C80">
              <w:rPr>
                <w:rFonts w:cs="Arial"/>
                <w:i/>
                <w:sz w:val="20"/>
              </w:rPr>
              <w:t>primary</w:t>
            </w:r>
            <w:r w:rsidRPr="00356C80">
              <w:rPr>
                <w:rFonts w:cs="Arial"/>
                <w:sz w:val="20"/>
              </w:rPr>
              <w:t xml:space="preserve"> modes used to deliver curriculum such as lecture, seminar, lab, applied project, field camp and web based courses</w:t>
            </w:r>
          </w:p>
          <w:p w:rsidR="00680844" w:rsidRPr="00356C80" w:rsidRDefault="00680844" w:rsidP="00680844">
            <w:pPr>
              <w:ind w:left="360"/>
              <w:rPr>
                <w:rFonts w:cs="Arial"/>
                <w:sz w:val="20"/>
              </w:rPr>
            </w:pPr>
          </w:p>
          <w:p w:rsidR="00EA4DDF" w:rsidRPr="00680844"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rationale for, and appropriateness of, these delivery modes in relation to program learning outcomes</w:t>
            </w:r>
          </w:p>
          <w:p w:rsidR="00680844" w:rsidRDefault="00680844" w:rsidP="00680844">
            <w:pPr>
              <w:pStyle w:val="ListParagraph"/>
              <w:rPr>
                <w:rFonts w:cs="Arial"/>
                <w:b/>
                <w:sz w:val="20"/>
              </w:rPr>
            </w:pPr>
          </w:p>
          <w:p w:rsidR="00EA4DDF" w:rsidRPr="00680844"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degree and depth to which the program is providing work integrated learning experiences</w:t>
            </w:r>
          </w:p>
          <w:p w:rsidR="00680844" w:rsidRPr="00356C80" w:rsidRDefault="00680844" w:rsidP="00680844">
            <w:pPr>
              <w:pStyle w:val="Title"/>
              <w:ind w:left="360"/>
              <w:jc w:val="left"/>
              <w:rPr>
                <w:rFonts w:ascii="Arial" w:hAnsi="Arial" w:cs="Arial"/>
                <w:b/>
                <w:sz w:val="20"/>
              </w:rPr>
            </w:pPr>
          </w:p>
          <w:p w:rsidR="00EA4DDF" w:rsidRPr="000715B2"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degree and depth to which the learning experiences are enhanced by the use of educational technology.</w:t>
            </w:r>
          </w:p>
          <w:p w:rsidR="000715B2" w:rsidRPr="00356C80" w:rsidRDefault="000715B2" w:rsidP="000715B2">
            <w:pPr>
              <w:pStyle w:val="Title"/>
              <w:jc w:val="left"/>
              <w:rPr>
                <w:rFonts w:ascii="Arial" w:hAnsi="Arial" w:cs="Arial"/>
                <w:b/>
                <w:sz w:val="20"/>
              </w:rPr>
            </w:pPr>
          </w:p>
        </w:tc>
        <w:tc>
          <w:tcPr>
            <w:tcW w:w="6379" w:type="dxa"/>
            <w:gridSpan w:val="2"/>
            <w:tcMar>
              <w:top w:w="113" w:type="dxa"/>
              <w:bottom w:w="113" w:type="dxa"/>
            </w:tcMar>
          </w:tcPr>
          <w:p w:rsidR="00EA4DDF" w:rsidRDefault="002D38D3" w:rsidP="005D5C77">
            <w:pPr>
              <w:jc w:val="both"/>
              <w:rPr>
                <w:rFonts w:cs="Arial"/>
                <w:sz w:val="20"/>
              </w:rPr>
            </w:pPr>
            <w:r>
              <w:rPr>
                <w:rFonts w:cs="Arial"/>
                <w:sz w:val="20"/>
              </w:rPr>
              <w:lastRenderedPageBreak/>
              <w:t xml:space="preserve">Curriculum in the GHS program is currently delivered in a variety of modes with an emphasis on lecture plus lab or seminar components for the majority of the core courses.  During the curriculum review process, the GHS faculty has suggested the implementation of online components into core courses (i.e., MyBioLab, Mastering Chemistry </w:t>
            </w:r>
            <w:r>
              <w:rPr>
                <w:rFonts w:cs="Arial"/>
                <w:sz w:val="20"/>
              </w:rPr>
              <w:lastRenderedPageBreak/>
              <w:t xml:space="preserve">online resources, MyMathLab, </w:t>
            </w:r>
            <w:r w:rsidRPr="003B715D">
              <w:rPr>
                <w:rFonts w:cs="Arial"/>
                <w:sz w:val="20"/>
              </w:rPr>
              <w:t>My</w:t>
            </w:r>
            <w:r w:rsidR="003B715D" w:rsidRPr="003B715D">
              <w:rPr>
                <w:rFonts w:cs="Arial"/>
                <w:sz w:val="20"/>
              </w:rPr>
              <w:t>Canadian</w:t>
            </w:r>
            <w:r w:rsidRPr="003B715D">
              <w:rPr>
                <w:rFonts w:cs="Arial"/>
                <w:sz w:val="20"/>
              </w:rPr>
              <w:t>Com</w:t>
            </w:r>
            <w:r w:rsidR="003B715D" w:rsidRPr="003B715D">
              <w:rPr>
                <w:rFonts w:cs="Arial"/>
                <w:sz w:val="20"/>
              </w:rPr>
              <w:t>p</w:t>
            </w:r>
            <w:r w:rsidRPr="003B715D">
              <w:rPr>
                <w:rFonts w:cs="Arial"/>
                <w:sz w:val="20"/>
              </w:rPr>
              <w:t xml:space="preserve">Lab, </w:t>
            </w:r>
            <w:r w:rsidRPr="002D38D3">
              <w:rPr>
                <w:rFonts w:cs="Arial"/>
                <w:sz w:val="20"/>
              </w:rPr>
              <w:t>blogs, discussion board posts, quizzes within WebCT).</w:t>
            </w:r>
            <w:r w:rsidR="00982F89">
              <w:rPr>
                <w:rFonts w:cs="Arial"/>
                <w:sz w:val="20"/>
              </w:rPr>
              <w:t xml:space="preserve">  These recommendations are being implemented </w:t>
            </w:r>
            <w:r w:rsidR="00E243FB">
              <w:rPr>
                <w:rFonts w:cs="Arial"/>
                <w:sz w:val="20"/>
              </w:rPr>
              <w:t xml:space="preserve">for the first time </w:t>
            </w:r>
            <w:r w:rsidR="00982F89">
              <w:rPr>
                <w:rFonts w:cs="Arial"/>
                <w:sz w:val="20"/>
              </w:rPr>
              <w:t>in the 2012-13 academic year.</w:t>
            </w:r>
          </w:p>
          <w:p w:rsidR="00982F89" w:rsidRDefault="00982F89" w:rsidP="005D5C77">
            <w:pPr>
              <w:jc w:val="both"/>
              <w:rPr>
                <w:rFonts w:cs="Arial"/>
                <w:sz w:val="20"/>
              </w:rPr>
            </w:pPr>
          </w:p>
          <w:p w:rsidR="00982F89" w:rsidRPr="003B715D" w:rsidRDefault="00E243FB" w:rsidP="005D5C77">
            <w:pPr>
              <w:jc w:val="both"/>
              <w:rPr>
                <w:rFonts w:cs="Arial"/>
                <w:b/>
                <w:sz w:val="20"/>
              </w:rPr>
            </w:pPr>
            <w:r w:rsidRPr="003B715D">
              <w:rPr>
                <w:rFonts w:cs="Arial"/>
                <w:b/>
                <w:sz w:val="20"/>
              </w:rPr>
              <w:t>Semester 1</w:t>
            </w:r>
            <w:r w:rsidR="00982F89" w:rsidRPr="003B715D">
              <w:rPr>
                <w:rFonts w:cs="Arial"/>
                <w:b/>
                <w:sz w:val="20"/>
              </w:rPr>
              <w:t xml:space="preserve"> courses are delivered as follows:</w:t>
            </w:r>
          </w:p>
          <w:p w:rsidR="005478A3" w:rsidRDefault="005478A3" w:rsidP="005D5C77">
            <w:pPr>
              <w:jc w:val="both"/>
              <w:rPr>
                <w:rFonts w:cs="Arial"/>
                <w:sz w:val="20"/>
              </w:rPr>
            </w:pPr>
          </w:p>
          <w:p w:rsidR="00982F89" w:rsidRDefault="004660B4" w:rsidP="005D5C77">
            <w:pPr>
              <w:jc w:val="both"/>
              <w:rPr>
                <w:rFonts w:cs="Arial"/>
                <w:sz w:val="20"/>
              </w:rPr>
            </w:pPr>
            <w:r>
              <w:rPr>
                <w:rFonts w:cs="Arial"/>
                <w:sz w:val="20"/>
              </w:rPr>
              <w:t>SCIE148 – Human Biology I – 1 hour lecture + 2 hour lab (45 hours)</w:t>
            </w:r>
          </w:p>
          <w:p w:rsidR="004660B4" w:rsidRDefault="004660B4" w:rsidP="005D5C77">
            <w:pPr>
              <w:jc w:val="both"/>
              <w:rPr>
                <w:rFonts w:cs="Arial"/>
                <w:sz w:val="20"/>
              </w:rPr>
            </w:pPr>
            <w:r>
              <w:rPr>
                <w:rFonts w:cs="Arial"/>
                <w:sz w:val="20"/>
              </w:rPr>
              <w:t>HLTH273 – Professional Issues in Health Science – 2 hour seminar (30 hours)</w:t>
            </w:r>
          </w:p>
          <w:p w:rsidR="004660B4" w:rsidRDefault="004660B4" w:rsidP="005D5C77">
            <w:pPr>
              <w:jc w:val="both"/>
              <w:rPr>
                <w:rFonts w:cs="Arial"/>
                <w:sz w:val="20"/>
              </w:rPr>
            </w:pPr>
            <w:r>
              <w:rPr>
                <w:rFonts w:cs="Arial"/>
                <w:sz w:val="20"/>
              </w:rPr>
              <w:t>MATH117 – Mathematics for College Health Science I – 2 hour seminar + 1 hour computer lab (45 hours)</w:t>
            </w:r>
          </w:p>
          <w:p w:rsidR="004660B4" w:rsidRDefault="004660B4" w:rsidP="005D5C77">
            <w:pPr>
              <w:jc w:val="both"/>
              <w:rPr>
                <w:rFonts w:cs="Arial"/>
                <w:sz w:val="20"/>
              </w:rPr>
            </w:pPr>
            <w:r>
              <w:rPr>
                <w:rFonts w:cs="Arial"/>
                <w:sz w:val="20"/>
              </w:rPr>
              <w:t>SCIE150 – Chemistry for College Health Science I – 1 hour lecture + 2 hour lab (45 hours)</w:t>
            </w:r>
          </w:p>
          <w:p w:rsidR="004660B4" w:rsidRDefault="004660B4" w:rsidP="005D5C77">
            <w:pPr>
              <w:jc w:val="both"/>
              <w:rPr>
                <w:rFonts w:cs="Arial"/>
                <w:sz w:val="20"/>
              </w:rPr>
            </w:pPr>
            <w:r>
              <w:rPr>
                <w:rFonts w:cs="Arial"/>
                <w:sz w:val="20"/>
              </w:rPr>
              <w:t>COMM79 – Communication for Health Professionals – 2 hour seminar + 1 hour computer lab bi-weekly (38 hours)</w:t>
            </w:r>
          </w:p>
          <w:p w:rsidR="004660B4" w:rsidRDefault="004660B4" w:rsidP="005D5C77">
            <w:pPr>
              <w:jc w:val="both"/>
              <w:rPr>
                <w:rFonts w:cs="Arial"/>
                <w:sz w:val="20"/>
              </w:rPr>
            </w:pPr>
            <w:r>
              <w:rPr>
                <w:rFonts w:cs="Arial"/>
                <w:sz w:val="20"/>
              </w:rPr>
              <w:t>SOCI36 – Introduction to Psychology – 1 hour lecture + 2 hour seminar (45 hours)</w:t>
            </w:r>
          </w:p>
          <w:p w:rsidR="004660B4" w:rsidRDefault="004660B4" w:rsidP="005D5C77">
            <w:pPr>
              <w:jc w:val="both"/>
              <w:rPr>
                <w:rFonts w:cs="Arial"/>
                <w:sz w:val="20"/>
              </w:rPr>
            </w:pPr>
          </w:p>
          <w:p w:rsidR="004660B4" w:rsidRPr="003B715D" w:rsidRDefault="00E243FB" w:rsidP="005D5C77">
            <w:pPr>
              <w:jc w:val="both"/>
              <w:rPr>
                <w:rFonts w:cs="Arial"/>
                <w:b/>
                <w:sz w:val="20"/>
              </w:rPr>
            </w:pPr>
            <w:r w:rsidRPr="003B715D">
              <w:rPr>
                <w:rFonts w:cs="Arial"/>
                <w:b/>
                <w:sz w:val="20"/>
              </w:rPr>
              <w:t>Semester 2</w:t>
            </w:r>
            <w:r w:rsidR="004660B4" w:rsidRPr="003B715D">
              <w:rPr>
                <w:rFonts w:cs="Arial"/>
                <w:b/>
                <w:sz w:val="20"/>
              </w:rPr>
              <w:t xml:space="preserve"> courses are delivered as follows:</w:t>
            </w:r>
          </w:p>
          <w:p w:rsidR="005478A3" w:rsidRDefault="005478A3" w:rsidP="005D5C77">
            <w:pPr>
              <w:jc w:val="both"/>
              <w:rPr>
                <w:rFonts w:cs="Arial"/>
                <w:sz w:val="20"/>
              </w:rPr>
            </w:pPr>
          </w:p>
          <w:p w:rsidR="004660B4" w:rsidRDefault="004660B4" w:rsidP="005D5C77">
            <w:pPr>
              <w:jc w:val="both"/>
              <w:rPr>
                <w:rFonts w:cs="Arial"/>
                <w:sz w:val="20"/>
              </w:rPr>
            </w:pPr>
            <w:r>
              <w:rPr>
                <w:rFonts w:cs="Arial"/>
                <w:sz w:val="20"/>
              </w:rPr>
              <w:t>SCIE149 – Human Biology II – 1 hour lecture + 2 hour lab (45 hours)</w:t>
            </w:r>
          </w:p>
          <w:p w:rsidR="004660B4" w:rsidRDefault="004660B4" w:rsidP="005D5C77">
            <w:pPr>
              <w:jc w:val="both"/>
              <w:rPr>
                <w:rFonts w:cs="Arial"/>
                <w:sz w:val="20"/>
              </w:rPr>
            </w:pPr>
            <w:r>
              <w:rPr>
                <w:rFonts w:cs="Arial"/>
                <w:sz w:val="20"/>
              </w:rPr>
              <w:t>HLTH274 – Integrating Theory and Practice  – 2 hour seminar + 1 hour guided learning (45 hours)</w:t>
            </w:r>
          </w:p>
          <w:p w:rsidR="004660B4" w:rsidRDefault="004660B4" w:rsidP="005D5C77">
            <w:pPr>
              <w:jc w:val="both"/>
              <w:rPr>
                <w:rFonts w:cs="Arial"/>
                <w:sz w:val="20"/>
              </w:rPr>
            </w:pPr>
            <w:r>
              <w:rPr>
                <w:rFonts w:cs="Arial"/>
                <w:sz w:val="20"/>
              </w:rPr>
              <w:t>MATH118 – Mathematics for College Health Science II – 2 hour seminar (30 hours)</w:t>
            </w:r>
          </w:p>
          <w:p w:rsidR="004660B4" w:rsidRDefault="004660B4" w:rsidP="005D5C77">
            <w:pPr>
              <w:jc w:val="both"/>
              <w:rPr>
                <w:rFonts w:cs="Arial"/>
                <w:sz w:val="20"/>
              </w:rPr>
            </w:pPr>
            <w:r>
              <w:rPr>
                <w:rFonts w:cs="Arial"/>
                <w:sz w:val="20"/>
              </w:rPr>
              <w:t>SCIE151 – Chemistry for College Health Science II – 1 hour lecture + 2 hour lab (45 hours)</w:t>
            </w:r>
          </w:p>
          <w:p w:rsidR="004660B4" w:rsidRDefault="004660B4" w:rsidP="005D5C77">
            <w:pPr>
              <w:jc w:val="both"/>
              <w:rPr>
                <w:rFonts w:cs="Arial"/>
                <w:sz w:val="20"/>
              </w:rPr>
            </w:pPr>
            <w:r>
              <w:rPr>
                <w:rFonts w:cs="Arial"/>
                <w:sz w:val="20"/>
              </w:rPr>
              <w:t>COMM146 – Communicating at Work for the Helping Professionals – 2 hour seminar + 1 hour hybrid lecture (45 hours)</w:t>
            </w:r>
          </w:p>
          <w:p w:rsidR="004660B4" w:rsidRDefault="004660B4" w:rsidP="005D5C77">
            <w:pPr>
              <w:jc w:val="both"/>
              <w:rPr>
                <w:rFonts w:cs="Arial"/>
                <w:sz w:val="20"/>
              </w:rPr>
            </w:pPr>
            <w:r>
              <w:rPr>
                <w:rFonts w:cs="Arial"/>
                <w:sz w:val="20"/>
              </w:rPr>
              <w:t>GNED – Choice of General Education Elective – 1 hour lecture + 2 hour seminar (45 hours)</w:t>
            </w:r>
          </w:p>
          <w:p w:rsidR="00600F2D" w:rsidRDefault="00600F2D" w:rsidP="005D5C77">
            <w:pPr>
              <w:jc w:val="both"/>
              <w:rPr>
                <w:rFonts w:cs="Arial"/>
                <w:sz w:val="20"/>
              </w:rPr>
            </w:pPr>
          </w:p>
          <w:p w:rsidR="00600F2D" w:rsidRDefault="00600F2D" w:rsidP="005D5C77">
            <w:pPr>
              <w:jc w:val="both"/>
              <w:rPr>
                <w:rFonts w:cs="Arial"/>
                <w:sz w:val="20"/>
              </w:rPr>
            </w:pPr>
            <w:r>
              <w:rPr>
                <w:rFonts w:cs="Arial"/>
                <w:sz w:val="20"/>
              </w:rPr>
              <w:t>Students also interact with WebCT to access lecture notes, complete quizzes and/or assignments, engage in online discussions, retrieve course support resources and access course grades.</w:t>
            </w:r>
          </w:p>
          <w:p w:rsidR="00600F2D" w:rsidRDefault="00600F2D" w:rsidP="005D5C77">
            <w:pPr>
              <w:jc w:val="both"/>
              <w:rPr>
                <w:rFonts w:cs="Arial"/>
                <w:sz w:val="20"/>
              </w:rPr>
            </w:pPr>
          </w:p>
          <w:p w:rsidR="00600F2D" w:rsidRDefault="00600F2D" w:rsidP="005D5C77">
            <w:pPr>
              <w:jc w:val="both"/>
              <w:rPr>
                <w:rFonts w:cs="Arial"/>
                <w:sz w:val="20"/>
              </w:rPr>
            </w:pPr>
            <w:r>
              <w:rPr>
                <w:rFonts w:cs="Arial"/>
                <w:sz w:val="20"/>
              </w:rPr>
              <w:lastRenderedPageBreak/>
              <w:t>Videos, other media and guest speakers are employed where appropriate as are the use of learning technologies (i.e., i-clickers).  So</w:t>
            </w:r>
            <w:r w:rsidR="00E243FB">
              <w:rPr>
                <w:rFonts w:cs="Arial"/>
                <w:sz w:val="20"/>
              </w:rPr>
              <w:t xml:space="preserve">me faculty members also incorporate the use of tablets </w:t>
            </w:r>
            <w:r>
              <w:rPr>
                <w:rFonts w:cs="Arial"/>
                <w:sz w:val="20"/>
              </w:rPr>
              <w:t>during lectures/labs.</w:t>
            </w:r>
          </w:p>
          <w:p w:rsidR="007A0143" w:rsidRDefault="007A0143" w:rsidP="005D5C77">
            <w:pPr>
              <w:jc w:val="both"/>
              <w:rPr>
                <w:rFonts w:cs="Arial"/>
                <w:sz w:val="20"/>
              </w:rPr>
            </w:pPr>
          </w:p>
          <w:p w:rsidR="004660B4" w:rsidRDefault="00C95183" w:rsidP="005D5C77">
            <w:pPr>
              <w:jc w:val="both"/>
              <w:rPr>
                <w:rFonts w:cs="Arial"/>
                <w:sz w:val="20"/>
              </w:rPr>
            </w:pPr>
            <w:r>
              <w:rPr>
                <w:rFonts w:cs="Arial"/>
                <w:sz w:val="20"/>
              </w:rPr>
              <w:t xml:space="preserve">The primary delivery of curriculum </w:t>
            </w:r>
            <w:r w:rsidR="005D5C77">
              <w:rPr>
                <w:rFonts w:cs="Arial"/>
                <w:sz w:val="20"/>
              </w:rPr>
              <w:t xml:space="preserve">content </w:t>
            </w:r>
            <w:r>
              <w:rPr>
                <w:rFonts w:cs="Arial"/>
                <w:sz w:val="20"/>
              </w:rPr>
              <w:t xml:space="preserve">is via lecture (typically to multiple sections of 30 at the same time) + lab/seminar (smaller section sizes of 30 in computer or chemistry/biology labs).  In lecture, the theoretical concepts are presented whereas the practical and hands-on application/discussion of theory occurs during the smaller group labs or seminars. </w:t>
            </w:r>
          </w:p>
          <w:p w:rsidR="00C95183" w:rsidRDefault="00C95183" w:rsidP="005D5C77">
            <w:pPr>
              <w:jc w:val="both"/>
              <w:rPr>
                <w:rFonts w:cs="Arial"/>
                <w:sz w:val="20"/>
              </w:rPr>
            </w:pPr>
          </w:p>
          <w:p w:rsidR="00EB6D68" w:rsidRDefault="00C95183" w:rsidP="005D5C77">
            <w:pPr>
              <w:jc w:val="both"/>
              <w:rPr>
                <w:rFonts w:cs="Arial"/>
                <w:sz w:val="20"/>
              </w:rPr>
            </w:pPr>
            <w:r>
              <w:rPr>
                <w:rFonts w:cs="Arial"/>
                <w:sz w:val="20"/>
              </w:rPr>
              <w:t>The program has also be</w:t>
            </w:r>
            <w:r w:rsidR="003B715D">
              <w:rPr>
                <w:rFonts w:cs="Arial"/>
                <w:sz w:val="20"/>
              </w:rPr>
              <w:t>en</w:t>
            </w:r>
            <w:r>
              <w:rPr>
                <w:rFonts w:cs="Arial"/>
                <w:sz w:val="20"/>
              </w:rPr>
              <w:t xml:space="preserve"> re-structured such that first semester students are gradually introduced to web-based or hybrid-based material slowly</w:t>
            </w:r>
            <w:r w:rsidR="00EB6D68">
              <w:rPr>
                <w:rFonts w:cs="Arial"/>
                <w:sz w:val="20"/>
              </w:rPr>
              <w:t xml:space="preserve"> and are guided by faculty as to how to use e-based learning resources within the core courses.  The use of educational technology is increased and incorporated to a greater extent within second semester cours</w:t>
            </w:r>
            <w:r w:rsidR="003B715D">
              <w:rPr>
                <w:rFonts w:cs="Arial"/>
                <w:sz w:val="20"/>
              </w:rPr>
              <w:t xml:space="preserve">es.  First semester courses have been designed </w:t>
            </w:r>
            <w:r w:rsidR="00EB6D68">
              <w:rPr>
                <w:rFonts w:cs="Arial"/>
                <w:sz w:val="20"/>
              </w:rPr>
              <w:t>to provide as much face-to-face contact and support to students as possible.  In addition, a much greater degree of health-related case studies and examples are used so that students can see the relevance of the material to their future program of study.</w:t>
            </w:r>
          </w:p>
          <w:p w:rsidR="00EB6D68" w:rsidRDefault="00EB6D68" w:rsidP="005D5C77">
            <w:pPr>
              <w:jc w:val="both"/>
              <w:rPr>
                <w:rFonts w:cs="Arial"/>
                <w:sz w:val="20"/>
              </w:rPr>
            </w:pPr>
          </w:p>
          <w:p w:rsidR="00626104" w:rsidRPr="002D38D3" w:rsidRDefault="00EB6D68" w:rsidP="005D5C77">
            <w:pPr>
              <w:jc w:val="both"/>
              <w:rPr>
                <w:rFonts w:cs="Arial"/>
                <w:sz w:val="20"/>
              </w:rPr>
            </w:pPr>
            <w:r>
              <w:rPr>
                <w:rFonts w:cs="Arial"/>
                <w:sz w:val="20"/>
              </w:rPr>
              <w:t>Work-integrated learning experiences are incorporated into this pathway program as much as possible.  As noted earlier, program faculty in health-related fields give oral presentations and attend information sessions.  Two courses within the curricul</w:t>
            </w:r>
            <w:r w:rsidR="003B715D">
              <w:rPr>
                <w:rFonts w:cs="Arial"/>
                <w:sz w:val="20"/>
              </w:rPr>
              <w:t>um (HLTH273 and</w:t>
            </w:r>
            <w:r>
              <w:rPr>
                <w:rFonts w:cs="Arial"/>
                <w:sz w:val="20"/>
              </w:rPr>
              <w:t xml:space="preserve"> HLTH274) as</w:t>
            </w:r>
            <w:r w:rsidR="003B715D">
              <w:rPr>
                <w:rFonts w:cs="Arial"/>
                <w:sz w:val="20"/>
              </w:rPr>
              <w:t>k students to research and create</w:t>
            </w:r>
            <w:r>
              <w:rPr>
                <w:rFonts w:cs="Arial"/>
                <w:sz w:val="20"/>
              </w:rPr>
              <w:t xml:space="preserve"> a professional portfolio </w:t>
            </w:r>
            <w:r w:rsidR="00DE2881">
              <w:rPr>
                <w:rFonts w:cs="Arial"/>
                <w:sz w:val="20"/>
              </w:rPr>
              <w:t>to showcase their skills and accomplishments and to develop realistic goals and strategies for their next learning or work experience.</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 xml:space="preserve">2.6 </w:t>
            </w:r>
            <w:r>
              <w:rPr>
                <w:rFonts w:ascii="Arial" w:hAnsi="Arial" w:cs="Arial"/>
                <w:b/>
                <w:sz w:val="20"/>
              </w:rPr>
              <w:t xml:space="preserve">Assessment and </w:t>
            </w:r>
            <w:r w:rsidRPr="00356C80">
              <w:rPr>
                <w:rFonts w:ascii="Arial" w:hAnsi="Arial" w:cs="Arial"/>
                <w:b/>
                <w:sz w:val="20"/>
              </w:rPr>
              <w:t>Evaluation Methods</w:t>
            </w:r>
          </w:p>
          <w:p w:rsidR="00EA4DDF" w:rsidRPr="00356C80" w:rsidRDefault="00EA4DDF" w:rsidP="00AB5A30">
            <w:pPr>
              <w:pStyle w:val="Title"/>
              <w:jc w:val="left"/>
              <w:rPr>
                <w:rFonts w:ascii="Arial" w:hAnsi="Arial" w:cs="Arial"/>
                <w:b/>
                <w:sz w:val="20"/>
              </w:rPr>
            </w:pPr>
          </w:p>
          <w:p w:rsidR="00D07044" w:rsidRDefault="00EA4DDF" w:rsidP="00AB5A30">
            <w:pPr>
              <w:rPr>
                <w:rFonts w:cs="Arial"/>
                <w:b/>
                <w:bCs/>
                <w:sz w:val="20"/>
              </w:rPr>
            </w:pPr>
            <w:r w:rsidRPr="00356C80">
              <w:rPr>
                <w:rFonts w:cs="Arial"/>
                <w:b/>
                <w:bCs/>
                <w:sz w:val="20"/>
              </w:rPr>
              <w:t>Review / discuss:</w:t>
            </w:r>
          </w:p>
          <w:p w:rsidR="00D07044" w:rsidRPr="00356C80" w:rsidRDefault="00D07044" w:rsidP="00AB5A30">
            <w:pPr>
              <w:rPr>
                <w:rFonts w:cs="Arial"/>
                <w:b/>
                <w:bCs/>
                <w:sz w:val="20"/>
              </w:rPr>
            </w:pPr>
          </w:p>
          <w:p w:rsidR="00D07044" w:rsidRDefault="00EA4DDF" w:rsidP="00D07044">
            <w:pPr>
              <w:numPr>
                <w:ilvl w:val="0"/>
                <w:numId w:val="26"/>
              </w:numPr>
              <w:tabs>
                <w:tab w:val="clear" w:pos="720"/>
                <w:tab w:val="num" w:pos="360"/>
              </w:tabs>
              <w:ind w:left="360"/>
              <w:rPr>
                <w:rFonts w:cs="Arial"/>
                <w:sz w:val="20"/>
              </w:rPr>
            </w:pPr>
            <w:r w:rsidRPr="00D07044">
              <w:rPr>
                <w:rFonts w:cs="Arial"/>
                <w:sz w:val="20"/>
              </w:rPr>
              <w:t>The program approach to learning assessment</w:t>
            </w:r>
          </w:p>
          <w:p w:rsidR="00D07044" w:rsidRDefault="00D07044" w:rsidP="00D07044">
            <w:pPr>
              <w:ind w:left="360"/>
              <w:rPr>
                <w:rFonts w:cs="Arial"/>
                <w:sz w:val="20"/>
              </w:rPr>
            </w:pPr>
          </w:p>
          <w:p w:rsidR="00D07044" w:rsidRDefault="00EA4DDF" w:rsidP="00D07044">
            <w:pPr>
              <w:numPr>
                <w:ilvl w:val="0"/>
                <w:numId w:val="26"/>
              </w:numPr>
              <w:tabs>
                <w:tab w:val="clear" w:pos="720"/>
                <w:tab w:val="num" w:pos="360"/>
              </w:tabs>
              <w:ind w:left="360"/>
              <w:rPr>
                <w:rFonts w:cs="Arial"/>
                <w:sz w:val="20"/>
              </w:rPr>
            </w:pPr>
            <w:r w:rsidRPr="00D07044">
              <w:rPr>
                <w:rFonts w:cs="Arial"/>
                <w:sz w:val="20"/>
              </w:rPr>
              <w:t>The balance and frequency of assessment types across the curriculum and their appropriateness to course / vocational outcomes</w:t>
            </w:r>
          </w:p>
          <w:p w:rsidR="00D07044" w:rsidRDefault="00D07044" w:rsidP="00D07044">
            <w:pPr>
              <w:pStyle w:val="ListParagraph"/>
              <w:rPr>
                <w:rFonts w:cs="Arial"/>
                <w:b/>
                <w:bCs/>
                <w:sz w:val="20"/>
              </w:rPr>
            </w:pPr>
          </w:p>
          <w:p w:rsidR="00D07044" w:rsidRPr="00F459CE" w:rsidRDefault="00D07044" w:rsidP="00D07044">
            <w:pPr>
              <w:numPr>
                <w:ilvl w:val="0"/>
                <w:numId w:val="26"/>
              </w:numPr>
              <w:tabs>
                <w:tab w:val="clear" w:pos="720"/>
                <w:tab w:val="num" w:pos="360"/>
              </w:tabs>
              <w:ind w:left="360"/>
              <w:rPr>
                <w:rFonts w:cs="Arial"/>
                <w:sz w:val="20"/>
              </w:rPr>
            </w:pPr>
            <w:r w:rsidRPr="00F459CE">
              <w:rPr>
                <w:rFonts w:cs="Arial"/>
                <w:bCs/>
                <w:sz w:val="20"/>
              </w:rPr>
              <w:t>Reflect and comment upon the variety of methods used to demonstrate outcomes.</w:t>
            </w:r>
            <w:r w:rsidR="005A7D50" w:rsidRPr="00F459CE">
              <w:rPr>
                <w:rFonts w:cs="Arial"/>
                <w:bCs/>
                <w:sz w:val="20"/>
              </w:rPr>
              <w:t xml:space="preserve">  Are learner</w:t>
            </w:r>
            <w:r w:rsidR="000715B2" w:rsidRPr="00F459CE">
              <w:rPr>
                <w:rFonts w:cs="Arial"/>
                <w:bCs/>
                <w:sz w:val="20"/>
              </w:rPr>
              <w:t xml:space="preserve"> </w:t>
            </w:r>
            <w:r w:rsidR="005A7D50" w:rsidRPr="00F459CE">
              <w:rPr>
                <w:rFonts w:cs="Arial"/>
                <w:bCs/>
                <w:sz w:val="20"/>
              </w:rPr>
              <w:t>centered principles part of the assessment approaches?</w:t>
            </w:r>
          </w:p>
          <w:p w:rsidR="00EA4DDF" w:rsidRPr="00356C80" w:rsidRDefault="00EA4DDF" w:rsidP="00D07044">
            <w:pPr>
              <w:ind w:left="360"/>
              <w:rPr>
                <w:rFonts w:cs="Arial"/>
                <w:b/>
                <w:sz w:val="20"/>
              </w:rPr>
            </w:pPr>
          </w:p>
        </w:tc>
        <w:tc>
          <w:tcPr>
            <w:tcW w:w="6379" w:type="dxa"/>
            <w:gridSpan w:val="2"/>
            <w:tcMar>
              <w:top w:w="113" w:type="dxa"/>
              <w:bottom w:w="113" w:type="dxa"/>
            </w:tcMar>
          </w:tcPr>
          <w:p w:rsidR="00EA4DDF" w:rsidRPr="003B715D" w:rsidRDefault="003B715D" w:rsidP="002B3973">
            <w:pPr>
              <w:rPr>
                <w:rFonts w:cs="Arial"/>
                <w:b/>
                <w:sz w:val="20"/>
              </w:rPr>
            </w:pPr>
            <w:r w:rsidRPr="003B715D">
              <w:rPr>
                <w:rFonts w:cs="Arial"/>
                <w:b/>
                <w:sz w:val="20"/>
              </w:rPr>
              <w:lastRenderedPageBreak/>
              <w:t xml:space="preserve">See Appendix F: </w:t>
            </w:r>
            <w:r w:rsidR="003877F9">
              <w:rPr>
                <w:rFonts w:cs="Arial"/>
                <w:b/>
                <w:sz w:val="20"/>
              </w:rPr>
              <w:t xml:space="preserve">GHS </w:t>
            </w:r>
            <w:r w:rsidRPr="003B715D">
              <w:rPr>
                <w:rFonts w:cs="Arial"/>
                <w:b/>
                <w:sz w:val="20"/>
              </w:rPr>
              <w:t>Course Outlines</w:t>
            </w:r>
          </w:p>
          <w:p w:rsidR="00202DB2" w:rsidRDefault="00202DB2" w:rsidP="002B3973">
            <w:pPr>
              <w:rPr>
                <w:rFonts w:cs="Arial"/>
                <w:sz w:val="20"/>
              </w:rPr>
            </w:pPr>
          </w:p>
          <w:p w:rsidR="00202DB2" w:rsidRDefault="00202DB2" w:rsidP="002B3973">
            <w:pPr>
              <w:rPr>
                <w:rFonts w:cs="Arial"/>
                <w:sz w:val="20"/>
              </w:rPr>
            </w:pPr>
            <w:r>
              <w:rPr>
                <w:rFonts w:cs="Arial"/>
                <w:sz w:val="20"/>
              </w:rPr>
              <w:t xml:space="preserve">The GHS teaching team met regularly to discuss and align their course learning outcomes, assessments and instructional strategies.  Because the program has coordinated the topic sequences of the </w:t>
            </w:r>
            <w:r>
              <w:rPr>
                <w:rFonts w:cs="Arial"/>
                <w:sz w:val="20"/>
              </w:rPr>
              <w:lastRenderedPageBreak/>
              <w:t>four core courses (Biology, Chemistry, Mathematics, Professional Issues), assessments are also coord</w:t>
            </w:r>
            <w:r w:rsidR="002B3973">
              <w:rPr>
                <w:rFonts w:cs="Arial"/>
                <w:sz w:val="20"/>
              </w:rPr>
              <w:t>inated and mapped on a semester-by-</w:t>
            </w:r>
            <w:r>
              <w:rPr>
                <w:rFonts w:cs="Arial"/>
                <w:sz w:val="20"/>
              </w:rPr>
              <w:t xml:space="preserve">semester basis </w:t>
            </w:r>
            <w:r w:rsidR="002B3973" w:rsidRPr="002B3973">
              <w:rPr>
                <w:rFonts w:cs="Arial"/>
                <w:sz w:val="20"/>
              </w:rPr>
              <w:t>(</w:t>
            </w:r>
            <w:r w:rsidR="002B3973">
              <w:rPr>
                <w:rFonts w:cs="Arial"/>
                <w:b/>
                <w:sz w:val="20"/>
              </w:rPr>
              <w:t>Appendix G</w:t>
            </w:r>
            <w:r w:rsidR="002B3973" w:rsidRPr="002B3973">
              <w:rPr>
                <w:rFonts w:cs="Arial"/>
                <w:b/>
                <w:sz w:val="20"/>
              </w:rPr>
              <w:t xml:space="preserve">: </w:t>
            </w:r>
            <w:r w:rsidR="003877F9">
              <w:rPr>
                <w:rFonts w:cs="Arial"/>
                <w:b/>
                <w:sz w:val="20"/>
              </w:rPr>
              <w:t xml:space="preserve">GHS </w:t>
            </w:r>
            <w:r w:rsidR="002B3973" w:rsidRPr="002B3973">
              <w:rPr>
                <w:rFonts w:cs="Arial"/>
                <w:b/>
                <w:sz w:val="20"/>
              </w:rPr>
              <w:t>A</w:t>
            </w:r>
            <w:r w:rsidR="008E3E97" w:rsidRPr="002B3973">
              <w:rPr>
                <w:rFonts w:cs="Arial"/>
                <w:b/>
                <w:sz w:val="20"/>
              </w:rPr>
              <w:t>ssessment</w:t>
            </w:r>
            <w:r w:rsidR="003877F9">
              <w:rPr>
                <w:rFonts w:cs="Arial"/>
                <w:b/>
                <w:sz w:val="20"/>
              </w:rPr>
              <w:t>s</w:t>
            </w:r>
            <w:r w:rsidRPr="002B3973">
              <w:rPr>
                <w:rFonts w:cs="Arial"/>
                <w:sz w:val="20"/>
              </w:rPr>
              <w:t>)</w:t>
            </w:r>
            <w:r w:rsidR="008E3E97" w:rsidRPr="002B3973">
              <w:rPr>
                <w:rFonts w:cs="Arial"/>
                <w:sz w:val="20"/>
              </w:rPr>
              <w:t>.</w:t>
            </w:r>
          </w:p>
          <w:p w:rsidR="008E3E97" w:rsidRDefault="008E3E97" w:rsidP="002D058D">
            <w:pPr>
              <w:jc w:val="both"/>
              <w:rPr>
                <w:rFonts w:cs="Arial"/>
                <w:sz w:val="20"/>
              </w:rPr>
            </w:pPr>
          </w:p>
          <w:p w:rsidR="008E3E97" w:rsidRPr="00356C80" w:rsidRDefault="00917252" w:rsidP="002D058D">
            <w:pPr>
              <w:jc w:val="both"/>
              <w:rPr>
                <w:rFonts w:cs="Arial"/>
                <w:sz w:val="20"/>
              </w:rPr>
            </w:pPr>
            <w:r>
              <w:rPr>
                <w:rFonts w:cs="Arial"/>
                <w:sz w:val="20"/>
              </w:rPr>
              <w:t>In looking at the type of assessments used across the courses</w:t>
            </w:r>
            <w:r w:rsidR="002D058D">
              <w:rPr>
                <w:rFonts w:cs="Arial"/>
                <w:sz w:val="20"/>
              </w:rPr>
              <w:t xml:space="preserve"> and across the 15 weeks</w:t>
            </w:r>
            <w:r>
              <w:rPr>
                <w:rFonts w:cs="Arial"/>
                <w:sz w:val="20"/>
              </w:rPr>
              <w:t xml:space="preserve">, there are </w:t>
            </w:r>
            <w:r w:rsidR="002D058D">
              <w:rPr>
                <w:rFonts w:cs="Arial"/>
                <w:sz w:val="20"/>
              </w:rPr>
              <w:t xml:space="preserve">a variety of ways in which learning outcomes are being evaluated.  Low-stakes quizzes (i.e., less than 5%) are used frequently throughout the semester to ensure students are keeping up with the content and allow faculty to gauge comprehension of the material.  Larger assessment pieces such as research papers are used near the end of the semester after drafts and/or proposals have been submitted and students are provided with feedback.  Both formative and summative assessments are being used.  </w:t>
            </w:r>
            <w:r>
              <w:rPr>
                <w:rFonts w:cs="Arial"/>
                <w:sz w:val="20"/>
              </w:rPr>
              <w:t xml:space="preserve"> </w:t>
            </w:r>
            <w:r w:rsidR="002D058D">
              <w:rPr>
                <w:rFonts w:cs="Arial"/>
                <w:sz w:val="20"/>
              </w:rPr>
              <w:t>Assessment is occurring in terms of quizzes, tests, hands-on demonstrations, lab reports, oral presentations and written assignments.  Writing skills are being supported throughout first and second semesters.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2.7 Curriculum and Diversity</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EA4DDF">
            <w:pPr>
              <w:numPr>
                <w:ilvl w:val="0"/>
                <w:numId w:val="20"/>
              </w:numPr>
              <w:tabs>
                <w:tab w:val="clear" w:pos="720"/>
                <w:tab w:val="num" w:pos="360"/>
              </w:tabs>
              <w:ind w:left="360"/>
              <w:rPr>
                <w:rFonts w:cs="Arial"/>
                <w:bCs/>
                <w:sz w:val="20"/>
              </w:rPr>
            </w:pPr>
            <w:r w:rsidRPr="00356C80">
              <w:rPr>
                <w:rFonts w:cs="Arial"/>
                <w:bCs/>
                <w:sz w:val="20"/>
              </w:rPr>
              <w:t>Program strategies that support student diversity and promote understanding of diversity, including program culture / climate, curriculum content and approaches to teaching and learning</w:t>
            </w:r>
          </w:p>
          <w:p w:rsidR="00EA4DDF" w:rsidRPr="00356C80" w:rsidRDefault="00EA4DDF" w:rsidP="00AB5A30">
            <w:pPr>
              <w:autoSpaceDE w:val="0"/>
              <w:autoSpaceDN w:val="0"/>
              <w:adjustRightInd w:val="0"/>
              <w:rPr>
                <w:rFonts w:cs="Arial"/>
                <w:sz w:val="20"/>
              </w:rPr>
            </w:pPr>
          </w:p>
        </w:tc>
        <w:tc>
          <w:tcPr>
            <w:tcW w:w="6379" w:type="dxa"/>
            <w:gridSpan w:val="2"/>
            <w:tcMar>
              <w:top w:w="113" w:type="dxa"/>
              <w:bottom w:w="113" w:type="dxa"/>
            </w:tcMar>
          </w:tcPr>
          <w:p w:rsidR="005478A3" w:rsidRDefault="005478A3" w:rsidP="002D058D">
            <w:pPr>
              <w:jc w:val="both"/>
              <w:rPr>
                <w:rFonts w:cs="Arial"/>
                <w:sz w:val="20"/>
              </w:rPr>
            </w:pPr>
            <w:r w:rsidRPr="001E45AF">
              <w:rPr>
                <w:rFonts w:cs="Arial"/>
                <w:sz w:val="20"/>
              </w:rPr>
              <w:t xml:space="preserve">The program faculty recognizes the importance of cultivating an awareness of and sensitivity to diversity.  </w:t>
            </w:r>
          </w:p>
          <w:p w:rsidR="002B3973" w:rsidRPr="001E45AF" w:rsidRDefault="002B3973" w:rsidP="002D058D">
            <w:pPr>
              <w:jc w:val="both"/>
              <w:rPr>
                <w:rFonts w:cs="Arial"/>
                <w:sz w:val="20"/>
              </w:rPr>
            </w:pPr>
          </w:p>
          <w:p w:rsidR="005478A3" w:rsidRPr="001E45AF" w:rsidRDefault="005478A3" w:rsidP="002D058D">
            <w:pPr>
              <w:jc w:val="both"/>
              <w:rPr>
                <w:rFonts w:cs="Arial"/>
                <w:sz w:val="20"/>
              </w:rPr>
            </w:pPr>
            <w:r w:rsidRPr="001E45AF">
              <w:rPr>
                <w:rFonts w:cs="Arial"/>
                <w:sz w:val="20"/>
              </w:rPr>
              <w:t xml:space="preserve">Supporting student diversity in terms of preparedness for college is inherent in a pathway </w:t>
            </w:r>
            <w:r w:rsidR="002D058D">
              <w:rPr>
                <w:rFonts w:cs="Arial"/>
                <w:sz w:val="20"/>
              </w:rPr>
              <w:t xml:space="preserve">program, and GHS faculty </w:t>
            </w:r>
            <w:r w:rsidR="00235390">
              <w:rPr>
                <w:rFonts w:cs="Arial"/>
                <w:sz w:val="20"/>
              </w:rPr>
              <w:t>is</w:t>
            </w:r>
            <w:r w:rsidRPr="001E45AF">
              <w:rPr>
                <w:rFonts w:cs="Arial"/>
                <w:sz w:val="20"/>
              </w:rPr>
              <w:t xml:space="preserve"> attempting, through recent curriculum renewal and course and program redesign efforts, to create and foster a fully integrated and inclusive program culture that respects and values individual learning styles.</w:t>
            </w:r>
          </w:p>
          <w:p w:rsidR="005478A3" w:rsidRPr="001E45AF" w:rsidRDefault="005478A3" w:rsidP="002D058D">
            <w:pPr>
              <w:jc w:val="both"/>
              <w:rPr>
                <w:rFonts w:cs="Arial"/>
                <w:sz w:val="20"/>
              </w:rPr>
            </w:pPr>
          </w:p>
          <w:p w:rsidR="00EA4DDF" w:rsidRPr="00356C80" w:rsidRDefault="005478A3" w:rsidP="002D058D">
            <w:pPr>
              <w:jc w:val="both"/>
              <w:rPr>
                <w:rFonts w:cs="Arial"/>
                <w:sz w:val="20"/>
              </w:rPr>
            </w:pPr>
            <w:r w:rsidRPr="001E45AF">
              <w:rPr>
                <w:rFonts w:cs="Arial"/>
                <w:sz w:val="20"/>
              </w:rPr>
              <w:t xml:space="preserve">The program is committed to developing a core group of faculty who will provide stable relationships for students across both semesters. Other benefits include increased faculty-student interaction and a more in-depth understanding of individual and cohort learning preferences and styles over the duration of the program. To this end, the program uses an integrated method of content delivery for core courses that speeds development of peer support and fosters a supportive and familiar social environment for learning. </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Height w:val="1412"/>
        </w:trPr>
        <w:tc>
          <w:tcPr>
            <w:tcW w:w="6663" w:type="dxa"/>
            <w:gridSpan w:val="2"/>
            <w:tcMar>
              <w:top w:w="113" w:type="dxa"/>
              <w:bottom w:w="113" w:type="dxa"/>
            </w:tcMar>
          </w:tcPr>
          <w:p w:rsidR="00EA4DDF" w:rsidRPr="00356C80" w:rsidRDefault="00EA4DDF" w:rsidP="00AB5A30">
            <w:pPr>
              <w:rPr>
                <w:rFonts w:cs="Arial"/>
                <w:b/>
                <w:sz w:val="20"/>
              </w:rPr>
            </w:pPr>
            <w:r w:rsidRPr="00356C80">
              <w:rPr>
                <w:rFonts w:cs="Arial"/>
                <w:b/>
                <w:sz w:val="20"/>
              </w:rPr>
              <w:lastRenderedPageBreak/>
              <w:t>2.8 Learning Pathways</w:t>
            </w:r>
          </w:p>
          <w:p w:rsidR="00EA4DDF" w:rsidRPr="00356C80" w:rsidRDefault="00EA4DDF" w:rsidP="00AB5A30">
            <w:pPr>
              <w:rPr>
                <w:rFonts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5D66C4" w:rsidRPr="00D07044" w:rsidRDefault="00EA4DDF" w:rsidP="005D66C4">
            <w:pPr>
              <w:pStyle w:val="Title"/>
              <w:numPr>
                <w:ilvl w:val="0"/>
                <w:numId w:val="27"/>
              </w:numPr>
              <w:tabs>
                <w:tab w:val="clear" w:pos="720"/>
                <w:tab w:val="num" w:pos="360"/>
              </w:tabs>
              <w:ind w:left="360"/>
              <w:jc w:val="left"/>
              <w:rPr>
                <w:rFonts w:ascii="Arial" w:hAnsi="Arial" w:cs="Arial"/>
                <w:b/>
                <w:sz w:val="20"/>
              </w:rPr>
            </w:pPr>
            <w:r w:rsidRPr="005D66C4">
              <w:rPr>
                <w:rFonts w:ascii="Arial" w:hAnsi="Arial" w:cs="Arial"/>
                <w:sz w:val="20"/>
              </w:rPr>
              <w:t>Recent or anticipated initiatives that promote student pathways including high school articulations, dual credit, program laddering, dual diplomas, and university transfer, articulations, and partnerships</w:t>
            </w:r>
          </w:p>
          <w:p w:rsidR="006F46E4" w:rsidRDefault="006F46E4" w:rsidP="006F46E4">
            <w:pPr>
              <w:pStyle w:val="Title"/>
              <w:ind w:left="360"/>
              <w:jc w:val="left"/>
              <w:rPr>
                <w:rFonts w:ascii="Arial" w:hAnsi="Arial" w:cs="Arial"/>
                <w:b/>
                <w:sz w:val="20"/>
              </w:rPr>
            </w:pPr>
          </w:p>
          <w:p w:rsidR="006F46E4" w:rsidRDefault="006F46E4" w:rsidP="006F46E4">
            <w:pPr>
              <w:pStyle w:val="Title"/>
              <w:ind w:left="360"/>
              <w:jc w:val="left"/>
              <w:rPr>
                <w:rFonts w:ascii="Arial" w:hAnsi="Arial" w:cs="Arial"/>
                <w:b/>
                <w:sz w:val="20"/>
              </w:rPr>
            </w:pPr>
          </w:p>
          <w:p w:rsidR="006F46E4" w:rsidRDefault="006F46E4" w:rsidP="006F46E4">
            <w:pPr>
              <w:pStyle w:val="Title"/>
              <w:ind w:left="360"/>
              <w:jc w:val="left"/>
              <w:rPr>
                <w:rFonts w:ascii="Arial" w:hAnsi="Arial" w:cs="Arial"/>
                <w:b/>
                <w:sz w:val="20"/>
              </w:rPr>
            </w:pPr>
          </w:p>
          <w:p w:rsidR="006F46E4" w:rsidRDefault="006F46E4" w:rsidP="006F46E4">
            <w:pPr>
              <w:pStyle w:val="Title"/>
              <w:ind w:left="360"/>
              <w:jc w:val="left"/>
              <w:rPr>
                <w:rFonts w:ascii="Arial" w:hAnsi="Arial" w:cs="Arial"/>
                <w:b/>
                <w:sz w:val="20"/>
              </w:rPr>
            </w:pPr>
          </w:p>
          <w:p w:rsidR="006F46E4" w:rsidRPr="00356C80" w:rsidRDefault="006F46E4" w:rsidP="006F46E4">
            <w:pPr>
              <w:pStyle w:val="Title"/>
              <w:ind w:left="360"/>
              <w:jc w:val="left"/>
              <w:rPr>
                <w:rFonts w:ascii="Arial" w:hAnsi="Arial" w:cs="Arial"/>
                <w:b/>
                <w:sz w:val="20"/>
              </w:rPr>
            </w:pPr>
          </w:p>
        </w:tc>
        <w:tc>
          <w:tcPr>
            <w:tcW w:w="6379" w:type="dxa"/>
            <w:gridSpan w:val="2"/>
            <w:tcMar>
              <w:top w:w="113" w:type="dxa"/>
              <w:bottom w:w="113" w:type="dxa"/>
            </w:tcMar>
          </w:tcPr>
          <w:p w:rsidR="00D63B24" w:rsidRPr="0095046F" w:rsidRDefault="00D63B24" w:rsidP="000D347A">
            <w:pPr>
              <w:jc w:val="both"/>
              <w:rPr>
                <w:rFonts w:cs="Arial"/>
                <w:sz w:val="20"/>
              </w:rPr>
            </w:pPr>
            <w:r w:rsidRPr="0095046F">
              <w:rPr>
                <w:rFonts w:cs="Arial"/>
                <w:sz w:val="20"/>
              </w:rPr>
              <w:t>The GHS Program Coordinator, the Dean of the School of Community Development and Health, the Dean of the School of General Arts and Sciences, Program Coordinator of the Health Information Management (HIM) Program and the Program Coordinator of the Pharmacy Technician (PHM) Program met in May 2012 to discuss the feasibility of adding the HIM program and PHM programs to the current suite of GHS destination programs.  With the addition of a small number of preparatory math elements to the math course curriculum, GHS as a pathway program for HIM and PHM was endorsed by a</w:t>
            </w:r>
            <w:r w:rsidR="00D94683">
              <w:rPr>
                <w:rFonts w:cs="Arial"/>
                <w:sz w:val="20"/>
              </w:rPr>
              <w:t xml:space="preserve">ll members. </w:t>
            </w:r>
            <w:r w:rsidRPr="0095046F">
              <w:rPr>
                <w:rFonts w:cs="Arial"/>
                <w:sz w:val="20"/>
              </w:rPr>
              <w:t>It is expected that 2013 GHS graduates will be eligible for reserved seats in the HIM and PHM programs for Fall 2013.</w:t>
            </w:r>
          </w:p>
          <w:p w:rsidR="00D63B24" w:rsidRPr="0095046F" w:rsidRDefault="00D63B24" w:rsidP="000D347A">
            <w:pPr>
              <w:jc w:val="both"/>
              <w:rPr>
                <w:rFonts w:cs="Arial"/>
                <w:sz w:val="20"/>
              </w:rPr>
            </w:pPr>
          </w:p>
          <w:p w:rsidR="00D63B24" w:rsidRDefault="00D63B24" w:rsidP="000D347A">
            <w:pPr>
              <w:jc w:val="both"/>
              <w:rPr>
                <w:rFonts w:cs="Arial"/>
                <w:sz w:val="20"/>
              </w:rPr>
            </w:pPr>
            <w:r w:rsidRPr="0095046F">
              <w:rPr>
                <w:rFonts w:cs="Arial"/>
                <w:sz w:val="20"/>
              </w:rPr>
              <w:t xml:space="preserve">Starting January 2013, students from health-based programs within Fleming College (i.e., Massage Therapy, Practical Nursing, Paramedic, </w:t>
            </w:r>
            <w:r w:rsidR="00B51CE7">
              <w:rPr>
                <w:rFonts w:cs="Arial"/>
                <w:sz w:val="20"/>
              </w:rPr>
              <w:t>Occupational Therapist Assistant/Physical Therapist Assistant</w:t>
            </w:r>
            <w:r w:rsidRPr="0095046F">
              <w:rPr>
                <w:rFonts w:cs="Arial"/>
                <w:sz w:val="20"/>
              </w:rPr>
              <w:t>) will be admitted as first semester students in the GHS program</w:t>
            </w:r>
            <w:r w:rsidR="004D208F" w:rsidRPr="0095046F">
              <w:rPr>
                <w:rFonts w:cs="Arial"/>
                <w:sz w:val="20"/>
              </w:rPr>
              <w:t xml:space="preserve">.  As a pilot “re-boot” project, these students with </w:t>
            </w:r>
            <w:r w:rsidRPr="0095046F">
              <w:rPr>
                <w:rFonts w:cs="Arial"/>
                <w:sz w:val="20"/>
              </w:rPr>
              <w:t xml:space="preserve">poor academic achievement or lack of </w:t>
            </w:r>
            <w:r w:rsidR="004D208F" w:rsidRPr="0095046F">
              <w:rPr>
                <w:rFonts w:cs="Arial"/>
                <w:sz w:val="20"/>
              </w:rPr>
              <w:t xml:space="preserve">college </w:t>
            </w:r>
            <w:r w:rsidRPr="0095046F">
              <w:rPr>
                <w:rFonts w:cs="Arial"/>
                <w:sz w:val="20"/>
              </w:rPr>
              <w:t xml:space="preserve">readiness </w:t>
            </w:r>
            <w:r w:rsidR="004D208F" w:rsidRPr="0095046F">
              <w:rPr>
                <w:rFonts w:cs="Arial"/>
                <w:sz w:val="20"/>
              </w:rPr>
              <w:t>will build on fundamental skills as GHS students and will re-enter their original program of study the subsequent Fall 2013 semester.</w:t>
            </w:r>
            <w:r w:rsidR="00D94683">
              <w:rPr>
                <w:rFonts w:cs="Arial"/>
                <w:sz w:val="20"/>
              </w:rPr>
              <w:t xml:space="preserve"> </w:t>
            </w:r>
            <w:r w:rsidR="00671B01" w:rsidRPr="00671B01">
              <w:rPr>
                <w:rFonts w:cs="Arial"/>
                <w:sz w:val="20"/>
              </w:rPr>
              <w:t xml:space="preserve">This type of partnership with the School of </w:t>
            </w:r>
            <w:r w:rsidR="00671B01">
              <w:rPr>
                <w:rFonts w:cs="Arial"/>
                <w:sz w:val="20"/>
              </w:rPr>
              <w:t xml:space="preserve">Community Development and Health </w:t>
            </w:r>
            <w:r w:rsidR="00671B01" w:rsidRPr="00671B01">
              <w:rPr>
                <w:rFonts w:cs="Arial"/>
                <w:sz w:val="20"/>
              </w:rPr>
              <w:t xml:space="preserve">and the GHS program will benefit both </w:t>
            </w:r>
            <w:r w:rsidR="00671B01">
              <w:rPr>
                <w:rFonts w:cs="Arial"/>
                <w:sz w:val="20"/>
              </w:rPr>
              <w:t xml:space="preserve">schools </w:t>
            </w:r>
            <w:r w:rsidR="00671B01" w:rsidRPr="00671B01">
              <w:rPr>
                <w:rFonts w:cs="Arial"/>
                <w:sz w:val="20"/>
              </w:rPr>
              <w:t xml:space="preserve">in terms of retention and enrollment.  </w:t>
            </w:r>
          </w:p>
          <w:p w:rsidR="00EA4DDF" w:rsidRPr="00356C80" w:rsidRDefault="00EA4DDF" w:rsidP="002B3973">
            <w:pPr>
              <w:rPr>
                <w:rFonts w:cs="Arial"/>
                <w:sz w:val="20"/>
              </w:rPr>
            </w:pP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lang w:val="en-CA"/>
              </w:rPr>
              <w:t>3.0 Student and Graduate Satisfaction</w:t>
            </w:r>
          </w:p>
        </w:tc>
        <w:tc>
          <w:tcPr>
            <w:tcW w:w="6379"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Height w:val="3188"/>
        </w:trPr>
        <w:tc>
          <w:tcPr>
            <w:tcW w:w="6663" w:type="dxa"/>
            <w:gridSpan w:val="2"/>
            <w:tcMar>
              <w:top w:w="113" w:type="dxa"/>
              <w:bottom w:w="113" w:type="dxa"/>
            </w:tcMar>
          </w:tcPr>
          <w:p w:rsidR="00EA4DDF" w:rsidRPr="00356C80" w:rsidRDefault="00EA4DDF" w:rsidP="00AB5A30">
            <w:pPr>
              <w:rPr>
                <w:rFonts w:cs="Arial"/>
                <w:b/>
                <w:bCs/>
                <w:sz w:val="20"/>
              </w:rPr>
            </w:pPr>
            <w:r w:rsidRPr="00356C80">
              <w:rPr>
                <w:rFonts w:cs="Arial"/>
                <w:b/>
                <w:bCs/>
                <w:sz w:val="20"/>
              </w:rPr>
              <w:lastRenderedPageBreak/>
              <w:t>3.1 Formal Measures of Student and / or Graduate Satisfaction</w:t>
            </w:r>
          </w:p>
          <w:p w:rsidR="00EA4DDF" w:rsidRPr="00356C80" w:rsidRDefault="00EA4DDF" w:rsidP="00AB5A30">
            <w:pPr>
              <w:rPr>
                <w:rFonts w:cs="Arial"/>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27"/>
              </w:numPr>
              <w:tabs>
                <w:tab w:val="clear" w:pos="720"/>
                <w:tab w:val="num" w:pos="360"/>
              </w:tabs>
              <w:ind w:left="360"/>
              <w:rPr>
                <w:rFonts w:cs="Arial"/>
                <w:sz w:val="20"/>
              </w:rPr>
            </w:pPr>
            <w:r w:rsidRPr="00356C80">
              <w:rPr>
                <w:rFonts w:cs="Arial"/>
                <w:sz w:val="20"/>
              </w:rPr>
              <w:t>Key Performance Indicator results for the program with a focus on #s  4, 8, 9, and 11</w:t>
            </w:r>
          </w:p>
          <w:p w:rsidR="00D07044" w:rsidRPr="00356C80" w:rsidRDefault="00D07044" w:rsidP="00D07044">
            <w:pPr>
              <w:ind w:left="360"/>
              <w:rPr>
                <w:rFonts w:cs="Arial"/>
                <w:sz w:val="20"/>
              </w:rPr>
            </w:pPr>
          </w:p>
          <w:p w:rsidR="00EA4DDF" w:rsidRDefault="00EA4DDF" w:rsidP="00EA4DDF">
            <w:pPr>
              <w:numPr>
                <w:ilvl w:val="0"/>
                <w:numId w:val="27"/>
              </w:numPr>
              <w:tabs>
                <w:tab w:val="clear" w:pos="720"/>
                <w:tab w:val="num" w:pos="360"/>
              </w:tabs>
              <w:ind w:left="360"/>
              <w:rPr>
                <w:rFonts w:cs="Arial"/>
                <w:sz w:val="20"/>
              </w:rPr>
            </w:pPr>
            <w:r w:rsidRPr="00356C80">
              <w:rPr>
                <w:rFonts w:cs="Arial"/>
                <w:sz w:val="20"/>
              </w:rPr>
              <w:t>Program status and positioning in relation to the KPIs of other programs of a similar type (where applicable)</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EA4DDF" w:rsidRDefault="00EA4DDF" w:rsidP="00EA4DDF">
            <w:pPr>
              <w:numPr>
                <w:ilvl w:val="0"/>
                <w:numId w:val="27"/>
              </w:numPr>
              <w:tabs>
                <w:tab w:val="clear" w:pos="720"/>
                <w:tab w:val="num" w:pos="360"/>
              </w:tabs>
              <w:ind w:left="360"/>
              <w:rPr>
                <w:rFonts w:cs="Arial"/>
                <w:sz w:val="20"/>
              </w:rPr>
            </w:pPr>
            <w:r w:rsidRPr="00356C80">
              <w:rPr>
                <w:rFonts w:cs="Arial"/>
                <w:sz w:val="20"/>
              </w:rPr>
              <w:t xml:space="preserve">Feedback and summary report from Learning Support Services (LSS) summary </w:t>
            </w:r>
          </w:p>
          <w:p w:rsidR="00D07044" w:rsidRPr="00356C80" w:rsidRDefault="00D07044" w:rsidP="00D07044">
            <w:pPr>
              <w:ind w:left="360"/>
              <w:rPr>
                <w:rFonts w:cs="Arial"/>
                <w:sz w:val="20"/>
              </w:rPr>
            </w:pPr>
          </w:p>
          <w:p w:rsidR="00EA4DDF" w:rsidRPr="00356C80" w:rsidRDefault="00EA4DDF" w:rsidP="00EA4DDF">
            <w:pPr>
              <w:numPr>
                <w:ilvl w:val="0"/>
                <w:numId w:val="27"/>
              </w:numPr>
              <w:tabs>
                <w:tab w:val="clear" w:pos="720"/>
                <w:tab w:val="num" w:pos="360"/>
              </w:tabs>
              <w:ind w:left="360"/>
              <w:rPr>
                <w:rFonts w:cs="Arial"/>
                <w:sz w:val="20"/>
              </w:rPr>
            </w:pPr>
            <w:r w:rsidRPr="00356C80">
              <w:rPr>
                <w:rFonts w:cs="Arial"/>
                <w:sz w:val="20"/>
              </w:rPr>
              <w:t xml:space="preserve">Themes or issues emerging from a review of course evaluation summaries </w:t>
            </w:r>
            <w:r w:rsidR="007A1BBC">
              <w:rPr>
                <w:rFonts w:cs="Arial"/>
                <w:sz w:val="20"/>
              </w:rPr>
              <w:t>(Chair/Dean response here)</w:t>
            </w:r>
          </w:p>
          <w:p w:rsidR="00EA4DDF" w:rsidRPr="00356C80" w:rsidRDefault="00EA4DDF" w:rsidP="00AB5A30">
            <w:pPr>
              <w:rPr>
                <w:sz w:val="20"/>
                <w:lang w:val="en-CA"/>
              </w:rPr>
            </w:pPr>
          </w:p>
        </w:tc>
        <w:tc>
          <w:tcPr>
            <w:tcW w:w="6379" w:type="dxa"/>
            <w:gridSpan w:val="2"/>
            <w:tcMar>
              <w:top w:w="113" w:type="dxa"/>
              <w:bottom w:w="113" w:type="dxa"/>
            </w:tcMar>
          </w:tcPr>
          <w:p w:rsidR="005351BB" w:rsidRPr="005351BB" w:rsidRDefault="005351BB" w:rsidP="001F343D">
            <w:pPr>
              <w:jc w:val="both"/>
              <w:rPr>
                <w:rFonts w:cs="Arial"/>
                <w:sz w:val="20"/>
              </w:rPr>
            </w:pPr>
            <w:r>
              <w:rPr>
                <w:rFonts w:cs="Arial"/>
                <w:sz w:val="20"/>
              </w:rPr>
              <w:t>The KPIs for the GHS</w:t>
            </w:r>
            <w:r w:rsidRPr="005351BB">
              <w:rPr>
                <w:rFonts w:cs="Arial"/>
                <w:sz w:val="20"/>
              </w:rPr>
              <w:t xml:space="preserve"> program have been on </w:t>
            </w:r>
            <w:r>
              <w:rPr>
                <w:rFonts w:cs="Arial"/>
                <w:sz w:val="20"/>
              </w:rPr>
              <w:t>a</w:t>
            </w:r>
            <w:r w:rsidRPr="005351BB">
              <w:rPr>
                <w:rFonts w:cs="Arial"/>
                <w:sz w:val="20"/>
              </w:rPr>
              <w:t xml:space="preserve"> steady decline </w:t>
            </w:r>
            <w:r>
              <w:rPr>
                <w:rFonts w:cs="Arial"/>
                <w:sz w:val="20"/>
              </w:rPr>
              <w:t>over the last few years</w:t>
            </w:r>
            <w:r w:rsidR="00007700">
              <w:rPr>
                <w:rFonts w:cs="Arial"/>
                <w:sz w:val="20"/>
              </w:rPr>
              <w:t xml:space="preserve"> and are reported below for some key questions on the survey</w:t>
            </w:r>
            <w:r>
              <w:rPr>
                <w:rFonts w:cs="Arial"/>
                <w:sz w:val="20"/>
              </w:rPr>
              <w:t>.</w:t>
            </w:r>
          </w:p>
          <w:p w:rsidR="005351BB" w:rsidRPr="0004724F" w:rsidRDefault="005351BB" w:rsidP="001F343D">
            <w:pPr>
              <w:jc w:val="both"/>
              <w:rPr>
                <w:rFonts w:cs="Arial"/>
                <w:i/>
                <w:sz w:val="20"/>
              </w:rPr>
            </w:pPr>
          </w:p>
          <w:p w:rsidR="00C02285" w:rsidRPr="005351BB" w:rsidRDefault="005351BB" w:rsidP="001F343D">
            <w:pPr>
              <w:jc w:val="both"/>
              <w:rPr>
                <w:rFonts w:cs="Arial"/>
                <w:sz w:val="20"/>
              </w:rPr>
            </w:pPr>
            <w:r w:rsidRPr="005351BB">
              <w:rPr>
                <w:rFonts w:cs="Arial"/>
                <w:sz w:val="20"/>
              </w:rPr>
              <w:t xml:space="preserve">All responses were found to be below the provincial results </w:t>
            </w:r>
            <w:r w:rsidR="00274D86">
              <w:rPr>
                <w:rFonts w:cs="Arial"/>
                <w:sz w:val="20"/>
              </w:rPr>
              <w:t xml:space="preserve">(indicated in parentheses in the table below) </w:t>
            </w:r>
            <w:r w:rsidRPr="005351BB">
              <w:rPr>
                <w:rFonts w:cs="Arial"/>
                <w:sz w:val="20"/>
              </w:rPr>
              <w:t>for similar programs</w:t>
            </w:r>
            <w:r w:rsidR="00274D86">
              <w:rPr>
                <w:rFonts w:cs="Arial"/>
                <w:sz w:val="20"/>
              </w:rPr>
              <w:t xml:space="preserve"> with the MTCU code of 44700</w:t>
            </w:r>
            <w:r w:rsidR="00007700">
              <w:rPr>
                <w:rFonts w:cs="Arial"/>
                <w:sz w:val="20"/>
              </w:rPr>
              <w:t xml:space="preserve"> with the exception of question 9</w:t>
            </w:r>
            <w:r w:rsidRPr="005351BB">
              <w:rPr>
                <w:rFonts w:cs="Arial"/>
                <w:sz w:val="20"/>
              </w:rPr>
              <w:t>.</w:t>
            </w:r>
            <w:r w:rsidR="00C02285">
              <w:rPr>
                <w:rFonts w:cs="Arial"/>
                <w:sz w:val="20"/>
              </w:rPr>
              <w:t xml:space="preserve">  Unfortunately, specific KPI information for comparable GHS programs at other colleges is not available under this larger code.</w:t>
            </w:r>
          </w:p>
          <w:p w:rsidR="005351BB" w:rsidRDefault="005351BB" w:rsidP="002B3973">
            <w:pPr>
              <w:rPr>
                <w:rFonts w:cs="Arial"/>
                <w:sz w:val="20"/>
              </w:rPr>
            </w:pPr>
          </w:p>
          <w:tbl>
            <w:tblPr>
              <w:tblStyle w:val="TableGrid"/>
              <w:tblW w:w="0" w:type="auto"/>
              <w:tblLayout w:type="fixed"/>
              <w:tblLook w:val="04A0" w:firstRow="1" w:lastRow="0" w:firstColumn="1" w:lastColumn="0" w:noHBand="0" w:noVBand="1"/>
            </w:tblPr>
            <w:tblGrid>
              <w:gridCol w:w="3356"/>
              <w:gridCol w:w="1440"/>
              <w:gridCol w:w="1352"/>
            </w:tblGrid>
            <w:tr w:rsidR="005351BB" w:rsidTr="005351BB">
              <w:tc>
                <w:tcPr>
                  <w:tcW w:w="3356" w:type="dxa"/>
                </w:tcPr>
                <w:p w:rsidR="005351BB" w:rsidRPr="005351BB" w:rsidRDefault="005351BB" w:rsidP="002B3973">
                  <w:pPr>
                    <w:rPr>
                      <w:rFonts w:cs="Arial"/>
                      <w:b/>
                    </w:rPr>
                  </w:pPr>
                  <w:r w:rsidRPr="005351BB">
                    <w:rPr>
                      <w:rFonts w:cs="Arial"/>
                      <w:b/>
                    </w:rPr>
                    <w:t>KPI Question</w:t>
                  </w:r>
                </w:p>
              </w:tc>
              <w:tc>
                <w:tcPr>
                  <w:tcW w:w="1440" w:type="dxa"/>
                </w:tcPr>
                <w:p w:rsidR="005351BB" w:rsidRPr="005351BB" w:rsidRDefault="005351BB" w:rsidP="002B3973">
                  <w:pPr>
                    <w:rPr>
                      <w:rFonts w:cs="Arial"/>
                      <w:b/>
                    </w:rPr>
                  </w:pPr>
                  <w:r w:rsidRPr="005351BB">
                    <w:rPr>
                      <w:rFonts w:cs="Arial"/>
                      <w:b/>
                    </w:rPr>
                    <w:t>2010-2011</w:t>
                  </w:r>
                </w:p>
              </w:tc>
              <w:tc>
                <w:tcPr>
                  <w:tcW w:w="1352" w:type="dxa"/>
                </w:tcPr>
                <w:p w:rsidR="005351BB" w:rsidRPr="005351BB" w:rsidRDefault="005351BB" w:rsidP="002B3973">
                  <w:pPr>
                    <w:rPr>
                      <w:rFonts w:cs="Arial"/>
                      <w:b/>
                    </w:rPr>
                  </w:pPr>
                  <w:r w:rsidRPr="005351BB">
                    <w:rPr>
                      <w:rFonts w:cs="Arial"/>
                      <w:b/>
                    </w:rPr>
                    <w:t>2011-2012</w:t>
                  </w:r>
                </w:p>
              </w:tc>
            </w:tr>
            <w:tr w:rsidR="005351BB" w:rsidTr="005351BB">
              <w:tc>
                <w:tcPr>
                  <w:tcW w:w="3356" w:type="dxa"/>
                </w:tcPr>
                <w:p w:rsidR="005351BB" w:rsidRDefault="005351BB" w:rsidP="002B3973">
                  <w:pPr>
                    <w:rPr>
                      <w:rFonts w:cs="Arial"/>
                    </w:rPr>
                  </w:pPr>
                  <w:r>
                    <w:rPr>
                      <w:rFonts w:cs="Arial"/>
                    </w:rPr>
                    <w:t>Q4. Includes topics relevant to your future success</w:t>
                  </w:r>
                </w:p>
              </w:tc>
              <w:tc>
                <w:tcPr>
                  <w:tcW w:w="1440" w:type="dxa"/>
                </w:tcPr>
                <w:p w:rsidR="005351BB" w:rsidRDefault="005351BB" w:rsidP="002B3973">
                  <w:pPr>
                    <w:rPr>
                      <w:rFonts w:cs="Arial"/>
                    </w:rPr>
                  </w:pPr>
                  <w:r>
                    <w:rPr>
                      <w:rFonts w:cs="Arial"/>
                    </w:rPr>
                    <w:t>73.2</w:t>
                  </w:r>
                </w:p>
                <w:p w:rsidR="005B6016" w:rsidRDefault="005B6016" w:rsidP="002B3973">
                  <w:pPr>
                    <w:rPr>
                      <w:rFonts w:cs="Arial"/>
                    </w:rPr>
                  </w:pPr>
                  <w:r>
                    <w:rPr>
                      <w:rFonts w:cs="Arial"/>
                    </w:rPr>
                    <w:t xml:space="preserve">(75.0) </w:t>
                  </w:r>
                </w:p>
                <w:p w:rsidR="005B6016" w:rsidRDefault="005B6016" w:rsidP="002B3973">
                  <w:pPr>
                    <w:rPr>
                      <w:rFonts w:cs="Arial"/>
                    </w:rPr>
                  </w:pPr>
                  <w:r>
                    <w:rPr>
                      <w:rFonts w:cs="Arial"/>
                    </w:rPr>
                    <w:t>Gap -1.8</w:t>
                  </w:r>
                </w:p>
              </w:tc>
              <w:tc>
                <w:tcPr>
                  <w:tcW w:w="1352" w:type="dxa"/>
                </w:tcPr>
                <w:p w:rsidR="005351BB" w:rsidRDefault="005351BB" w:rsidP="002B3973">
                  <w:pPr>
                    <w:rPr>
                      <w:rFonts w:cs="Arial"/>
                    </w:rPr>
                  </w:pPr>
                  <w:r>
                    <w:rPr>
                      <w:rFonts w:cs="Arial"/>
                    </w:rPr>
                    <w:t>72.0</w:t>
                  </w:r>
                </w:p>
                <w:p w:rsidR="00C02285" w:rsidRDefault="00C02285" w:rsidP="002B3973">
                  <w:pPr>
                    <w:rPr>
                      <w:rFonts w:cs="Arial"/>
                    </w:rPr>
                  </w:pPr>
                  <w:r>
                    <w:rPr>
                      <w:rFonts w:cs="Arial"/>
                    </w:rPr>
                    <w:t>(74.0)</w:t>
                  </w:r>
                </w:p>
                <w:p w:rsidR="00C02285" w:rsidRDefault="00C02285" w:rsidP="002B3973">
                  <w:pPr>
                    <w:rPr>
                      <w:rFonts w:cs="Arial"/>
                    </w:rPr>
                  </w:pPr>
                  <w:r>
                    <w:rPr>
                      <w:rFonts w:cs="Arial"/>
                    </w:rPr>
                    <w:t>Gap -2.4</w:t>
                  </w:r>
                </w:p>
              </w:tc>
            </w:tr>
            <w:tr w:rsidR="005351BB" w:rsidTr="005351BB">
              <w:tc>
                <w:tcPr>
                  <w:tcW w:w="3356" w:type="dxa"/>
                </w:tcPr>
                <w:p w:rsidR="005351BB" w:rsidRDefault="005351BB" w:rsidP="002B3973">
                  <w:pPr>
                    <w:rPr>
                      <w:rFonts w:cs="Arial"/>
                    </w:rPr>
                  </w:pPr>
                  <w:r>
                    <w:rPr>
                      <w:rFonts w:cs="Arial"/>
                    </w:rPr>
                    <w:t>Q8. Develops your ability to solve problems using math</w:t>
                  </w:r>
                </w:p>
              </w:tc>
              <w:tc>
                <w:tcPr>
                  <w:tcW w:w="1440" w:type="dxa"/>
                </w:tcPr>
                <w:p w:rsidR="005351BB" w:rsidRDefault="005351BB" w:rsidP="002B3973">
                  <w:pPr>
                    <w:rPr>
                      <w:rFonts w:cs="Arial"/>
                    </w:rPr>
                  </w:pPr>
                  <w:r>
                    <w:rPr>
                      <w:rFonts w:cs="Arial"/>
                    </w:rPr>
                    <w:t>57.5</w:t>
                  </w:r>
                </w:p>
                <w:p w:rsidR="005B6016" w:rsidRDefault="005B6016" w:rsidP="002B3973">
                  <w:pPr>
                    <w:rPr>
                      <w:rFonts w:cs="Arial"/>
                    </w:rPr>
                  </w:pPr>
                  <w:r>
                    <w:rPr>
                      <w:rFonts w:cs="Arial"/>
                    </w:rPr>
                    <w:t>(60.0)</w:t>
                  </w:r>
                </w:p>
                <w:p w:rsidR="005B6016" w:rsidRDefault="005B6016" w:rsidP="002B3973">
                  <w:pPr>
                    <w:rPr>
                      <w:rFonts w:cs="Arial"/>
                    </w:rPr>
                  </w:pPr>
                  <w:r>
                    <w:rPr>
                      <w:rFonts w:cs="Arial"/>
                    </w:rPr>
                    <w:t>Gap -2.5</w:t>
                  </w:r>
                </w:p>
              </w:tc>
              <w:tc>
                <w:tcPr>
                  <w:tcW w:w="1352" w:type="dxa"/>
                </w:tcPr>
                <w:p w:rsidR="005351BB" w:rsidRDefault="005351BB" w:rsidP="002B3973">
                  <w:pPr>
                    <w:rPr>
                      <w:rFonts w:cs="Arial"/>
                    </w:rPr>
                  </w:pPr>
                  <w:r>
                    <w:rPr>
                      <w:rFonts w:cs="Arial"/>
                    </w:rPr>
                    <w:t>54.0</w:t>
                  </w:r>
                </w:p>
                <w:p w:rsidR="00C02285" w:rsidRDefault="00C02285" w:rsidP="002B3973">
                  <w:pPr>
                    <w:rPr>
                      <w:rFonts w:cs="Arial"/>
                    </w:rPr>
                  </w:pPr>
                  <w:r>
                    <w:rPr>
                      <w:rFonts w:cs="Arial"/>
                    </w:rPr>
                    <w:t>(59.5)</w:t>
                  </w:r>
                </w:p>
                <w:p w:rsidR="00C02285" w:rsidRDefault="00C02285" w:rsidP="002B3973">
                  <w:pPr>
                    <w:rPr>
                      <w:rFonts w:cs="Arial"/>
                    </w:rPr>
                  </w:pPr>
                  <w:r>
                    <w:rPr>
                      <w:rFonts w:cs="Arial"/>
                    </w:rPr>
                    <w:t>Gap -5.5</w:t>
                  </w:r>
                </w:p>
              </w:tc>
            </w:tr>
            <w:tr w:rsidR="005351BB" w:rsidTr="005351BB">
              <w:tc>
                <w:tcPr>
                  <w:tcW w:w="3356" w:type="dxa"/>
                </w:tcPr>
                <w:p w:rsidR="005351BB" w:rsidRDefault="005351BB" w:rsidP="002B3973">
                  <w:pPr>
                    <w:rPr>
                      <w:rFonts w:cs="Arial"/>
                    </w:rPr>
                  </w:pPr>
                  <w:r>
                    <w:rPr>
                      <w:rFonts w:cs="Arial"/>
                    </w:rPr>
                    <w:t>Q9. Develops your ability to work with others</w:t>
                  </w:r>
                </w:p>
              </w:tc>
              <w:tc>
                <w:tcPr>
                  <w:tcW w:w="1440" w:type="dxa"/>
                </w:tcPr>
                <w:p w:rsidR="005351BB" w:rsidRDefault="005351BB" w:rsidP="002B3973">
                  <w:pPr>
                    <w:rPr>
                      <w:rFonts w:cs="Arial"/>
                    </w:rPr>
                  </w:pPr>
                  <w:r>
                    <w:rPr>
                      <w:rFonts w:cs="Arial"/>
                    </w:rPr>
                    <w:t>72.5</w:t>
                  </w:r>
                </w:p>
                <w:p w:rsidR="005B6016" w:rsidRDefault="005B6016" w:rsidP="002B3973">
                  <w:pPr>
                    <w:rPr>
                      <w:rFonts w:cs="Arial"/>
                    </w:rPr>
                  </w:pPr>
                  <w:r>
                    <w:rPr>
                      <w:rFonts w:cs="Arial"/>
                    </w:rPr>
                    <w:t>(71.7)</w:t>
                  </w:r>
                </w:p>
                <w:p w:rsidR="005B6016" w:rsidRDefault="005B6016" w:rsidP="002B3973">
                  <w:pPr>
                    <w:rPr>
                      <w:rFonts w:cs="Arial"/>
                    </w:rPr>
                  </w:pPr>
                  <w:r>
                    <w:rPr>
                      <w:rFonts w:cs="Arial"/>
                    </w:rPr>
                    <w:t>Gap +0.8</w:t>
                  </w:r>
                </w:p>
              </w:tc>
              <w:tc>
                <w:tcPr>
                  <w:tcW w:w="1352" w:type="dxa"/>
                </w:tcPr>
                <w:p w:rsidR="005351BB" w:rsidRDefault="005351BB" w:rsidP="002B3973">
                  <w:pPr>
                    <w:rPr>
                      <w:rFonts w:cs="Arial"/>
                    </w:rPr>
                  </w:pPr>
                  <w:r>
                    <w:rPr>
                      <w:rFonts w:cs="Arial"/>
                    </w:rPr>
                    <w:t>79.0</w:t>
                  </w:r>
                </w:p>
                <w:p w:rsidR="00C02285" w:rsidRDefault="00C02285" w:rsidP="002B3973">
                  <w:pPr>
                    <w:rPr>
                      <w:rFonts w:cs="Arial"/>
                    </w:rPr>
                  </w:pPr>
                  <w:r>
                    <w:rPr>
                      <w:rFonts w:cs="Arial"/>
                    </w:rPr>
                    <w:t>(72.1)</w:t>
                  </w:r>
                </w:p>
                <w:p w:rsidR="00C02285" w:rsidRDefault="00C02285" w:rsidP="002B3973">
                  <w:pPr>
                    <w:rPr>
                      <w:rFonts w:cs="Arial"/>
                    </w:rPr>
                  </w:pPr>
                  <w:r>
                    <w:rPr>
                      <w:rFonts w:cs="Arial"/>
                    </w:rPr>
                    <w:t>Gap +7.1</w:t>
                  </w:r>
                </w:p>
              </w:tc>
            </w:tr>
            <w:tr w:rsidR="005351BB" w:rsidTr="005351BB">
              <w:tc>
                <w:tcPr>
                  <w:tcW w:w="3356" w:type="dxa"/>
                </w:tcPr>
                <w:p w:rsidR="005351BB" w:rsidRDefault="005351BB" w:rsidP="002B3973">
                  <w:pPr>
                    <w:rPr>
                      <w:rFonts w:cs="Arial"/>
                    </w:rPr>
                  </w:pPr>
                  <w:r>
                    <w:rPr>
                      <w:rFonts w:cs="Arial"/>
                    </w:rPr>
                    <w:t>Q11. Develops your computer skills</w:t>
                  </w:r>
                </w:p>
              </w:tc>
              <w:tc>
                <w:tcPr>
                  <w:tcW w:w="1440" w:type="dxa"/>
                </w:tcPr>
                <w:p w:rsidR="005351BB" w:rsidRDefault="005351BB" w:rsidP="002B3973">
                  <w:pPr>
                    <w:rPr>
                      <w:rFonts w:cs="Arial"/>
                    </w:rPr>
                  </w:pPr>
                  <w:r>
                    <w:rPr>
                      <w:rFonts w:cs="Arial"/>
                    </w:rPr>
                    <w:t>27.0</w:t>
                  </w:r>
                </w:p>
                <w:p w:rsidR="005B6016" w:rsidRDefault="005B6016" w:rsidP="002B3973">
                  <w:pPr>
                    <w:rPr>
                      <w:rFonts w:cs="Arial"/>
                    </w:rPr>
                  </w:pPr>
                  <w:r>
                    <w:rPr>
                      <w:rFonts w:cs="Arial"/>
                    </w:rPr>
                    <w:t>(56.1)</w:t>
                  </w:r>
                </w:p>
                <w:p w:rsidR="005B6016" w:rsidRDefault="005B6016" w:rsidP="002B3973">
                  <w:pPr>
                    <w:rPr>
                      <w:rFonts w:cs="Arial"/>
                    </w:rPr>
                  </w:pPr>
                  <w:r>
                    <w:rPr>
                      <w:rFonts w:cs="Arial"/>
                    </w:rPr>
                    <w:t>Gap -29.1</w:t>
                  </w:r>
                </w:p>
              </w:tc>
              <w:tc>
                <w:tcPr>
                  <w:tcW w:w="1352" w:type="dxa"/>
                </w:tcPr>
                <w:p w:rsidR="005351BB" w:rsidRDefault="005351BB" w:rsidP="002B3973">
                  <w:pPr>
                    <w:rPr>
                      <w:rFonts w:cs="Arial"/>
                    </w:rPr>
                  </w:pPr>
                  <w:r>
                    <w:rPr>
                      <w:rFonts w:cs="Arial"/>
                    </w:rPr>
                    <w:t>26.0</w:t>
                  </w:r>
                </w:p>
                <w:p w:rsidR="00C02285" w:rsidRDefault="00C02285" w:rsidP="002B3973">
                  <w:pPr>
                    <w:rPr>
                      <w:rFonts w:cs="Arial"/>
                    </w:rPr>
                  </w:pPr>
                  <w:r>
                    <w:rPr>
                      <w:rFonts w:cs="Arial"/>
                    </w:rPr>
                    <w:t>(46.0)</w:t>
                  </w:r>
                </w:p>
                <w:p w:rsidR="00C02285" w:rsidRDefault="00C02285" w:rsidP="002B3973">
                  <w:pPr>
                    <w:rPr>
                      <w:rFonts w:cs="Arial"/>
                    </w:rPr>
                  </w:pPr>
                  <w:r>
                    <w:rPr>
                      <w:rFonts w:cs="Arial"/>
                    </w:rPr>
                    <w:t>Gap -20.0</w:t>
                  </w:r>
                </w:p>
              </w:tc>
            </w:tr>
          </w:tbl>
          <w:p w:rsidR="005351BB" w:rsidRDefault="005351BB" w:rsidP="002B3973">
            <w:pPr>
              <w:rPr>
                <w:rFonts w:cs="Arial"/>
                <w:sz w:val="20"/>
              </w:rPr>
            </w:pPr>
          </w:p>
          <w:p w:rsidR="00A238D4" w:rsidRDefault="00007700" w:rsidP="001F343D">
            <w:pPr>
              <w:jc w:val="both"/>
              <w:rPr>
                <w:rFonts w:cs="Arial"/>
                <w:sz w:val="20"/>
              </w:rPr>
            </w:pPr>
            <w:r>
              <w:rPr>
                <w:rFonts w:cs="Arial"/>
                <w:sz w:val="20"/>
              </w:rPr>
              <w:t>It is anticipated that KPIs for 2012-13 will show improvements as a result of the integrated approach to curriculum and learning topics that is being implemented this current academic year.</w:t>
            </w:r>
          </w:p>
          <w:p w:rsidR="00A238D4" w:rsidRDefault="00A238D4" w:rsidP="001F343D">
            <w:pPr>
              <w:jc w:val="both"/>
              <w:rPr>
                <w:rFonts w:cs="Arial"/>
                <w:sz w:val="20"/>
              </w:rPr>
            </w:pPr>
          </w:p>
          <w:p w:rsidR="00007700" w:rsidRPr="00D94683" w:rsidRDefault="00D94683" w:rsidP="001F343D">
            <w:pPr>
              <w:jc w:val="both"/>
              <w:rPr>
                <w:rFonts w:cs="Arial"/>
                <w:b/>
                <w:sz w:val="20"/>
              </w:rPr>
            </w:pPr>
            <w:r w:rsidRPr="00D94683">
              <w:rPr>
                <w:rFonts w:cs="Arial"/>
                <w:b/>
                <w:sz w:val="20"/>
              </w:rPr>
              <w:t>See Appendix H</w:t>
            </w:r>
            <w:r w:rsidR="00CE338B">
              <w:rPr>
                <w:rFonts w:cs="Arial"/>
                <w:b/>
                <w:sz w:val="20"/>
              </w:rPr>
              <w:t xml:space="preserve">: Complete </w:t>
            </w:r>
            <w:r w:rsidR="003877F9">
              <w:rPr>
                <w:rFonts w:cs="Arial"/>
                <w:b/>
                <w:sz w:val="20"/>
              </w:rPr>
              <w:t xml:space="preserve">GHS </w:t>
            </w:r>
            <w:r w:rsidR="00CE338B">
              <w:rPr>
                <w:rFonts w:cs="Arial"/>
                <w:b/>
                <w:sz w:val="20"/>
              </w:rPr>
              <w:t>KPI Results 2010-2011</w:t>
            </w:r>
          </w:p>
          <w:p w:rsidR="00A238D4" w:rsidRDefault="00A238D4" w:rsidP="001F343D">
            <w:pPr>
              <w:jc w:val="both"/>
              <w:rPr>
                <w:rFonts w:cs="Arial"/>
                <w:sz w:val="20"/>
              </w:rPr>
            </w:pPr>
          </w:p>
          <w:p w:rsidR="005351BB" w:rsidRDefault="005351BB" w:rsidP="001F343D">
            <w:pPr>
              <w:jc w:val="both"/>
              <w:rPr>
                <w:rFonts w:cs="Arial"/>
                <w:sz w:val="20"/>
              </w:rPr>
            </w:pPr>
            <w:r>
              <w:rPr>
                <w:rFonts w:cs="Arial"/>
                <w:sz w:val="20"/>
              </w:rPr>
              <w:t xml:space="preserve">KPI scores have been in the bottom quartile specifically around the two main capstone questions (Q14 &amp; Q26).  </w:t>
            </w:r>
            <w:r w:rsidR="00A238D4">
              <w:rPr>
                <w:rFonts w:cs="Arial"/>
                <w:sz w:val="20"/>
              </w:rPr>
              <w:t>However, t</w:t>
            </w:r>
            <w:r>
              <w:rPr>
                <w:rFonts w:cs="Arial"/>
                <w:sz w:val="20"/>
              </w:rPr>
              <w:t>he mo</w:t>
            </w:r>
            <w:r w:rsidR="00D94683">
              <w:rPr>
                <w:rFonts w:cs="Arial"/>
                <w:sz w:val="20"/>
              </w:rPr>
              <w:t>st recent KPI findings suggest some improvement</w:t>
            </w:r>
            <w:r>
              <w:rPr>
                <w:rFonts w:cs="Arial"/>
                <w:sz w:val="20"/>
              </w:rPr>
              <w:t xml:space="preserve"> </w:t>
            </w:r>
            <w:r w:rsidR="00A238D4">
              <w:rPr>
                <w:rFonts w:cs="Arial"/>
                <w:sz w:val="20"/>
              </w:rPr>
              <w:t>in the last two years.</w:t>
            </w:r>
          </w:p>
          <w:p w:rsidR="005351BB" w:rsidRDefault="005351BB" w:rsidP="002B3973">
            <w:pPr>
              <w:rPr>
                <w:rFonts w:cs="Arial"/>
                <w:sz w:val="20"/>
              </w:rPr>
            </w:pPr>
          </w:p>
          <w:tbl>
            <w:tblPr>
              <w:tblStyle w:val="TableGrid"/>
              <w:tblW w:w="0" w:type="auto"/>
              <w:tblLayout w:type="fixed"/>
              <w:tblLook w:val="04A0" w:firstRow="1" w:lastRow="0" w:firstColumn="1" w:lastColumn="0" w:noHBand="0" w:noVBand="1"/>
            </w:tblPr>
            <w:tblGrid>
              <w:gridCol w:w="1016"/>
              <w:gridCol w:w="740"/>
              <w:gridCol w:w="878"/>
              <w:gridCol w:w="878"/>
              <w:gridCol w:w="878"/>
              <w:gridCol w:w="879"/>
              <w:gridCol w:w="879"/>
            </w:tblGrid>
            <w:tr w:rsidR="005351BB" w:rsidTr="005B6016">
              <w:tc>
                <w:tcPr>
                  <w:tcW w:w="1016" w:type="dxa"/>
                </w:tcPr>
                <w:p w:rsidR="005351BB" w:rsidRDefault="005351BB" w:rsidP="002B3973">
                  <w:pPr>
                    <w:rPr>
                      <w:rFonts w:cs="Arial"/>
                    </w:rPr>
                  </w:pPr>
                </w:p>
              </w:tc>
              <w:tc>
                <w:tcPr>
                  <w:tcW w:w="740" w:type="dxa"/>
                </w:tcPr>
                <w:p w:rsidR="005351BB" w:rsidRPr="005351BB" w:rsidRDefault="005351BB" w:rsidP="002B3973">
                  <w:pPr>
                    <w:rPr>
                      <w:rFonts w:cs="Arial"/>
                      <w:b/>
                    </w:rPr>
                  </w:pPr>
                  <w:r w:rsidRPr="005351BB">
                    <w:rPr>
                      <w:rFonts w:cs="Arial"/>
                      <w:b/>
                    </w:rPr>
                    <w:t>2006</w:t>
                  </w:r>
                </w:p>
              </w:tc>
              <w:tc>
                <w:tcPr>
                  <w:tcW w:w="878" w:type="dxa"/>
                </w:tcPr>
                <w:p w:rsidR="005351BB" w:rsidRPr="005351BB" w:rsidRDefault="005351BB" w:rsidP="002B3973">
                  <w:pPr>
                    <w:rPr>
                      <w:rFonts w:cs="Arial"/>
                      <w:b/>
                    </w:rPr>
                  </w:pPr>
                  <w:r w:rsidRPr="005351BB">
                    <w:rPr>
                      <w:rFonts w:cs="Arial"/>
                      <w:b/>
                    </w:rPr>
                    <w:t>2007</w:t>
                  </w:r>
                </w:p>
              </w:tc>
              <w:tc>
                <w:tcPr>
                  <w:tcW w:w="878" w:type="dxa"/>
                </w:tcPr>
                <w:p w:rsidR="005351BB" w:rsidRPr="005351BB" w:rsidRDefault="005351BB" w:rsidP="002B3973">
                  <w:pPr>
                    <w:rPr>
                      <w:rFonts w:cs="Arial"/>
                      <w:b/>
                    </w:rPr>
                  </w:pPr>
                  <w:r w:rsidRPr="005351BB">
                    <w:rPr>
                      <w:rFonts w:cs="Arial"/>
                      <w:b/>
                    </w:rPr>
                    <w:t>2008</w:t>
                  </w:r>
                </w:p>
              </w:tc>
              <w:tc>
                <w:tcPr>
                  <w:tcW w:w="878" w:type="dxa"/>
                </w:tcPr>
                <w:p w:rsidR="005351BB" w:rsidRPr="005351BB" w:rsidRDefault="005351BB" w:rsidP="002B3973">
                  <w:pPr>
                    <w:rPr>
                      <w:rFonts w:cs="Arial"/>
                      <w:b/>
                    </w:rPr>
                  </w:pPr>
                  <w:r w:rsidRPr="005351BB">
                    <w:rPr>
                      <w:rFonts w:cs="Arial"/>
                      <w:b/>
                    </w:rPr>
                    <w:t>2009</w:t>
                  </w:r>
                </w:p>
              </w:tc>
              <w:tc>
                <w:tcPr>
                  <w:tcW w:w="879" w:type="dxa"/>
                </w:tcPr>
                <w:p w:rsidR="005351BB" w:rsidRPr="005351BB" w:rsidRDefault="005351BB" w:rsidP="002B3973">
                  <w:pPr>
                    <w:rPr>
                      <w:rFonts w:cs="Arial"/>
                      <w:b/>
                    </w:rPr>
                  </w:pPr>
                  <w:r w:rsidRPr="005351BB">
                    <w:rPr>
                      <w:rFonts w:cs="Arial"/>
                      <w:b/>
                    </w:rPr>
                    <w:t>2010</w:t>
                  </w:r>
                </w:p>
              </w:tc>
              <w:tc>
                <w:tcPr>
                  <w:tcW w:w="879" w:type="dxa"/>
                </w:tcPr>
                <w:p w:rsidR="005351BB" w:rsidRPr="005351BB" w:rsidRDefault="005351BB" w:rsidP="002B3973">
                  <w:pPr>
                    <w:rPr>
                      <w:rFonts w:cs="Arial"/>
                      <w:b/>
                    </w:rPr>
                  </w:pPr>
                  <w:r w:rsidRPr="005351BB">
                    <w:rPr>
                      <w:rFonts w:cs="Arial"/>
                      <w:b/>
                    </w:rPr>
                    <w:t>2011</w:t>
                  </w:r>
                </w:p>
              </w:tc>
            </w:tr>
            <w:tr w:rsidR="005351BB" w:rsidTr="005B6016">
              <w:tc>
                <w:tcPr>
                  <w:tcW w:w="1016" w:type="dxa"/>
                </w:tcPr>
                <w:p w:rsidR="005351BB" w:rsidRDefault="00D57384" w:rsidP="002B3973">
                  <w:pPr>
                    <w:rPr>
                      <w:rFonts w:cs="Arial"/>
                    </w:rPr>
                  </w:pPr>
                  <w:r>
                    <w:rPr>
                      <w:rFonts w:cs="Arial"/>
                    </w:rPr>
                    <w:t>Q14</w:t>
                  </w:r>
                </w:p>
              </w:tc>
              <w:tc>
                <w:tcPr>
                  <w:tcW w:w="740" w:type="dxa"/>
                </w:tcPr>
                <w:p w:rsidR="005351BB" w:rsidRDefault="005351BB" w:rsidP="002B3973">
                  <w:pPr>
                    <w:rPr>
                      <w:rFonts w:cs="Arial"/>
                    </w:rPr>
                  </w:pPr>
                  <w:r>
                    <w:rPr>
                      <w:rFonts w:cs="Arial"/>
                    </w:rPr>
                    <w:t>58.1</w:t>
                  </w:r>
                </w:p>
              </w:tc>
              <w:tc>
                <w:tcPr>
                  <w:tcW w:w="878" w:type="dxa"/>
                </w:tcPr>
                <w:p w:rsidR="005351BB" w:rsidRDefault="00542A9C" w:rsidP="002B3973">
                  <w:pPr>
                    <w:rPr>
                      <w:rFonts w:cs="Arial"/>
                    </w:rPr>
                  </w:pPr>
                  <w:r>
                    <w:rPr>
                      <w:rFonts w:cs="Arial"/>
                    </w:rPr>
                    <w:t>65.4</w:t>
                  </w:r>
                </w:p>
              </w:tc>
              <w:tc>
                <w:tcPr>
                  <w:tcW w:w="878" w:type="dxa"/>
                </w:tcPr>
                <w:p w:rsidR="005351BB" w:rsidRDefault="00542A9C" w:rsidP="002B3973">
                  <w:pPr>
                    <w:rPr>
                      <w:rFonts w:cs="Arial"/>
                    </w:rPr>
                  </w:pPr>
                  <w:r>
                    <w:rPr>
                      <w:rFonts w:cs="Arial"/>
                    </w:rPr>
                    <w:t>81.6</w:t>
                  </w:r>
                </w:p>
              </w:tc>
              <w:tc>
                <w:tcPr>
                  <w:tcW w:w="878" w:type="dxa"/>
                </w:tcPr>
                <w:p w:rsidR="005351BB" w:rsidRDefault="00542A9C" w:rsidP="002B3973">
                  <w:pPr>
                    <w:rPr>
                      <w:rFonts w:cs="Arial"/>
                    </w:rPr>
                  </w:pPr>
                  <w:r>
                    <w:rPr>
                      <w:rFonts w:cs="Arial"/>
                    </w:rPr>
                    <w:t>75.0</w:t>
                  </w:r>
                </w:p>
              </w:tc>
              <w:tc>
                <w:tcPr>
                  <w:tcW w:w="879" w:type="dxa"/>
                </w:tcPr>
                <w:p w:rsidR="005351BB" w:rsidRDefault="00A238D4" w:rsidP="002B3973">
                  <w:pPr>
                    <w:rPr>
                      <w:rFonts w:cs="Arial"/>
                    </w:rPr>
                  </w:pPr>
                  <w:r>
                    <w:rPr>
                      <w:rFonts w:cs="Arial"/>
                    </w:rPr>
                    <w:t>63.9</w:t>
                  </w:r>
                </w:p>
              </w:tc>
              <w:tc>
                <w:tcPr>
                  <w:tcW w:w="879" w:type="dxa"/>
                </w:tcPr>
                <w:p w:rsidR="005351BB" w:rsidRDefault="005351BB" w:rsidP="002B3973">
                  <w:pPr>
                    <w:rPr>
                      <w:rFonts w:cs="Arial"/>
                    </w:rPr>
                  </w:pPr>
                  <w:r>
                    <w:rPr>
                      <w:rFonts w:cs="Arial"/>
                    </w:rPr>
                    <w:t>72.0</w:t>
                  </w:r>
                </w:p>
              </w:tc>
            </w:tr>
            <w:tr w:rsidR="005B6016" w:rsidTr="005B6016">
              <w:tc>
                <w:tcPr>
                  <w:tcW w:w="1016" w:type="dxa"/>
                </w:tcPr>
                <w:p w:rsidR="005B6016" w:rsidRDefault="005B6016" w:rsidP="002B3973">
                  <w:pPr>
                    <w:rPr>
                      <w:rFonts w:cs="Arial"/>
                    </w:rPr>
                  </w:pPr>
                  <w:r>
                    <w:rPr>
                      <w:rFonts w:cs="Arial"/>
                    </w:rPr>
                    <w:lastRenderedPageBreak/>
                    <w:t>Province</w:t>
                  </w:r>
                </w:p>
                <w:p w:rsidR="00007700" w:rsidRDefault="00007700" w:rsidP="002B3973">
                  <w:pPr>
                    <w:rPr>
                      <w:rFonts w:cs="Arial"/>
                    </w:rPr>
                  </w:pPr>
                </w:p>
              </w:tc>
              <w:tc>
                <w:tcPr>
                  <w:tcW w:w="740" w:type="dxa"/>
                </w:tcPr>
                <w:p w:rsidR="005B6016" w:rsidRDefault="00542A9C" w:rsidP="002B3973">
                  <w:pPr>
                    <w:rPr>
                      <w:rFonts w:cs="Arial"/>
                    </w:rPr>
                  </w:pPr>
                  <w:r>
                    <w:rPr>
                      <w:rFonts w:cs="Arial"/>
                    </w:rPr>
                    <w:t>75.8</w:t>
                  </w:r>
                </w:p>
              </w:tc>
              <w:tc>
                <w:tcPr>
                  <w:tcW w:w="878" w:type="dxa"/>
                </w:tcPr>
                <w:p w:rsidR="005B6016" w:rsidRDefault="00542A9C" w:rsidP="002B3973">
                  <w:pPr>
                    <w:rPr>
                      <w:rFonts w:cs="Arial"/>
                    </w:rPr>
                  </w:pPr>
                  <w:r>
                    <w:rPr>
                      <w:rFonts w:cs="Arial"/>
                    </w:rPr>
                    <w:t>74.8</w:t>
                  </w:r>
                </w:p>
              </w:tc>
              <w:tc>
                <w:tcPr>
                  <w:tcW w:w="878" w:type="dxa"/>
                </w:tcPr>
                <w:p w:rsidR="005B6016" w:rsidRDefault="00542A9C" w:rsidP="002B3973">
                  <w:pPr>
                    <w:rPr>
                      <w:rFonts w:cs="Arial"/>
                    </w:rPr>
                  </w:pPr>
                  <w:r>
                    <w:rPr>
                      <w:rFonts w:cs="Arial"/>
                    </w:rPr>
                    <w:t>75.8</w:t>
                  </w:r>
                </w:p>
              </w:tc>
              <w:tc>
                <w:tcPr>
                  <w:tcW w:w="878" w:type="dxa"/>
                </w:tcPr>
                <w:p w:rsidR="005B6016" w:rsidRDefault="00542A9C" w:rsidP="002B3973">
                  <w:pPr>
                    <w:rPr>
                      <w:rFonts w:cs="Arial"/>
                    </w:rPr>
                  </w:pPr>
                  <w:r>
                    <w:rPr>
                      <w:rFonts w:cs="Arial"/>
                    </w:rPr>
                    <w:t>77.4</w:t>
                  </w:r>
                </w:p>
              </w:tc>
              <w:tc>
                <w:tcPr>
                  <w:tcW w:w="879" w:type="dxa"/>
                </w:tcPr>
                <w:p w:rsidR="005B6016" w:rsidRDefault="00A347A0" w:rsidP="002B3973">
                  <w:pPr>
                    <w:rPr>
                      <w:rFonts w:cs="Arial"/>
                    </w:rPr>
                  </w:pPr>
                  <w:r>
                    <w:rPr>
                      <w:rFonts w:cs="Arial"/>
                    </w:rPr>
                    <w:t>7</w:t>
                  </w:r>
                  <w:r w:rsidR="00542A9C">
                    <w:rPr>
                      <w:rFonts w:cs="Arial"/>
                    </w:rPr>
                    <w:t>3.1</w:t>
                  </w:r>
                </w:p>
              </w:tc>
              <w:tc>
                <w:tcPr>
                  <w:tcW w:w="879" w:type="dxa"/>
                </w:tcPr>
                <w:p w:rsidR="005B6016" w:rsidRDefault="00D37A39" w:rsidP="002B3973">
                  <w:pPr>
                    <w:rPr>
                      <w:rFonts w:cs="Arial"/>
                    </w:rPr>
                  </w:pPr>
                  <w:r>
                    <w:rPr>
                      <w:rFonts w:cs="Arial"/>
                    </w:rPr>
                    <w:t>74.6</w:t>
                  </w:r>
                </w:p>
              </w:tc>
            </w:tr>
            <w:tr w:rsidR="005351BB" w:rsidTr="005B6016">
              <w:tc>
                <w:tcPr>
                  <w:tcW w:w="1016" w:type="dxa"/>
                </w:tcPr>
                <w:p w:rsidR="005351BB" w:rsidRDefault="00D57384" w:rsidP="002B3973">
                  <w:pPr>
                    <w:rPr>
                      <w:rFonts w:cs="Arial"/>
                    </w:rPr>
                  </w:pPr>
                  <w:r>
                    <w:rPr>
                      <w:rFonts w:cs="Arial"/>
                    </w:rPr>
                    <w:t>Q26</w:t>
                  </w:r>
                </w:p>
              </w:tc>
              <w:tc>
                <w:tcPr>
                  <w:tcW w:w="740" w:type="dxa"/>
                </w:tcPr>
                <w:p w:rsidR="005351BB" w:rsidRDefault="00542A9C" w:rsidP="002B3973">
                  <w:pPr>
                    <w:rPr>
                      <w:rFonts w:cs="Arial"/>
                    </w:rPr>
                  </w:pPr>
                  <w:r>
                    <w:rPr>
                      <w:rFonts w:cs="Arial"/>
                    </w:rPr>
                    <w:t>62.8</w:t>
                  </w:r>
                </w:p>
              </w:tc>
              <w:tc>
                <w:tcPr>
                  <w:tcW w:w="878" w:type="dxa"/>
                </w:tcPr>
                <w:p w:rsidR="005351BB" w:rsidRDefault="00542A9C" w:rsidP="002B3973">
                  <w:pPr>
                    <w:rPr>
                      <w:rFonts w:cs="Arial"/>
                    </w:rPr>
                  </w:pPr>
                  <w:r>
                    <w:rPr>
                      <w:rFonts w:cs="Arial"/>
                    </w:rPr>
                    <w:t>69.2</w:t>
                  </w:r>
                </w:p>
              </w:tc>
              <w:tc>
                <w:tcPr>
                  <w:tcW w:w="878" w:type="dxa"/>
                </w:tcPr>
                <w:p w:rsidR="005351BB" w:rsidRDefault="00542A9C" w:rsidP="002B3973">
                  <w:pPr>
                    <w:rPr>
                      <w:rFonts w:cs="Arial"/>
                    </w:rPr>
                  </w:pPr>
                  <w:r>
                    <w:rPr>
                      <w:rFonts w:cs="Arial"/>
                    </w:rPr>
                    <w:t>81.6</w:t>
                  </w:r>
                </w:p>
              </w:tc>
              <w:tc>
                <w:tcPr>
                  <w:tcW w:w="878" w:type="dxa"/>
                </w:tcPr>
                <w:p w:rsidR="005351BB" w:rsidRDefault="00542A9C" w:rsidP="002B3973">
                  <w:pPr>
                    <w:rPr>
                      <w:rFonts w:cs="Arial"/>
                    </w:rPr>
                  </w:pPr>
                  <w:r>
                    <w:rPr>
                      <w:rFonts w:cs="Arial"/>
                    </w:rPr>
                    <w:t>92.9</w:t>
                  </w:r>
                </w:p>
              </w:tc>
              <w:tc>
                <w:tcPr>
                  <w:tcW w:w="879" w:type="dxa"/>
                </w:tcPr>
                <w:p w:rsidR="005351BB" w:rsidRDefault="00542A9C" w:rsidP="002B3973">
                  <w:pPr>
                    <w:rPr>
                      <w:rFonts w:cs="Arial"/>
                    </w:rPr>
                  </w:pPr>
                  <w:r>
                    <w:rPr>
                      <w:rFonts w:cs="Arial"/>
                    </w:rPr>
                    <w:t>72.1</w:t>
                  </w:r>
                </w:p>
              </w:tc>
              <w:tc>
                <w:tcPr>
                  <w:tcW w:w="879" w:type="dxa"/>
                </w:tcPr>
                <w:p w:rsidR="005351BB" w:rsidRDefault="005351BB" w:rsidP="002B3973">
                  <w:pPr>
                    <w:rPr>
                      <w:rFonts w:cs="Arial"/>
                    </w:rPr>
                  </w:pPr>
                  <w:r>
                    <w:rPr>
                      <w:rFonts w:cs="Arial"/>
                    </w:rPr>
                    <w:t>74.0</w:t>
                  </w:r>
                </w:p>
              </w:tc>
            </w:tr>
            <w:tr w:rsidR="005B6016" w:rsidTr="005B6016">
              <w:tc>
                <w:tcPr>
                  <w:tcW w:w="1016" w:type="dxa"/>
                </w:tcPr>
                <w:p w:rsidR="005B6016" w:rsidRDefault="005B6016" w:rsidP="002B3973">
                  <w:pPr>
                    <w:rPr>
                      <w:rFonts w:cs="Arial"/>
                    </w:rPr>
                  </w:pPr>
                  <w:r>
                    <w:rPr>
                      <w:rFonts w:cs="Arial"/>
                    </w:rPr>
                    <w:t>Province</w:t>
                  </w:r>
                </w:p>
                <w:p w:rsidR="00007700" w:rsidRDefault="00007700" w:rsidP="002B3973">
                  <w:pPr>
                    <w:rPr>
                      <w:rFonts w:cs="Arial"/>
                    </w:rPr>
                  </w:pPr>
                </w:p>
              </w:tc>
              <w:tc>
                <w:tcPr>
                  <w:tcW w:w="740" w:type="dxa"/>
                </w:tcPr>
                <w:p w:rsidR="005B6016" w:rsidRDefault="00542A9C" w:rsidP="002B3973">
                  <w:pPr>
                    <w:rPr>
                      <w:rFonts w:cs="Arial"/>
                    </w:rPr>
                  </w:pPr>
                  <w:r>
                    <w:rPr>
                      <w:rFonts w:cs="Arial"/>
                    </w:rPr>
                    <w:t>81.7</w:t>
                  </w:r>
                </w:p>
              </w:tc>
              <w:tc>
                <w:tcPr>
                  <w:tcW w:w="878" w:type="dxa"/>
                </w:tcPr>
                <w:p w:rsidR="005B6016" w:rsidRDefault="00542A9C" w:rsidP="002B3973">
                  <w:pPr>
                    <w:rPr>
                      <w:rFonts w:cs="Arial"/>
                    </w:rPr>
                  </w:pPr>
                  <w:r>
                    <w:rPr>
                      <w:rFonts w:cs="Arial"/>
                    </w:rPr>
                    <w:t>78.7</w:t>
                  </w:r>
                </w:p>
              </w:tc>
              <w:tc>
                <w:tcPr>
                  <w:tcW w:w="878" w:type="dxa"/>
                </w:tcPr>
                <w:p w:rsidR="005B6016" w:rsidRDefault="00542A9C" w:rsidP="002B3973">
                  <w:pPr>
                    <w:rPr>
                      <w:rFonts w:cs="Arial"/>
                    </w:rPr>
                  </w:pPr>
                  <w:r>
                    <w:rPr>
                      <w:rFonts w:cs="Arial"/>
                    </w:rPr>
                    <w:t>80.3</w:t>
                  </w:r>
                </w:p>
              </w:tc>
              <w:tc>
                <w:tcPr>
                  <w:tcW w:w="878" w:type="dxa"/>
                </w:tcPr>
                <w:p w:rsidR="005B6016" w:rsidRDefault="00542A9C" w:rsidP="002B3973">
                  <w:pPr>
                    <w:rPr>
                      <w:rFonts w:cs="Arial"/>
                    </w:rPr>
                  </w:pPr>
                  <w:r>
                    <w:rPr>
                      <w:rFonts w:cs="Arial"/>
                    </w:rPr>
                    <w:t>80.9</w:t>
                  </w:r>
                </w:p>
              </w:tc>
              <w:tc>
                <w:tcPr>
                  <w:tcW w:w="879" w:type="dxa"/>
                </w:tcPr>
                <w:p w:rsidR="005B6016" w:rsidRDefault="00542A9C" w:rsidP="002B3973">
                  <w:pPr>
                    <w:rPr>
                      <w:rFonts w:cs="Arial"/>
                    </w:rPr>
                  </w:pPr>
                  <w:r>
                    <w:rPr>
                      <w:rFonts w:cs="Arial"/>
                    </w:rPr>
                    <w:t>77.8</w:t>
                  </w:r>
                </w:p>
              </w:tc>
              <w:tc>
                <w:tcPr>
                  <w:tcW w:w="879" w:type="dxa"/>
                </w:tcPr>
                <w:p w:rsidR="005B6016" w:rsidRDefault="00D37A39" w:rsidP="002B3973">
                  <w:pPr>
                    <w:rPr>
                      <w:rFonts w:cs="Arial"/>
                    </w:rPr>
                  </w:pPr>
                  <w:r>
                    <w:rPr>
                      <w:rFonts w:cs="Arial"/>
                    </w:rPr>
                    <w:t>79.4</w:t>
                  </w:r>
                </w:p>
              </w:tc>
            </w:tr>
          </w:tbl>
          <w:p w:rsidR="005351BB" w:rsidRDefault="005351BB" w:rsidP="002B3973">
            <w:pPr>
              <w:rPr>
                <w:rFonts w:cs="Arial"/>
                <w:sz w:val="20"/>
              </w:rPr>
            </w:pPr>
          </w:p>
          <w:p w:rsidR="00D57384" w:rsidRDefault="00D57384" w:rsidP="002B3973">
            <w:pPr>
              <w:rPr>
                <w:rFonts w:cs="Arial"/>
                <w:sz w:val="20"/>
              </w:rPr>
            </w:pPr>
            <w:r>
              <w:rPr>
                <w:rFonts w:cs="Arial"/>
                <w:sz w:val="20"/>
              </w:rPr>
              <w:t>Q14. Knowledge &amp; skills that will be useful for the future</w:t>
            </w:r>
          </w:p>
          <w:p w:rsidR="00D57384" w:rsidRDefault="00D57384" w:rsidP="002B3973">
            <w:pPr>
              <w:rPr>
                <w:rFonts w:cs="Arial"/>
                <w:sz w:val="20"/>
              </w:rPr>
            </w:pPr>
            <w:r>
              <w:rPr>
                <w:rFonts w:cs="Arial"/>
                <w:sz w:val="20"/>
              </w:rPr>
              <w:t>Q26. Overall quality of learning experience</w:t>
            </w:r>
          </w:p>
          <w:p w:rsidR="005351BB" w:rsidRDefault="005351BB" w:rsidP="002B3973">
            <w:pPr>
              <w:rPr>
                <w:rFonts w:cs="Arial"/>
                <w:i/>
                <w:sz w:val="20"/>
              </w:rPr>
            </w:pPr>
          </w:p>
          <w:p w:rsidR="005351BB" w:rsidRPr="00ED2E98" w:rsidRDefault="00D94683" w:rsidP="001F343D">
            <w:pPr>
              <w:jc w:val="both"/>
              <w:rPr>
                <w:rFonts w:cs="Arial"/>
                <w:sz w:val="20"/>
              </w:rPr>
            </w:pPr>
            <w:r>
              <w:rPr>
                <w:rFonts w:cs="Arial"/>
                <w:sz w:val="20"/>
              </w:rPr>
              <w:t xml:space="preserve">Tutoring requests from </w:t>
            </w:r>
            <w:r w:rsidR="00274D86">
              <w:rPr>
                <w:rFonts w:cs="Arial"/>
                <w:sz w:val="20"/>
              </w:rPr>
              <w:t xml:space="preserve">Learning Support Services (September 2010-April 2011) suggest students are </w:t>
            </w:r>
            <w:r w:rsidR="00B2789B">
              <w:rPr>
                <w:rFonts w:cs="Arial"/>
                <w:sz w:val="20"/>
              </w:rPr>
              <w:t>requestin</w:t>
            </w:r>
            <w:r w:rsidR="00274D86">
              <w:rPr>
                <w:rFonts w:cs="Arial"/>
                <w:sz w:val="20"/>
              </w:rPr>
              <w:t>g support for 2 of the 4 core courses</w:t>
            </w:r>
            <w:r>
              <w:rPr>
                <w:rFonts w:cs="Arial"/>
                <w:sz w:val="20"/>
              </w:rPr>
              <w:t xml:space="preserve">: </w:t>
            </w:r>
            <w:r w:rsidR="00274D86">
              <w:rPr>
                <w:rFonts w:cs="Arial"/>
                <w:sz w:val="20"/>
              </w:rPr>
              <w:t>Biology and Mathematics.  Tutors are also being requested for the Introduction to Psychology course.</w:t>
            </w:r>
            <w:r w:rsidR="00B2789B">
              <w:rPr>
                <w:rFonts w:cs="Arial"/>
                <w:sz w:val="20"/>
              </w:rPr>
              <w:t xml:space="preserve">  In recognition of these trends, the GHS program has begun to offer drop-in clinics that are accessible to st</w:t>
            </w:r>
            <w:r>
              <w:rPr>
                <w:rFonts w:cs="Arial"/>
                <w:sz w:val="20"/>
              </w:rPr>
              <w:t xml:space="preserve">udents within the GHS program. </w:t>
            </w:r>
            <w:r w:rsidR="00B2789B">
              <w:rPr>
                <w:rFonts w:cs="Arial"/>
                <w:sz w:val="20"/>
              </w:rPr>
              <w:t xml:space="preserve">Clinics are staffed by the faculty teaching the course and are scheduled across a number of different times of the week for each course.  </w:t>
            </w:r>
          </w:p>
          <w:p w:rsidR="00EA4DDF" w:rsidRDefault="00EA4DDF" w:rsidP="002B3973">
            <w:pPr>
              <w:rPr>
                <w:sz w:val="20"/>
                <w:lang w:val="en-CA"/>
              </w:rPr>
            </w:pPr>
          </w:p>
          <w:p w:rsidR="003B0746" w:rsidRDefault="001F343D" w:rsidP="002B3973">
            <w:pPr>
              <w:rPr>
                <w:sz w:val="20"/>
                <w:lang w:val="en-CA"/>
              </w:rPr>
            </w:pPr>
            <w:r>
              <w:rPr>
                <w:sz w:val="20"/>
                <w:lang w:val="en-CA"/>
              </w:rPr>
              <w:t xml:space="preserve">Because there has only been one semester of the “new” curriculum, themes from course evaluations are limited.  However, initial trends across the science courses (Biology &amp; Chemistry) suggest that </w:t>
            </w:r>
            <w:r w:rsidR="003B0746">
              <w:rPr>
                <w:sz w:val="20"/>
                <w:lang w:val="en-CA"/>
              </w:rPr>
              <w:t xml:space="preserve">more time needs to be devoted to the content (i.e., request for 2 or 3 hour lectures), less reliance on WebCT </w:t>
            </w:r>
            <w:r w:rsidR="009D38E1">
              <w:rPr>
                <w:sz w:val="20"/>
                <w:lang w:val="en-CA"/>
              </w:rPr>
              <w:t xml:space="preserve">for weekly quizzes and lecture material </w:t>
            </w:r>
            <w:r w:rsidR="003B0746">
              <w:rPr>
                <w:sz w:val="20"/>
                <w:lang w:val="en-CA"/>
              </w:rPr>
              <w:t xml:space="preserve">and more hands-on practical </w:t>
            </w:r>
            <w:r w:rsidR="009D38E1">
              <w:rPr>
                <w:sz w:val="20"/>
                <w:lang w:val="en-CA"/>
              </w:rPr>
              <w:t>labs.</w:t>
            </w:r>
            <w:r w:rsidR="0010663D">
              <w:rPr>
                <w:sz w:val="20"/>
                <w:lang w:val="en-CA"/>
              </w:rPr>
              <w:t xml:space="preserve">  Students also wanted the courses, particularly the Chemistry class, to be more intellectually challenging.  </w:t>
            </w:r>
          </w:p>
          <w:p w:rsidR="0010663D" w:rsidRDefault="0010663D" w:rsidP="002B3973">
            <w:pPr>
              <w:rPr>
                <w:sz w:val="20"/>
                <w:lang w:val="en-CA"/>
              </w:rPr>
            </w:pPr>
          </w:p>
          <w:p w:rsidR="003B0746" w:rsidRDefault="003B0746" w:rsidP="002B3973">
            <w:pPr>
              <w:rPr>
                <w:sz w:val="20"/>
                <w:lang w:val="en-CA"/>
              </w:rPr>
            </w:pPr>
            <w:r>
              <w:rPr>
                <w:sz w:val="20"/>
                <w:lang w:val="en-CA"/>
              </w:rPr>
              <w:t>From Communications (COMM79), the themes involve students requesting more positive feedback on assignments, clarity in terms of goals, expectations and instructions on assignments, more time within class to work on assignments and/or receive help, more hands-on activities and/or discussions, more on citation, referencing and case studies and generally allowing students more time to work on assignments and fewer web-based activities/quizzes.  Students also had difficulty making connections to this class and their program of study.</w:t>
            </w:r>
          </w:p>
          <w:p w:rsidR="00A238D4" w:rsidRDefault="00A238D4" w:rsidP="002B3973">
            <w:pPr>
              <w:rPr>
                <w:sz w:val="20"/>
                <w:lang w:val="en-CA"/>
              </w:rPr>
            </w:pPr>
          </w:p>
          <w:p w:rsidR="009D38E1" w:rsidRDefault="009D38E1" w:rsidP="002B3973">
            <w:pPr>
              <w:rPr>
                <w:sz w:val="20"/>
                <w:lang w:val="en-CA"/>
              </w:rPr>
            </w:pPr>
            <w:r>
              <w:rPr>
                <w:sz w:val="20"/>
                <w:lang w:val="en-CA"/>
              </w:rPr>
              <w:t>In regards to the Professional Issues course, students seemed to struggle with the content and wanted more relevant and more practical examples.  Students were also looking to engage in debates and more group work.</w:t>
            </w:r>
          </w:p>
          <w:p w:rsidR="009D38E1" w:rsidRDefault="009D38E1" w:rsidP="002B3973">
            <w:pPr>
              <w:rPr>
                <w:sz w:val="20"/>
                <w:lang w:val="en-CA"/>
              </w:rPr>
            </w:pPr>
          </w:p>
          <w:p w:rsidR="009D38E1" w:rsidRDefault="009D38E1" w:rsidP="002B3973">
            <w:pPr>
              <w:rPr>
                <w:sz w:val="20"/>
                <w:lang w:val="en-CA"/>
              </w:rPr>
            </w:pPr>
            <w:r>
              <w:rPr>
                <w:sz w:val="20"/>
                <w:lang w:val="en-CA"/>
              </w:rPr>
              <w:t>In the Psychology course, the general theme involved students needing more time to understand the content.  There was a general feeling that too much information was being delivered in the lecture</w:t>
            </w:r>
            <w:r w:rsidR="0010663D">
              <w:rPr>
                <w:sz w:val="20"/>
                <w:lang w:val="en-CA"/>
              </w:rPr>
              <w:t>.  There were many comments regarding having a longer lecture period and a shorter seminar session.  There were also requests to have more hands-on activities, more group work and no weekly quizzes.</w:t>
            </w:r>
          </w:p>
          <w:p w:rsidR="009D38E1" w:rsidRDefault="009D38E1" w:rsidP="002B3973">
            <w:pPr>
              <w:rPr>
                <w:sz w:val="20"/>
                <w:lang w:val="en-CA"/>
              </w:rPr>
            </w:pPr>
          </w:p>
          <w:p w:rsidR="009D38E1" w:rsidRDefault="009D38E1" w:rsidP="002B3973">
            <w:pPr>
              <w:rPr>
                <w:sz w:val="20"/>
                <w:lang w:val="en-CA"/>
              </w:rPr>
            </w:pPr>
            <w:r>
              <w:rPr>
                <w:sz w:val="20"/>
                <w:lang w:val="en-CA"/>
              </w:rPr>
              <w:t>Unfortunately, course evaluations were not conducted for the first semester Mathematics course.</w:t>
            </w:r>
          </w:p>
          <w:p w:rsidR="008A51F3" w:rsidRDefault="008A51F3" w:rsidP="002B3973">
            <w:pPr>
              <w:rPr>
                <w:sz w:val="20"/>
                <w:lang w:val="en-CA"/>
              </w:rPr>
            </w:pPr>
          </w:p>
          <w:p w:rsidR="000B792C" w:rsidRPr="00356C80" w:rsidRDefault="000B792C" w:rsidP="002B3973">
            <w:pPr>
              <w:rPr>
                <w:sz w:val="20"/>
                <w:lang w:val="en-CA"/>
              </w:rPr>
            </w:pPr>
            <w:r>
              <w:rPr>
                <w:sz w:val="20"/>
                <w:lang w:val="en-CA"/>
              </w:rPr>
              <w:t>As part of the annual curriculum review, course evaluations will be reviewed for the program as a whole across both semesters.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Pr>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sz w:val="20"/>
              </w:rPr>
            </w:pPr>
            <w:r w:rsidRPr="00356C80">
              <w:rPr>
                <w:rFonts w:cs="Arial"/>
                <w:b/>
                <w:sz w:val="20"/>
              </w:rPr>
              <w:t>3.2 Other Measures of Student and Graduate Satisfaction</w:t>
            </w:r>
          </w:p>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bCs/>
                <w:sz w:val="20"/>
              </w:rPr>
            </w:pPr>
            <w:r w:rsidRPr="00356C80">
              <w:rPr>
                <w:rFonts w:cs="Arial"/>
                <w:b/>
                <w:bCs/>
                <w:sz w:val="20"/>
              </w:rPr>
              <w:t>Review / discuss outcomes from:</w:t>
            </w:r>
          </w:p>
          <w:p w:rsidR="00EA4DDF" w:rsidRPr="00356C80" w:rsidRDefault="00EA4DDF" w:rsidP="00AB5A30">
            <w:pPr>
              <w:ind w:left="360" w:hanging="360"/>
              <w:rPr>
                <w:rFonts w:cs="Arial"/>
                <w:b/>
                <w:bCs/>
                <w:sz w:val="20"/>
              </w:rPr>
            </w:pPr>
          </w:p>
          <w:p w:rsidR="00D07044" w:rsidRDefault="00EA4DDF" w:rsidP="00EA4DDF">
            <w:pPr>
              <w:numPr>
                <w:ilvl w:val="0"/>
                <w:numId w:val="12"/>
              </w:numPr>
              <w:tabs>
                <w:tab w:val="clear" w:pos="720"/>
                <w:tab w:val="num" w:pos="360"/>
              </w:tabs>
              <w:ind w:left="360"/>
              <w:rPr>
                <w:rFonts w:cs="Arial"/>
                <w:sz w:val="20"/>
              </w:rPr>
            </w:pPr>
            <w:r w:rsidRPr="00356C80">
              <w:rPr>
                <w:rFonts w:cs="Arial"/>
                <w:sz w:val="20"/>
              </w:rPr>
              <w:t>Student focus groups</w:t>
            </w:r>
            <w:r w:rsidR="00B853C3">
              <w:rPr>
                <w:rFonts w:cs="Arial"/>
                <w:sz w:val="20"/>
              </w:rPr>
              <w:t xml:space="preserve"> (mandatory component)</w:t>
            </w:r>
          </w:p>
          <w:p w:rsidR="00EA4DDF" w:rsidRPr="00356C80" w:rsidRDefault="00EA4DDF" w:rsidP="00D07044">
            <w:pPr>
              <w:ind w:left="360"/>
              <w:rPr>
                <w:rFonts w:cs="Arial"/>
                <w:sz w:val="20"/>
              </w:rPr>
            </w:pPr>
            <w:r w:rsidRPr="00356C80">
              <w:rPr>
                <w:rFonts w:cs="Arial"/>
                <w:sz w:val="20"/>
              </w:rPr>
              <w:t xml:space="preserve"> </w:t>
            </w:r>
          </w:p>
          <w:p w:rsidR="00EA4DDF" w:rsidRDefault="00EA4DDF" w:rsidP="00EA4DDF">
            <w:pPr>
              <w:numPr>
                <w:ilvl w:val="0"/>
                <w:numId w:val="12"/>
              </w:numPr>
              <w:tabs>
                <w:tab w:val="clear" w:pos="720"/>
                <w:tab w:val="num" w:pos="360"/>
              </w:tabs>
              <w:ind w:left="360"/>
              <w:rPr>
                <w:rFonts w:cs="Arial"/>
                <w:sz w:val="20"/>
              </w:rPr>
            </w:pPr>
            <w:r w:rsidRPr="00356C80">
              <w:rPr>
                <w:rFonts w:cs="Arial"/>
                <w:sz w:val="20"/>
              </w:rPr>
              <w:t>Student Advisor observations / reports</w:t>
            </w:r>
          </w:p>
          <w:p w:rsidR="00D07044" w:rsidRPr="00356C80" w:rsidRDefault="00D07044" w:rsidP="00D07044">
            <w:pPr>
              <w:ind w:left="360"/>
              <w:rPr>
                <w:rFonts w:cs="Arial"/>
                <w:sz w:val="20"/>
              </w:rPr>
            </w:pPr>
          </w:p>
          <w:p w:rsidR="00EA4DDF" w:rsidRDefault="00EA4DDF" w:rsidP="00EA4DDF">
            <w:pPr>
              <w:numPr>
                <w:ilvl w:val="0"/>
                <w:numId w:val="12"/>
              </w:numPr>
              <w:tabs>
                <w:tab w:val="clear" w:pos="720"/>
                <w:tab w:val="num" w:pos="360"/>
              </w:tabs>
              <w:ind w:left="360"/>
              <w:rPr>
                <w:rFonts w:cs="Arial"/>
                <w:sz w:val="20"/>
              </w:rPr>
            </w:pPr>
            <w:r w:rsidRPr="00356C80">
              <w:rPr>
                <w:rFonts w:cs="Arial"/>
                <w:sz w:val="20"/>
              </w:rPr>
              <w:t>Formal or informal discussions with students and graduates such as class councils, class representatives, individuals or delegations</w:t>
            </w:r>
          </w:p>
          <w:p w:rsidR="00D07044" w:rsidRPr="00356C80" w:rsidRDefault="00D07044" w:rsidP="00D07044">
            <w:pPr>
              <w:ind w:left="360"/>
              <w:rPr>
                <w:rFonts w:cs="Arial"/>
                <w:sz w:val="20"/>
              </w:rPr>
            </w:pPr>
          </w:p>
          <w:p w:rsidR="00EA4DDF" w:rsidRDefault="00EA4DDF" w:rsidP="00EA4DDF">
            <w:pPr>
              <w:numPr>
                <w:ilvl w:val="0"/>
                <w:numId w:val="12"/>
              </w:numPr>
              <w:tabs>
                <w:tab w:val="clear" w:pos="720"/>
                <w:tab w:val="num" w:pos="360"/>
              </w:tabs>
              <w:ind w:left="360"/>
              <w:rPr>
                <w:rFonts w:cs="Arial"/>
                <w:sz w:val="20"/>
              </w:rPr>
            </w:pPr>
            <w:r w:rsidRPr="00356C80">
              <w:rPr>
                <w:rFonts w:cs="Arial"/>
                <w:sz w:val="20"/>
              </w:rPr>
              <w:t>Debriefing sessions following a field placement, clinical placement, or practicum</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5D66C4" w:rsidRPr="00356C80" w:rsidRDefault="005D66C4" w:rsidP="00AB5A30">
            <w:pPr>
              <w:rPr>
                <w:sz w:val="20"/>
                <w:lang w:val="en-CA"/>
              </w:rPr>
            </w:pPr>
          </w:p>
        </w:tc>
        <w:tc>
          <w:tcPr>
            <w:tcW w:w="6379" w:type="dxa"/>
            <w:gridSpan w:val="2"/>
          </w:tcPr>
          <w:p w:rsidR="000B792C" w:rsidRDefault="000B792C" w:rsidP="00921988">
            <w:pPr>
              <w:rPr>
                <w:sz w:val="20"/>
                <w:lang w:val="en-CA"/>
              </w:rPr>
            </w:pPr>
          </w:p>
          <w:p w:rsidR="003C46D6" w:rsidRDefault="003C46D6" w:rsidP="000B792C">
            <w:pPr>
              <w:jc w:val="both"/>
              <w:rPr>
                <w:sz w:val="20"/>
                <w:lang w:val="en-CA"/>
              </w:rPr>
            </w:pPr>
            <w:r>
              <w:rPr>
                <w:sz w:val="20"/>
                <w:lang w:val="en-CA"/>
              </w:rPr>
              <w:t>The Dean met with the GHS students in the Fall 2011 semester.  The meeting was to ascertain the students’ early perception of the college and their program.  Forty students attended (approximately 50% of the program enrollment).  Some of the trends emerging from these discussions are listed below.</w:t>
            </w:r>
          </w:p>
          <w:p w:rsidR="003C46D6" w:rsidRDefault="003C46D6" w:rsidP="00921988">
            <w:pPr>
              <w:rPr>
                <w:sz w:val="20"/>
                <w:lang w:val="en-CA"/>
              </w:rPr>
            </w:pPr>
          </w:p>
          <w:p w:rsidR="003C46D6" w:rsidRDefault="003C46D6" w:rsidP="003C46D6">
            <w:pPr>
              <w:pStyle w:val="ListParagraph"/>
              <w:numPr>
                <w:ilvl w:val="0"/>
                <w:numId w:val="39"/>
              </w:numPr>
              <w:rPr>
                <w:rFonts w:cs="Arial"/>
                <w:i/>
                <w:sz w:val="20"/>
              </w:rPr>
            </w:pPr>
            <w:r w:rsidRPr="009E5A8C">
              <w:rPr>
                <w:rFonts w:cs="Arial"/>
                <w:i/>
                <w:sz w:val="20"/>
              </w:rPr>
              <w:t>The majority of students expressed that they had not chosen the GHS program as their fi</w:t>
            </w:r>
            <w:r w:rsidR="00D94683">
              <w:rPr>
                <w:rFonts w:cs="Arial"/>
                <w:i/>
                <w:sz w:val="20"/>
              </w:rPr>
              <w:t xml:space="preserve">rst choice. </w:t>
            </w:r>
            <w:r w:rsidRPr="009E5A8C">
              <w:rPr>
                <w:rFonts w:cs="Arial"/>
                <w:i/>
                <w:sz w:val="20"/>
              </w:rPr>
              <w:t>They had been given alternate offers.</w:t>
            </w:r>
          </w:p>
          <w:p w:rsidR="003C46D6" w:rsidRPr="00B56042" w:rsidRDefault="003C46D6" w:rsidP="003C46D6">
            <w:pPr>
              <w:pStyle w:val="ListParagraph"/>
              <w:ind w:left="1512"/>
              <w:rPr>
                <w:rFonts w:cs="Arial"/>
                <w:i/>
                <w:sz w:val="10"/>
                <w:szCs w:val="10"/>
              </w:rPr>
            </w:pPr>
            <w:r w:rsidRPr="00B56042">
              <w:rPr>
                <w:rFonts w:cs="Arial"/>
                <w:i/>
                <w:sz w:val="20"/>
              </w:rPr>
              <w:t xml:space="preserve">  </w:t>
            </w:r>
          </w:p>
          <w:p w:rsidR="003C46D6" w:rsidRPr="003C46D6" w:rsidRDefault="003C46D6" w:rsidP="003C46D6">
            <w:pPr>
              <w:pStyle w:val="ListParagraph"/>
              <w:numPr>
                <w:ilvl w:val="0"/>
                <w:numId w:val="39"/>
              </w:numPr>
              <w:rPr>
                <w:rFonts w:cs="Arial"/>
                <w:i/>
                <w:sz w:val="20"/>
              </w:rPr>
            </w:pPr>
            <w:r w:rsidRPr="009E5A8C">
              <w:rPr>
                <w:rFonts w:cs="Arial"/>
                <w:i/>
                <w:sz w:val="20"/>
              </w:rPr>
              <w:t>Students could not identify integration of curriculum between their program courses.</w:t>
            </w:r>
            <w:r w:rsidR="00D94683">
              <w:rPr>
                <w:rFonts w:cs="Arial"/>
                <w:i/>
                <w:sz w:val="20"/>
              </w:rPr>
              <w:t xml:space="preserve"> </w:t>
            </w:r>
            <w:r w:rsidRPr="003C46D6">
              <w:rPr>
                <w:rFonts w:cs="Arial"/>
                <w:i/>
                <w:sz w:val="20"/>
              </w:rPr>
              <w:t xml:space="preserve">Students commented that the fact that they were taking three General Education courses may have been a contributing factor. </w:t>
            </w:r>
          </w:p>
          <w:p w:rsidR="003C46D6" w:rsidRPr="00B56042" w:rsidRDefault="003C46D6" w:rsidP="003C46D6">
            <w:pPr>
              <w:pStyle w:val="ListParagraph"/>
              <w:ind w:left="1512"/>
              <w:rPr>
                <w:rFonts w:cs="Arial"/>
                <w:i/>
                <w:sz w:val="10"/>
                <w:szCs w:val="10"/>
              </w:rPr>
            </w:pPr>
          </w:p>
          <w:p w:rsidR="003C46D6" w:rsidRDefault="003C46D6" w:rsidP="003C46D6">
            <w:pPr>
              <w:pStyle w:val="ListParagraph"/>
              <w:numPr>
                <w:ilvl w:val="0"/>
                <w:numId w:val="39"/>
              </w:numPr>
              <w:rPr>
                <w:rFonts w:cs="Arial"/>
                <w:i/>
                <w:sz w:val="20"/>
              </w:rPr>
            </w:pPr>
            <w:r w:rsidRPr="009E5A8C">
              <w:rPr>
                <w:rFonts w:cs="Arial"/>
                <w:i/>
                <w:sz w:val="20"/>
              </w:rPr>
              <w:t>There was substantial negativity regarding GNED25</w:t>
            </w:r>
            <w:r>
              <w:rPr>
                <w:rFonts w:cs="Arial"/>
                <w:i/>
                <w:sz w:val="20"/>
              </w:rPr>
              <w:t xml:space="preserve"> (Self-Directed Learning)</w:t>
            </w:r>
            <w:r w:rsidR="00D94683">
              <w:rPr>
                <w:rFonts w:cs="Arial"/>
                <w:i/>
                <w:sz w:val="20"/>
              </w:rPr>
              <w:t xml:space="preserve">. </w:t>
            </w:r>
            <w:r w:rsidRPr="009E5A8C">
              <w:rPr>
                <w:rFonts w:cs="Arial"/>
                <w:i/>
                <w:sz w:val="20"/>
              </w:rPr>
              <w:t xml:space="preserve">The students had difficulty identifying the value of the course.  </w:t>
            </w:r>
          </w:p>
          <w:p w:rsidR="003C46D6" w:rsidRPr="00B56042" w:rsidRDefault="003C46D6" w:rsidP="003C46D6">
            <w:pPr>
              <w:pStyle w:val="ListParagraph"/>
              <w:ind w:left="1512"/>
              <w:rPr>
                <w:rFonts w:cs="Arial"/>
                <w:i/>
                <w:sz w:val="10"/>
                <w:szCs w:val="10"/>
              </w:rPr>
            </w:pPr>
          </w:p>
          <w:p w:rsidR="003C46D6" w:rsidRDefault="003C46D6" w:rsidP="003C46D6">
            <w:pPr>
              <w:pStyle w:val="ListParagraph"/>
              <w:numPr>
                <w:ilvl w:val="0"/>
                <w:numId w:val="39"/>
              </w:numPr>
              <w:rPr>
                <w:rFonts w:cs="Arial"/>
                <w:i/>
                <w:sz w:val="20"/>
              </w:rPr>
            </w:pPr>
            <w:r w:rsidRPr="009E5A8C">
              <w:rPr>
                <w:rFonts w:cs="Arial"/>
                <w:i/>
                <w:sz w:val="20"/>
              </w:rPr>
              <w:lastRenderedPageBreak/>
              <w:t xml:space="preserve">Chemistry was regarded as an important subject.  Students </w:t>
            </w:r>
            <w:r>
              <w:rPr>
                <w:rFonts w:cs="Arial"/>
                <w:i/>
                <w:sz w:val="20"/>
              </w:rPr>
              <w:t>requested</w:t>
            </w:r>
            <w:r w:rsidRPr="009E5A8C">
              <w:rPr>
                <w:rFonts w:cs="Arial"/>
                <w:i/>
                <w:sz w:val="20"/>
              </w:rPr>
              <w:t xml:space="preserve"> that a lab component be added to the chemistry courses.  </w:t>
            </w:r>
          </w:p>
          <w:p w:rsidR="003C46D6" w:rsidRPr="00B56042" w:rsidRDefault="003C46D6" w:rsidP="003C46D6">
            <w:pPr>
              <w:pStyle w:val="ListParagraph"/>
              <w:rPr>
                <w:rFonts w:cs="Arial"/>
                <w:i/>
                <w:sz w:val="10"/>
                <w:szCs w:val="10"/>
              </w:rPr>
            </w:pPr>
          </w:p>
          <w:p w:rsidR="003C46D6" w:rsidRPr="00B56042" w:rsidRDefault="003C46D6" w:rsidP="003C46D6">
            <w:pPr>
              <w:pStyle w:val="ListParagraph"/>
              <w:ind w:left="1512"/>
              <w:rPr>
                <w:rFonts w:cs="Arial"/>
                <w:i/>
                <w:sz w:val="10"/>
                <w:szCs w:val="10"/>
              </w:rPr>
            </w:pPr>
          </w:p>
          <w:p w:rsidR="003C46D6" w:rsidRDefault="003C46D6" w:rsidP="003C46D6">
            <w:pPr>
              <w:pStyle w:val="ListParagraph"/>
              <w:numPr>
                <w:ilvl w:val="0"/>
                <w:numId w:val="39"/>
              </w:numPr>
              <w:rPr>
                <w:rFonts w:cs="Arial"/>
                <w:i/>
                <w:sz w:val="20"/>
              </w:rPr>
            </w:pPr>
            <w:r w:rsidRPr="009E5A8C">
              <w:rPr>
                <w:rFonts w:cs="Arial"/>
                <w:i/>
                <w:sz w:val="20"/>
              </w:rPr>
              <w:t xml:space="preserve">The GHS students also wished to progress through the program in cohorts and were not favourable to being in class with BTF students.  </w:t>
            </w:r>
          </w:p>
          <w:p w:rsidR="003C46D6" w:rsidRPr="00B56042" w:rsidRDefault="003C46D6" w:rsidP="003C46D6">
            <w:pPr>
              <w:pStyle w:val="ListParagraph"/>
              <w:ind w:left="1512"/>
              <w:rPr>
                <w:rFonts w:cs="Arial"/>
                <w:i/>
                <w:sz w:val="10"/>
                <w:szCs w:val="10"/>
              </w:rPr>
            </w:pPr>
          </w:p>
          <w:p w:rsidR="003C46D6" w:rsidRPr="009E5A8C" w:rsidRDefault="003C46D6" w:rsidP="003C46D6">
            <w:pPr>
              <w:pStyle w:val="ListParagraph"/>
              <w:numPr>
                <w:ilvl w:val="0"/>
                <w:numId w:val="39"/>
              </w:numPr>
              <w:rPr>
                <w:rFonts w:cs="Arial"/>
                <w:i/>
                <w:sz w:val="20"/>
              </w:rPr>
            </w:pPr>
            <w:r w:rsidRPr="009E5A8C">
              <w:rPr>
                <w:rFonts w:cs="Arial"/>
                <w:i/>
                <w:sz w:val="20"/>
              </w:rPr>
              <w:t>The students were not particularly supportive of online courses.</w:t>
            </w:r>
          </w:p>
          <w:p w:rsidR="003C46D6" w:rsidRPr="003C46D6" w:rsidRDefault="003C46D6" w:rsidP="00921988">
            <w:pPr>
              <w:rPr>
                <w:sz w:val="20"/>
                <w:lang w:val="en-CA"/>
              </w:rPr>
            </w:pPr>
          </w:p>
          <w:p w:rsidR="00921988" w:rsidRDefault="00D94683" w:rsidP="000B792C">
            <w:pPr>
              <w:jc w:val="both"/>
              <w:rPr>
                <w:sz w:val="20"/>
                <w:lang w:val="en-CA"/>
              </w:rPr>
            </w:pPr>
            <w:r>
              <w:rPr>
                <w:sz w:val="20"/>
                <w:lang w:val="en-CA"/>
              </w:rPr>
              <w:t xml:space="preserve">Student Advisor </w:t>
            </w:r>
            <w:r w:rsidR="00921988">
              <w:rPr>
                <w:sz w:val="20"/>
                <w:lang w:val="en-CA"/>
              </w:rPr>
              <w:t xml:space="preserve">information was available for students in the GHS program for Fall 2009, Winter 2010, Fall 2010 and Winter </w:t>
            </w:r>
            <w:r w:rsidR="00CE338B" w:rsidRPr="00CE338B">
              <w:rPr>
                <w:sz w:val="20"/>
                <w:lang w:val="en-CA"/>
              </w:rPr>
              <w:t>2011</w:t>
            </w:r>
            <w:r w:rsidR="00D36DB9">
              <w:rPr>
                <w:sz w:val="20"/>
                <w:lang w:val="en-CA"/>
              </w:rPr>
              <w:t>.</w:t>
            </w:r>
            <w:r w:rsidR="00CE338B" w:rsidRPr="00CE338B">
              <w:rPr>
                <w:sz w:val="20"/>
                <w:lang w:val="en-CA"/>
              </w:rPr>
              <w:t xml:space="preserve">  </w:t>
            </w:r>
            <w:r w:rsidR="00921988" w:rsidRPr="00CE338B">
              <w:rPr>
                <w:sz w:val="20"/>
                <w:lang w:val="en-CA"/>
              </w:rPr>
              <w:t>It was observed that GHS</w:t>
            </w:r>
            <w:r w:rsidR="00921988">
              <w:rPr>
                <w:sz w:val="20"/>
                <w:lang w:val="en-CA"/>
              </w:rPr>
              <w:t xml:space="preserve"> students with “coaches” (i.e., faculty who met a minimum of twice a month) were just as likely to be retained in their </w:t>
            </w:r>
            <w:r w:rsidR="00CE338B">
              <w:rPr>
                <w:sz w:val="20"/>
                <w:lang w:val="en-CA"/>
              </w:rPr>
              <w:t xml:space="preserve">second semester (75.0%) as </w:t>
            </w:r>
            <w:r w:rsidR="00921988">
              <w:rPr>
                <w:sz w:val="20"/>
                <w:lang w:val="en-CA"/>
              </w:rPr>
              <w:t>GHS students with “advisors” (74.5%) (i.e., faculty who emaile</w:t>
            </w:r>
            <w:r w:rsidR="00CE338B">
              <w:rPr>
                <w:sz w:val="20"/>
                <w:lang w:val="en-CA"/>
              </w:rPr>
              <w:t xml:space="preserve">d students on a weekly basis). GPAs for Fall 2010 were higher, however, </w:t>
            </w:r>
            <w:r w:rsidR="00921988">
              <w:rPr>
                <w:sz w:val="20"/>
                <w:lang w:val="en-CA"/>
              </w:rPr>
              <w:t>when students were assigned to “coaches” (2.5) vs. “advisors” (2.19).</w:t>
            </w:r>
          </w:p>
          <w:p w:rsidR="00921988" w:rsidRDefault="00921988" w:rsidP="00921988">
            <w:pPr>
              <w:rPr>
                <w:sz w:val="20"/>
                <w:lang w:val="en-CA"/>
              </w:rPr>
            </w:pPr>
          </w:p>
          <w:p w:rsidR="00D36DB9" w:rsidRDefault="00D36DB9" w:rsidP="00D36DB9">
            <w:pPr>
              <w:jc w:val="both"/>
              <w:rPr>
                <w:sz w:val="20"/>
                <w:lang w:val="en-CA"/>
              </w:rPr>
            </w:pPr>
            <w:r>
              <w:rPr>
                <w:sz w:val="20"/>
                <w:lang w:val="en-CA"/>
              </w:rPr>
              <w:t xml:space="preserve">In the Fall 2012 semester, the program faculty team has begun to compile academic progress and attendance information at certain points in time (i.e., week 4, week 9) that all student advisors use.  The end result of this data capture is for faculty to connect with students who are at risk and to provide advising information to assist students.  </w:t>
            </w:r>
            <w:r w:rsidRPr="00CE338B">
              <w:rPr>
                <w:sz w:val="20"/>
                <w:lang w:val="en-CA"/>
              </w:rPr>
              <w:t>(</w:t>
            </w:r>
            <w:r w:rsidRPr="00CE338B">
              <w:rPr>
                <w:b/>
                <w:sz w:val="20"/>
                <w:lang w:val="en-CA"/>
              </w:rPr>
              <w:t>See Appendix I: GHS Student Advising</w:t>
            </w:r>
            <w:r w:rsidRPr="00CE338B">
              <w:rPr>
                <w:sz w:val="20"/>
                <w:lang w:val="en-CA"/>
              </w:rPr>
              <w:t>)</w:t>
            </w:r>
            <w:r>
              <w:rPr>
                <w:sz w:val="20"/>
                <w:lang w:val="en-CA"/>
              </w:rPr>
              <w:t>.</w:t>
            </w:r>
          </w:p>
          <w:p w:rsidR="00921988" w:rsidRDefault="00921988" w:rsidP="00921988">
            <w:pPr>
              <w:rPr>
                <w:sz w:val="20"/>
                <w:highlight w:val="yellow"/>
                <w:lang w:val="en-CA"/>
              </w:rPr>
            </w:pPr>
          </w:p>
          <w:p w:rsidR="00921988" w:rsidRPr="00921988" w:rsidRDefault="00921988" w:rsidP="00921988">
            <w:pPr>
              <w:rPr>
                <w:sz w:val="20"/>
                <w:lang w:val="en-CA"/>
              </w:rPr>
            </w:pP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4.0 Employment Trends</w:t>
            </w:r>
          </w:p>
        </w:tc>
        <w:tc>
          <w:tcPr>
            <w:tcW w:w="6379"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4.1 Employment</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10"/>
              </w:numPr>
              <w:tabs>
                <w:tab w:val="clear" w:pos="720"/>
                <w:tab w:val="num" w:pos="360"/>
              </w:tabs>
              <w:ind w:left="360"/>
              <w:jc w:val="left"/>
              <w:rPr>
                <w:rFonts w:ascii="Arial" w:hAnsi="Arial" w:cs="Arial"/>
                <w:sz w:val="20"/>
              </w:rPr>
            </w:pPr>
            <w:r w:rsidRPr="00356C80">
              <w:rPr>
                <w:rFonts w:ascii="Arial" w:hAnsi="Arial" w:cs="Arial"/>
                <w:sz w:val="20"/>
              </w:rPr>
              <w:t xml:space="preserve">Graduate employment statistics over the last few years, including those of students employed in the field, in a related field, outside the field, or unemployed, and any emerging patterns in this data </w:t>
            </w:r>
          </w:p>
          <w:p w:rsidR="00D07044" w:rsidRPr="00356C80" w:rsidRDefault="00D07044" w:rsidP="00D07044">
            <w:pPr>
              <w:pStyle w:val="Title"/>
              <w:ind w:left="360"/>
              <w:jc w:val="left"/>
              <w:rPr>
                <w:rFonts w:ascii="Arial" w:hAnsi="Arial" w:cs="Arial"/>
                <w:sz w:val="20"/>
              </w:rPr>
            </w:pPr>
          </w:p>
          <w:p w:rsidR="00EA4DDF" w:rsidRDefault="00EA4DDF" w:rsidP="00EA4DDF">
            <w:pPr>
              <w:pStyle w:val="Title"/>
              <w:numPr>
                <w:ilvl w:val="0"/>
                <w:numId w:val="10"/>
              </w:numPr>
              <w:tabs>
                <w:tab w:val="clear" w:pos="720"/>
                <w:tab w:val="num" w:pos="360"/>
              </w:tabs>
              <w:ind w:left="360"/>
              <w:jc w:val="left"/>
              <w:rPr>
                <w:rFonts w:ascii="Arial" w:hAnsi="Arial" w:cs="Arial"/>
                <w:sz w:val="20"/>
              </w:rPr>
            </w:pPr>
            <w:r w:rsidRPr="00356C80">
              <w:rPr>
                <w:rFonts w:ascii="Arial" w:hAnsi="Arial" w:cs="Arial"/>
                <w:sz w:val="20"/>
              </w:rPr>
              <w:t>Student preparedness for entry-level positions</w:t>
            </w:r>
          </w:p>
          <w:p w:rsidR="00D07044" w:rsidRDefault="00D07044" w:rsidP="00D07044">
            <w:pPr>
              <w:pStyle w:val="ListParagraph"/>
              <w:rPr>
                <w:rFonts w:cs="Arial"/>
                <w:sz w:val="20"/>
              </w:rPr>
            </w:pPr>
          </w:p>
          <w:p w:rsidR="00EA4DDF" w:rsidRPr="005D66C4" w:rsidRDefault="00EA4DDF" w:rsidP="00EA4DDF">
            <w:pPr>
              <w:numPr>
                <w:ilvl w:val="0"/>
                <w:numId w:val="10"/>
              </w:numPr>
              <w:tabs>
                <w:tab w:val="clear" w:pos="720"/>
              </w:tabs>
              <w:ind w:left="360"/>
              <w:rPr>
                <w:sz w:val="20"/>
                <w:lang w:val="en-CA"/>
              </w:rPr>
            </w:pPr>
            <w:r w:rsidRPr="00356C80">
              <w:rPr>
                <w:rFonts w:cs="Arial"/>
                <w:sz w:val="20"/>
              </w:rPr>
              <w:t>Emergent employment trends such as new types of positions, changing job market, regional distinctions, changing employer profile, or emerging skill shortages</w:t>
            </w:r>
          </w:p>
          <w:p w:rsidR="00EA4DDF" w:rsidRPr="00356C80" w:rsidRDefault="00EA4DDF" w:rsidP="00AB5A30">
            <w:pPr>
              <w:rPr>
                <w:sz w:val="20"/>
                <w:lang w:val="en-CA"/>
              </w:rPr>
            </w:pPr>
          </w:p>
        </w:tc>
        <w:tc>
          <w:tcPr>
            <w:tcW w:w="6379" w:type="dxa"/>
            <w:gridSpan w:val="2"/>
            <w:tcMar>
              <w:top w:w="113" w:type="dxa"/>
              <w:bottom w:w="113" w:type="dxa"/>
            </w:tcMar>
          </w:tcPr>
          <w:p w:rsidR="00EA4DDF" w:rsidRPr="00450AA8" w:rsidRDefault="00B51CE7" w:rsidP="000B792C">
            <w:pPr>
              <w:jc w:val="both"/>
              <w:rPr>
                <w:sz w:val="20"/>
                <w:lang w:val="en-CA"/>
              </w:rPr>
            </w:pPr>
            <w:r w:rsidRPr="00450AA8">
              <w:rPr>
                <w:sz w:val="20"/>
                <w:lang w:val="en-CA"/>
              </w:rPr>
              <w:lastRenderedPageBreak/>
              <w:t xml:space="preserve">As the GHS program is a pathway for students </w:t>
            </w:r>
            <w:r w:rsidR="00BF01FF" w:rsidRPr="00450AA8">
              <w:rPr>
                <w:sz w:val="20"/>
                <w:lang w:val="en-CA"/>
              </w:rPr>
              <w:t>into other health-based post-secondary diplomas, graduate employment statistics are not applicable</w:t>
            </w:r>
            <w:r w:rsidR="0039712E">
              <w:rPr>
                <w:sz w:val="20"/>
                <w:lang w:val="en-CA"/>
              </w:rPr>
              <w:t xml:space="preserve"> or are difficult to obtain</w:t>
            </w:r>
            <w:r w:rsidR="00BF01FF" w:rsidRPr="00450AA8">
              <w:rPr>
                <w:sz w:val="20"/>
                <w:lang w:val="en-CA"/>
              </w:rPr>
              <w:t>.</w:t>
            </w:r>
          </w:p>
          <w:p w:rsidR="00BF01FF" w:rsidRDefault="00BF01FF" w:rsidP="000B792C">
            <w:pPr>
              <w:jc w:val="both"/>
              <w:rPr>
                <w:lang w:val="en-CA"/>
              </w:rPr>
            </w:pPr>
          </w:p>
          <w:p w:rsidR="0039712E" w:rsidRDefault="00CE338B" w:rsidP="000B792C">
            <w:pPr>
              <w:jc w:val="both"/>
              <w:rPr>
                <w:sz w:val="20"/>
                <w:lang w:val="en-CA"/>
              </w:rPr>
            </w:pPr>
            <w:r>
              <w:rPr>
                <w:sz w:val="20"/>
                <w:lang w:val="en-CA"/>
              </w:rPr>
              <w:t>Overall, the 5-</w:t>
            </w:r>
            <w:r w:rsidR="0039712E">
              <w:rPr>
                <w:sz w:val="20"/>
                <w:lang w:val="en-CA"/>
              </w:rPr>
              <w:t xml:space="preserve">year average graduation rate percentage (2008 – </w:t>
            </w:r>
            <w:r>
              <w:rPr>
                <w:sz w:val="20"/>
                <w:lang w:val="en-CA"/>
              </w:rPr>
              <w:t>2010) for GHS students is 67%. The 5-</w:t>
            </w:r>
            <w:r w:rsidR="0039712E">
              <w:rPr>
                <w:sz w:val="20"/>
                <w:lang w:val="en-CA"/>
              </w:rPr>
              <w:t xml:space="preserve">year average rate for students who are working after graduating the program is 92% which is higher </w:t>
            </w:r>
            <w:r w:rsidR="0039712E">
              <w:rPr>
                <w:sz w:val="20"/>
                <w:lang w:val="en-CA"/>
              </w:rPr>
              <w:lastRenderedPageBreak/>
              <w:t>than the college average (89%) and the provincial average (84%).</w:t>
            </w:r>
          </w:p>
          <w:p w:rsidR="0039712E" w:rsidRDefault="0039712E" w:rsidP="000B792C">
            <w:pPr>
              <w:jc w:val="both"/>
              <w:rPr>
                <w:sz w:val="20"/>
                <w:lang w:val="en-CA"/>
              </w:rPr>
            </w:pPr>
          </w:p>
          <w:p w:rsidR="0039712E" w:rsidRDefault="001E5669" w:rsidP="000B792C">
            <w:pPr>
              <w:jc w:val="both"/>
              <w:rPr>
                <w:sz w:val="20"/>
                <w:lang w:val="en-CA"/>
              </w:rPr>
            </w:pPr>
            <w:r w:rsidRPr="001E5669">
              <w:rPr>
                <w:sz w:val="20"/>
                <w:lang w:val="en-CA"/>
              </w:rPr>
              <w:t xml:space="preserve">Available data for </w:t>
            </w:r>
            <w:r w:rsidR="001A61BA">
              <w:rPr>
                <w:sz w:val="20"/>
                <w:lang w:val="en-CA"/>
              </w:rPr>
              <w:t xml:space="preserve">Graduate </w:t>
            </w:r>
            <w:r w:rsidRPr="001E5669">
              <w:rPr>
                <w:sz w:val="20"/>
                <w:lang w:val="en-CA"/>
              </w:rPr>
              <w:t>Employment Rate</w:t>
            </w:r>
            <w:r w:rsidR="004D3A6B">
              <w:rPr>
                <w:sz w:val="20"/>
                <w:lang w:val="en-CA"/>
              </w:rPr>
              <w:t>s</w:t>
            </w:r>
            <w:r w:rsidRPr="001E5669">
              <w:rPr>
                <w:sz w:val="20"/>
                <w:lang w:val="en-CA"/>
              </w:rPr>
              <w:t xml:space="preserve"> and Employer Satisfaction </w:t>
            </w:r>
            <w:r w:rsidR="001A61BA">
              <w:rPr>
                <w:sz w:val="20"/>
                <w:lang w:val="en-CA"/>
              </w:rPr>
              <w:t xml:space="preserve">(where available) </w:t>
            </w:r>
            <w:r w:rsidRPr="001E5669">
              <w:rPr>
                <w:sz w:val="20"/>
                <w:lang w:val="en-CA"/>
              </w:rPr>
              <w:t>are presented in the table below.</w:t>
            </w:r>
            <w:r w:rsidR="004D3A6B">
              <w:rPr>
                <w:sz w:val="20"/>
                <w:lang w:val="en-CA"/>
              </w:rPr>
              <w:t xml:space="preserve"> </w:t>
            </w:r>
            <w:r w:rsidR="0039712E">
              <w:rPr>
                <w:sz w:val="20"/>
                <w:lang w:val="en-CA"/>
              </w:rPr>
              <w:t xml:space="preserve">  </w:t>
            </w:r>
          </w:p>
          <w:p w:rsidR="0039712E" w:rsidRDefault="0039712E" w:rsidP="002B3973">
            <w:pPr>
              <w:rPr>
                <w:sz w:val="20"/>
                <w:lang w:val="en-CA"/>
              </w:rPr>
            </w:pPr>
          </w:p>
          <w:p w:rsidR="00240975" w:rsidRPr="002F1CD6" w:rsidRDefault="004D3A6B" w:rsidP="002B3973">
            <w:pPr>
              <w:rPr>
                <w:b/>
                <w:sz w:val="20"/>
                <w:lang w:val="en-CA"/>
              </w:rPr>
            </w:pPr>
            <w:r>
              <w:rPr>
                <w:sz w:val="20"/>
                <w:lang w:val="en-CA"/>
              </w:rPr>
              <w:t xml:space="preserve"> </w:t>
            </w:r>
            <w:r w:rsidR="00CE338B" w:rsidRPr="002F1CD6">
              <w:rPr>
                <w:b/>
                <w:sz w:val="20"/>
                <w:lang w:val="en-CA"/>
              </w:rPr>
              <w:t>See also Appendix J</w:t>
            </w:r>
            <w:r w:rsidR="002F1CD6">
              <w:rPr>
                <w:b/>
                <w:sz w:val="20"/>
                <w:lang w:val="en-CA"/>
              </w:rPr>
              <w:t>: Graduate Employment Rates</w:t>
            </w:r>
            <w:r w:rsidRPr="002F1CD6">
              <w:rPr>
                <w:b/>
                <w:sz w:val="20"/>
                <w:lang w:val="en-CA"/>
              </w:rPr>
              <w:t>.</w:t>
            </w:r>
          </w:p>
          <w:p w:rsidR="001E5669" w:rsidRDefault="001E5669" w:rsidP="002B3973">
            <w:pPr>
              <w:rPr>
                <w:lang w:val="en-CA"/>
              </w:rPr>
            </w:pPr>
          </w:p>
          <w:tbl>
            <w:tblPr>
              <w:tblStyle w:val="TableGrid"/>
              <w:tblW w:w="6204" w:type="dxa"/>
              <w:tblLayout w:type="fixed"/>
              <w:tblLook w:val="04A0" w:firstRow="1" w:lastRow="0" w:firstColumn="1" w:lastColumn="0" w:noHBand="0" w:noVBand="1"/>
            </w:tblPr>
            <w:tblGrid>
              <w:gridCol w:w="1226"/>
              <w:gridCol w:w="858"/>
              <w:gridCol w:w="944"/>
              <w:gridCol w:w="1030"/>
              <w:gridCol w:w="1008"/>
              <w:gridCol w:w="1138"/>
            </w:tblGrid>
            <w:tr w:rsidR="007E260A" w:rsidTr="007E260A">
              <w:trPr>
                <w:trHeight w:val="678"/>
              </w:trPr>
              <w:tc>
                <w:tcPr>
                  <w:tcW w:w="1226" w:type="dxa"/>
                </w:tcPr>
                <w:p w:rsidR="007E260A" w:rsidRDefault="007E260A" w:rsidP="002B3973">
                  <w:pPr>
                    <w:rPr>
                      <w:lang w:val="en-CA"/>
                    </w:rPr>
                  </w:pPr>
                </w:p>
              </w:tc>
              <w:tc>
                <w:tcPr>
                  <w:tcW w:w="858" w:type="dxa"/>
                </w:tcPr>
                <w:p w:rsidR="007E260A" w:rsidRPr="007E260A" w:rsidRDefault="007E260A" w:rsidP="002B3973">
                  <w:pPr>
                    <w:rPr>
                      <w:sz w:val="18"/>
                      <w:szCs w:val="18"/>
                      <w:lang w:val="en-CA"/>
                    </w:rPr>
                  </w:pPr>
                </w:p>
                <w:p w:rsidR="007E260A" w:rsidRPr="007E260A" w:rsidRDefault="007E260A" w:rsidP="002B3973">
                  <w:pPr>
                    <w:rPr>
                      <w:sz w:val="18"/>
                      <w:szCs w:val="18"/>
                      <w:lang w:val="en-CA"/>
                    </w:rPr>
                  </w:pPr>
                  <w:r w:rsidRPr="007E260A">
                    <w:rPr>
                      <w:sz w:val="18"/>
                      <w:szCs w:val="18"/>
                      <w:lang w:val="en-CA"/>
                    </w:rPr>
                    <w:t># of Grads.</w:t>
                  </w:r>
                </w:p>
              </w:tc>
              <w:tc>
                <w:tcPr>
                  <w:tcW w:w="944" w:type="dxa"/>
                </w:tcPr>
                <w:p w:rsidR="007E260A" w:rsidRPr="007E260A" w:rsidRDefault="007E260A" w:rsidP="002B3973">
                  <w:pPr>
                    <w:rPr>
                      <w:sz w:val="18"/>
                      <w:szCs w:val="18"/>
                      <w:lang w:val="en-CA"/>
                    </w:rPr>
                  </w:pPr>
                </w:p>
                <w:p w:rsidR="007E260A" w:rsidRPr="007E260A" w:rsidRDefault="007E260A" w:rsidP="002B3973">
                  <w:pPr>
                    <w:rPr>
                      <w:sz w:val="18"/>
                      <w:szCs w:val="18"/>
                      <w:lang w:val="en-CA"/>
                    </w:rPr>
                  </w:pPr>
                  <w:r w:rsidRPr="007E260A">
                    <w:rPr>
                      <w:sz w:val="18"/>
                      <w:szCs w:val="18"/>
                      <w:lang w:val="en-CA"/>
                    </w:rPr>
                    <w:t># of Surveys</w:t>
                  </w:r>
                </w:p>
              </w:tc>
              <w:tc>
                <w:tcPr>
                  <w:tcW w:w="1030" w:type="dxa"/>
                </w:tcPr>
                <w:p w:rsidR="007E260A" w:rsidRPr="007E260A" w:rsidRDefault="007E260A" w:rsidP="002B3973">
                  <w:pPr>
                    <w:rPr>
                      <w:sz w:val="18"/>
                      <w:szCs w:val="18"/>
                      <w:lang w:val="en-CA"/>
                    </w:rPr>
                  </w:pPr>
                  <w:r w:rsidRPr="007E260A">
                    <w:rPr>
                      <w:sz w:val="18"/>
                      <w:szCs w:val="18"/>
                      <w:lang w:val="en-CA"/>
                    </w:rPr>
                    <w:t xml:space="preserve"># Available </w:t>
                  </w:r>
                </w:p>
                <w:p w:rsidR="007E260A" w:rsidRPr="007E260A" w:rsidRDefault="007E260A" w:rsidP="002B3973">
                  <w:pPr>
                    <w:rPr>
                      <w:sz w:val="18"/>
                      <w:szCs w:val="18"/>
                      <w:lang w:val="en-CA"/>
                    </w:rPr>
                  </w:pPr>
                  <w:r w:rsidRPr="007E260A">
                    <w:rPr>
                      <w:sz w:val="18"/>
                      <w:szCs w:val="18"/>
                      <w:lang w:val="en-CA"/>
                    </w:rPr>
                    <w:t>for Work</w:t>
                  </w:r>
                </w:p>
              </w:tc>
              <w:tc>
                <w:tcPr>
                  <w:tcW w:w="1008" w:type="dxa"/>
                </w:tcPr>
                <w:p w:rsidR="007E260A" w:rsidRDefault="007E260A" w:rsidP="002B3973">
                  <w:pPr>
                    <w:rPr>
                      <w:sz w:val="18"/>
                      <w:szCs w:val="18"/>
                      <w:lang w:val="en-CA"/>
                    </w:rPr>
                  </w:pPr>
                </w:p>
                <w:p w:rsidR="007E260A" w:rsidRPr="007E260A" w:rsidRDefault="007E260A" w:rsidP="002B3973">
                  <w:pPr>
                    <w:rPr>
                      <w:sz w:val="18"/>
                      <w:szCs w:val="18"/>
                      <w:lang w:val="en-CA"/>
                    </w:rPr>
                  </w:pPr>
                  <w:r w:rsidRPr="007E260A">
                    <w:rPr>
                      <w:sz w:val="18"/>
                      <w:szCs w:val="18"/>
                      <w:lang w:val="en-CA"/>
                    </w:rPr>
                    <w:t># Working</w:t>
                  </w:r>
                </w:p>
              </w:tc>
              <w:tc>
                <w:tcPr>
                  <w:tcW w:w="1138" w:type="dxa"/>
                </w:tcPr>
                <w:p w:rsidR="007E260A" w:rsidRDefault="007E260A" w:rsidP="002B3973">
                  <w:pPr>
                    <w:rPr>
                      <w:sz w:val="18"/>
                      <w:szCs w:val="18"/>
                      <w:lang w:val="en-CA"/>
                    </w:rPr>
                  </w:pPr>
                  <w:r w:rsidRPr="007E260A">
                    <w:rPr>
                      <w:sz w:val="18"/>
                      <w:szCs w:val="18"/>
                      <w:lang w:val="en-CA"/>
                    </w:rPr>
                    <w:t xml:space="preserve"># </w:t>
                  </w:r>
                </w:p>
                <w:p w:rsidR="007E260A" w:rsidRPr="007E260A" w:rsidRDefault="007E260A" w:rsidP="002B3973">
                  <w:pPr>
                    <w:rPr>
                      <w:sz w:val="18"/>
                      <w:szCs w:val="18"/>
                      <w:lang w:val="en-CA"/>
                    </w:rPr>
                  </w:pPr>
                  <w:r w:rsidRPr="007E260A">
                    <w:rPr>
                      <w:sz w:val="18"/>
                      <w:szCs w:val="18"/>
                      <w:lang w:val="en-CA"/>
                    </w:rPr>
                    <w:t>Continu</w:t>
                  </w:r>
                  <w:r>
                    <w:rPr>
                      <w:sz w:val="18"/>
                      <w:szCs w:val="18"/>
                      <w:lang w:val="en-CA"/>
                    </w:rPr>
                    <w:t>ing</w:t>
                  </w:r>
                </w:p>
                <w:p w:rsidR="007E260A" w:rsidRPr="007E260A" w:rsidRDefault="007E260A" w:rsidP="002B3973">
                  <w:pPr>
                    <w:rPr>
                      <w:sz w:val="18"/>
                      <w:szCs w:val="18"/>
                      <w:lang w:val="en-CA"/>
                    </w:rPr>
                  </w:pPr>
                  <w:r w:rsidRPr="007E260A">
                    <w:rPr>
                      <w:sz w:val="18"/>
                      <w:szCs w:val="18"/>
                      <w:lang w:val="en-CA"/>
                    </w:rPr>
                    <w:t>Educ</w:t>
                  </w:r>
                  <w:r>
                    <w:rPr>
                      <w:sz w:val="18"/>
                      <w:szCs w:val="18"/>
                      <w:lang w:val="en-CA"/>
                    </w:rPr>
                    <w:t>ation</w:t>
                  </w:r>
                </w:p>
              </w:tc>
            </w:tr>
            <w:tr w:rsidR="007E260A" w:rsidTr="007E260A">
              <w:trPr>
                <w:trHeight w:val="678"/>
              </w:trPr>
              <w:tc>
                <w:tcPr>
                  <w:tcW w:w="1226" w:type="dxa"/>
                </w:tcPr>
                <w:p w:rsidR="007E260A" w:rsidRPr="007E260A" w:rsidRDefault="007E260A" w:rsidP="002B3973">
                  <w:pPr>
                    <w:rPr>
                      <w:sz w:val="18"/>
                      <w:szCs w:val="18"/>
                      <w:lang w:val="en-CA"/>
                    </w:rPr>
                  </w:pPr>
                  <w:r w:rsidRPr="007E260A">
                    <w:rPr>
                      <w:sz w:val="18"/>
                      <w:szCs w:val="18"/>
                      <w:lang w:val="en-CA"/>
                    </w:rPr>
                    <w:t>Summer 06</w:t>
                  </w:r>
                </w:p>
                <w:p w:rsidR="007E260A" w:rsidRPr="007E260A" w:rsidRDefault="007E260A" w:rsidP="002B3973">
                  <w:pPr>
                    <w:rPr>
                      <w:sz w:val="18"/>
                      <w:szCs w:val="18"/>
                      <w:lang w:val="en-CA"/>
                    </w:rPr>
                  </w:pPr>
                  <w:r w:rsidRPr="007E260A">
                    <w:rPr>
                      <w:sz w:val="18"/>
                      <w:szCs w:val="18"/>
                      <w:lang w:val="en-CA"/>
                    </w:rPr>
                    <w:t>Fall 06</w:t>
                  </w:r>
                </w:p>
                <w:p w:rsidR="007E260A" w:rsidRPr="007E260A" w:rsidRDefault="007E260A" w:rsidP="002B3973">
                  <w:pPr>
                    <w:rPr>
                      <w:sz w:val="18"/>
                      <w:szCs w:val="18"/>
                      <w:lang w:val="en-CA"/>
                    </w:rPr>
                  </w:pPr>
                  <w:r w:rsidRPr="007E260A">
                    <w:rPr>
                      <w:sz w:val="18"/>
                      <w:szCs w:val="18"/>
                      <w:lang w:val="en-CA"/>
                    </w:rPr>
                    <w:t>Winter 07</w:t>
                  </w:r>
                </w:p>
              </w:tc>
              <w:tc>
                <w:tcPr>
                  <w:tcW w:w="858" w:type="dxa"/>
                </w:tcPr>
                <w:p w:rsidR="007E260A" w:rsidRDefault="007E260A" w:rsidP="002B3973">
                  <w:pPr>
                    <w:rPr>
                      <w:lang w:val="en-CA"/>
                    </w:rPr>
                  </w:pPr>
                </w:p>
                <w:p w:rsidR="007E260A" w:rsidRDefault="007E260A" w:rsidP="002B3973">
                  <w:pPr>
                    <w:rPr>
                      <w:lang w:val="en-CA"/>
                    </w:rPr>
                  </w:pPr>
                  <w:r>
                    <w:rPr>
                      <w:lang w:val="en-CA"/>
                    </w:rPr>
                    <w:t>49</w:t>
                  </w:r>
                </w:p>
              </w:tc>
              <w:tc>
                <w:tcPr>
                  <w:tcW w:w="944" w:type="dxa"/>
                </w:tcPr>
                <w:p w:rsidR="007E260A" w:rsidRDefault="007E260A" w:rsidP="002B3973">
                  <w:pPr>
                    <w:rPr>
                      <w:lang w:val="en-CA"/>
                    </w:rPr>
                  </w:pPr>
                </w:p>
                <w:p w:rsidR="007E260A" w:rsidRDefault="007E260A" w:rsidP="002B3973">
                  <w:pPr>
                    <w:rPr>
                      <w:lang w:val="en-CA"/>
                    </w:rPr>
                  </w:pPr>
                  <w:r>
                    <w:rPr>
                      <w:lang w:val="en-CA"/>
                    </w:rPr>
                    <w:t>34</w:t>
                  </w:r>
                </w:p>
              </w:tc>
              <w:tc>
                <w:tcPr>
                  <w:tcW w:w="1030" w:type="dxa"/>
                </w:tcPr>
                <w:p w:rsidR="007E260A" w:rsidRDefault="007E260A" w:rsidP="002B3973">
                  <w:pPr>
                    <w:rPr>
                      <w:lang w:val="en-CA"/>
                    </w:rPr>
                  </w:pPr>
                </w:p>
                <w:p w:rsidR="007E260A" w:rsidRDefault="007E260A" w:rsidP="002B3973">
                  <w:pPr>
                    <w:rPr>
                      <w:lang w:val="en-CA"/>
                    </w:rPr>
                  </w:pPr>
                  <w:r>
                    <w:rPr>
                      <w:lang w:val="en-CA"/>
                    </w:rPr>
                    <w:t>3</w:t>
                  </w:r>
                </w:p>
              </w:tc>
              <w:tc>
                <w:tcPr>
                  <w:tcW w:w="1008" w:type="dxa"/>
                </w:tcPr>
                <w:p w:rsidR="007E260A" w:rsidRDefault="007E260A" w:rsidP="002B3973">
                  <w:pPr>
                    <w:rPr>
                      <w:lang w:val="en-CA"/>
                    </w:rPr>
                  </w:pPr>
                </w:p>
                <w:p w:rsidR="007E260A" w:rsidRPr="001A61BA" w:rsidRDefault="007E260A" w:rsidP="002B3973">
                  <w:pPr>
                    <w:rPr>
                      <w:lang w:val="en-CA"/>
                    </w:rPr>
                  </w:pPr>
                  <w:r>
                    <w:rPr>
                      <w:lang w:val="en-CA"/>
                    </w:rPr>
                    <w:t>3</w:t>
                  </w:r>
                </w:p>
              </w:tc>
              <w:tc>
                <w:tcPr>
                  <w:tcW w:w="1138" w:type="dxa"/>
                </w:tcPr>
                <w:p w:rsidR="007E260A" w:rsidRDefault="007E260A" w:rsidP="002B3973">
                  <w:pPr>
                    <w:rPr>
                      <w:lang w:val="en-CA"/>
                    </w:rPr>
                  </w:pPr>
                </w:p>
                <w:p w:rsidR="007E260A" w:rsidRDefault="007E260A" w:rsidP="002B3973">
                  <w:pPr>
                    <w:rPr>
                      <w:lang w:val="en-CA"/>
                    </w:rPr>
                  </w:pPr>
                  <w:r>
                    <w:rPr>
                      <w:lang w:val="en-CA"/>
                    </w:rPr>
                    <w:t>31</w:t>
                  </w:r>
                </w:p>
              </w:tc>
            </w:tr>
            <w:tr w:rsidR="007E260A" w:rsidTr="007E260A">
              <w:trPr>
                <w:trHeight w:val="678"/>
              </w:trPr>
              <w:tc>
                <w:tcPr>
                  <w:tcW w:w="1226" w:type="dxa"/>
                </w:tcPr>
                <w:p w:rsidR="007E260A" w:rsidRPr="007E260A" w:rsidRDefault="007E260A" w:rsidP="002B3973">
                  <w:pPr>
                    <w:rPr>
                      <w:sz w:val="18"/>
                      <w:szCs w:val="18"/>
                      <w:lang w:val="en-CA"/>
                    </w:rPr>
                  </w:pPr>
                  <w:r w:rsidRPr="007E260A">
                    <w:rPr>
                      <w:sz w:val="18"/>
                      <w:szCs w:val="18"/>
                      <w:lang w:val="en-CA"/>
                    </w:rPr>
                    <w:t>Summer 07</w:t>
                  </w:r>
                </w:p>
                <w:p w:rsidR="007E260A" w:rsidRPr="007E260A" w:rsidRDefault="007E260A" w:rsidP="002B3973">
                  <w:pPr>
                    <w:rPr>
                      <w:sz w:val="18"/>
                      <w:szCs w:val="18"/>
                      <w:lang w:val="en-CA"/>
                    </w:rPr>
                  </w:pPr>
                  <w:r w:rsidRPr="007E260A">
                    <w:rPr>
                      <w:sz w:val="18"/>
                      <w:szCs w:val="18"/>
                      <w:lang w:val="en-CA"/>
                    </w:rPr>
                    <w:t>Fall 07</w:t>
                  </w:r>
                </w:p>
                <w:p w:rsidR="007E260A" w:rsidRPr="007E260A" w:rsidRDefault="007E260A" w:rsidP="002B3973">
                  <w:pPr>
                    <w:rPr>
                      <w:sz w:val="18"/>
                      <w:szCs w:val="18"/>
                      <w:lang w:val="en-CA"/>
                    </w:rPr>
                  </w:pPr>
                  <w:r w:rsidRPr="007E260A">
                    <w:rPr>
                      <w:sz w:val="18"/>
                      <w:szCs w:val="18"/>
                      <w:lang w:val="en-CA"/>
                    </w:rPr>
                    <w:t>Winter 08</w:t>
                  </w:r>
                </w:p>
              </w:tc>
              <w:tc>
                <w:tcPr>
                  <w:tcW w:w="858" w:type="dxa"/>
                </w:tcPr>
                <w:p w:rsidR="007E260A" w:rsidRDefault="007E260A" w:rsidP="002B3973">
                  <w:pPr>
                    <w:rPr>
                      <w:lang w:val="en-CA"/>
                    </w:rPr>
                  </w:pPr>
                </w:p>
                <w:p w:rsidR="007E260A" w:rsidRDefault="007E260A" w:rsidP="002B3973">
                  <w:pPr>
                    <w:rPr>
                      <w:lang w:val="en-CA"/>
                    </w:rPr>
                  </w:pPr>
                  <w:r>
                    <w:rPr>
                      <w:lang w:val="en-CA"/>
                    </w:rPr>
                    <w:t>34</w:t>
                  </w:r>
                </w:p>
              </w:tc>
              <w:tc>
                <w:tcPr>
                  <w:tcW w:w="944" w:type="dxa"/>
                </w:tcPr>
                <w:p w:rsidR="007E260A" w:rsidRDefault="007E260A" w:rsidP="002B3973">
                  <w:pPr>
                    <w:rPr>
                      <w:lang w:val="en-CA"/>
                    </w:rPr>
                  </w:pPr>
                </w:p>
                <w:p w:rsidR="007E260A" w:rsidRDefault="007E260A" w:rsidP="002B3973">
                  <w:pPr>
                    <w:rPr>
                      <w:lang w:val="en-CA"/>
                    </w:rPr>
                  </w:pPr>
                  <w:r>
                    <w:rPr>
                      <w:lang w:val="en-CA"/>
                    </w:rPr>
                    <w:t>19</w:t>
                  </w:r>
                </w:p>
              </w:tc>
              <w:tc>
                <w:tcPr>
                  <w:tcW w:w="1030" w:type="dxa"/>
                </w:tcPr>
                <w:p w:rsidR="007E260A" w:rsidRDefault="007E260A" w:rsidP="002B3973">
                  <w:pPr>
                    <w:rPr>
                      <w:lang w:val="en-CA"/>
                    </w:rPr>
                  </w:pPr>
                </w:p>
                <w:p w:rsidR="007E260A" w:rsidRDefault="007E260A" w:rsidP="002B3973">
                  <w:pPr>
                    <w:rPr>
                      <w:lang w:val="en-CA"/>
                    </w:rPr>
                  </w:pPr>
                  <w:r>
                    <w:rPr>
                      <w:lang w:val="en-CA"/>
                    </w:rPr>
                    <w:t>6</w:t>
                  </w:r>
                </w:p>
              </w:tc>
              <w:tc>
                <w:tcPr>
                  <w:tcW w:w="1008" w:type="dxa"/>
                </w:tcPr>
                <w:p w:rsidR="007E260A" w:rsidRDefault="007E260A" w:rsidP="002B3973">
                  <w:pPr>
                    <w:rPr>
                      <w:lang w:val="en-CA"/>
                    </w:rPr>
                  </w:pPr>
                </w:p>
                <w:p w:rsidR="007E260A" w:rsidRDefault="007E260A" w:rsidP="002B3973">
                  <w:pPr>
                    <w:rPr>
                      <w:lang w:val="en-CA"/>
                    </w:rPr>
                  </w:pPr>
                  <w:r>
                    <w:rPr>
                      <w:lang w:val="en-CA"/>
                    </w:rPr>
                    <w:t>4*</w:t>
                  </w:r>
                </w:p>
              </w:tc>
              <w:tc>
                <w:tcPr>
                  <w:tcW w:w="1138" w:type="dxa"/>
                </w:tcPr>
                <w:p w:rsidR="007E260A" w:rsidRDefault="007E260A" w:rsidP="002B3973">
                  <w:pPr>
                    <w:rPr>
                      <w:lang w:val="en-CA"/>
                    </w:rPr>
                  </w:pPr>
                </w:p>
                <w:p w:rsidR="007E260A" w:rsidRDefault="007E260A" w:rsidP="002B3973">
                  <w:pPr>
                    <w:rPr>
                      <w:lang w:val="en-CA"/>
                    </w:rPr>
                  </w:pPr>
                  <w:r>
                    <w:rPr>
                      <w:lang w:val="en-CA"/>
                    </w:rPr>
                    <w:t>13</w:t>
                  </w:r>
                </w:p>
              </w:tc>
            </w:tr>
            <w:tr w:rsidR="007E260A" w:rsidTr="007E260A">
              <w:trPr>
                <w:trHeight w:val="678"/>
              </w:trPr>
              <w:tc>
                <w:tcPr>
                  <w:tcW w:w="1226" w:type="dxa"/>
                </w:tcPr>
                <w:p w:rsidR="007E260A" w:rsidRPr="007E260A" w:rsidRDefault="007E260A" w:rsidP="002B3973">
                  <w:pPr>
                    <w:rPr>
                      <w:sz w:val="18"/>
                      <w:szCs w:val="18"/>
                      <w:lang w:val="en-CA"/>
                    </w:rPr>
                  </w:pPr>
                  <w:r w:rsidRPr="007E260A">
                    <w:rPr>
                      <w:sz w:val="18"/>
                      <w:szCs w:val="18"/>
                      <w:lang w:val="en-CA"/>
                    </w:rPr>
                    <w:t>Summer 08</w:t>
                  </w:r>
                </w:p>
                <w:p w:rsidR="007E260A" w:rsidRPr="007E260A" w:rsidRDefault="007E260A" w:rsidP="002B3973">
                  <w:pPr>
                    <w:rPr>
                      <w:sz w:val="18"/>
                      <w:szCs w:val="18"/>
                      <w:lang w:val="en-CA"/>
                    </w:rPr>
                  </w:pPr>
                  <w:r w:rsidRPr="007E260A">
                    <w:rPr>
                      <w:sz w:val="18"/>
                      <w:szCs w:val="18"/>
                      <w:lang w:val="en-CA"/>
                    </w:rPr>
                    <w:t>Fall 08</w:t>
                  </w:r>
                </w:p>
                <w:p w:rsidR="007E260A" w:rsidRPr="007E260A" w:rsidRDefault="007E260A" w:rsidP="002B3973">
                  <w:pPr>
                    <w:rPr>
                      <w:sz w:val="18"/>
                      <w:szCs w:val="18"/>
                      <w:lang w:val="en-CA"/>
                    </w:rPr>
                  </w:pPr>
                  <w:r w:rsidRPr="007E260A">
                    <w:rPr>
                      <w:sz w:val="18"/>
                      <w:szCs w:val="18"/>
                      <w:lang w:val="en-CA"/>
                    </w:rPr>
                    <w:t>Winter 09</w:t>
                  </w:r>
                </w:p>
              </w:tc>
              <w:tc>
                <w:tcPr>
                  <w:tcW w:w="858" w:type="dxa"/>
                </w:tcPr>
                <w:p w:rsidR="007E260A" w:rsidRDefault="007E260A" w:rsidP="002B3973">
                  <w:pPr>
                    <w:rPr>
                      <w:lang w:val="en-CA"/>
                    </w:rPr>
                  </w:pPr>
                </w:p>
                <w:p w:rsidR="007E260A" w:rsidRDefault="007E260A" w:rsidP="002B3973">
                  <w:pPr>
                    <w:rPr>
                      <w:lang w:val="en-CA"/>
                    </w:rPr>
                  </w:pPr>
                  <w:r>
                    <w:rPr>
                      <w:lang w:val="en-CA"/>
                    </w:rPr>
                    <w:t>28</w:t>
                  </w:r>
                </w:p>
              </w:tc>
              <w:tc>
                <w:tcPr>
                  <w:tcW w:w="944" w:type="dxa"/>
                </w:tcPr>
                <w:p w:rsidR="007E260A" w:rsidRDefault="007E260A" w:rsidP="002B3973">
                  <w:pPr>
                    <w:rPr>
                      <w:lang w:val="en-CA"/>
                    </w:rPr>
                  </w:pPr>
                </w:p>
                <w:p w:rsidR="007E260A" w:rsidRDefault="007E260A" w:rsidP="002B3973">
                  <w:pPr>
                    <w:rPr>
                      <w:lang w:val="en-CA"/>
                    </w:rPr>
                  </w:pPr>
                  <w:r>
                    <w:rPr>
                      <w:lang w:val="en-CA"/>
                    </w:rPr>
                    <w:t>18</w:t>
                  </w:r>
                </w:p>
              </w:tc>
              <w:tc>
                <w:tcPr>
                  <w:tcW w:w="1030" w:type="dxa"/>
                </w:tcPr>
                <w:p w:rsidR="007E260A" w:rsidRDefault="007E260A" w:rsidP="002B3973">
                  <w:pPr>
                    <w:rPr>
                      <w:lang w:val="en-CA"/>
                    </w:rPr>
                  </w:pPr>
                </w:p>
                <w:p w:rsidR="007E260A" w:rsidRDefault="007E260A" w:rsidP="002B3973">
                  <w:pPr>
                    <w:rPr>
                      <w:lang w:val="en-CA"/>
                    </w:rPr>
                  </w:pPr>
                  <w:r>
                    <w:rPr>
                      <w:lang w:val="en-CA"/>
                    </w:rPr>
                    <w:t>1</w:t>
                  </w:r>
                </w:p>
              </w:tc>
              <w:tc>
                <w:tcPr>
                  <w:tcW w:w="1008" w:type="dxa"/>
                </w:tcPr>
                <w:p w:rsidR="007E260A" w:rsidRDefault="007E260A" w:rsidP="002B3973">
                  <w:pPr>
                    <w:rPr>
                      <w:lang w:val="en-CA"/>
                    </w:rPr>
                  </w:pPr>
                </w:p>
                <w:p w:rsidR="007E260A" w:rsidRDefault="007E260A" w:rsidP="002B3973">
                  <w:pPr>
                    <w:rPr>
                      <w:lang w:val="en-CA"/>
                    </w:rPr>
                  </w:pPr>
                  <w:r>
                    <w:rPr>
                      <w:lang w:val="en-CA"/>
                    </w:rPr>
                    <w:t>1</w:t>
                  </w:r>
                </w:p>
              </w:tc>
              <w:tc>
                <w:tcPr>
                  <w:tcW w:w="1138" w:type="dxa"/>
                </w:tcPr>
                <w:p w:rsidR="007E260A" w:rsidRDefault="007E260A" w:rsidP="002B3973">
                  <w:pPr>
                    <w:rPr>
                      <w:lang w:val="en-CA"/>
                    </w:rPr>
                  </w:pPr>
                </w:p>
                <w:p w:rsidR="007E260A" w:rsidRDefault="007E260A" w:rsidP="002B3973">
                  <w:pPr>
                    <w:rPr>
                      <w:lang w:val="en-CA"/>
                    </w:rPr>
                  </w:pPr>
                  <w:r>
                    <w:rPr>
                      <w:lang w:val="en-CA"/>
                    </w:rPr>
                    <w:t>17</w:t>
                  </w:r>
                </w:p>
              </w:tc>
            </w:tr>
            <w:tr w:rsidR="007E260A" w:rsidTr="007E260A">
              <w:trPr>
                <w:trHeight w:val="678"/>
              </w:trPr>
              <w:tc>
                <w:tcPr>
                  <w:tcW w:w="1226" w:type="dxa"/>
                </w:tcPr>
                <w:p w:rsidR="007E260A" w:rsidRPr="007E260A" w:rsidRDefault="007E260A" w:rsidP="002B3973">
                  <w:pPr>
                    <w:rPr>
                      <w:sz w:val="18"/>
                      <w:szCs w:val="18"/>
                      <w:lang w:val="en-CA"/>
                    </w:rPr>
                  </w:pPr>
                  <w:r w:rsidRPr="007E260A">
                    <w:rPr>
                      <w:sz w:val="18"/>
                      <w:szCs w:val="18"/>
                      <w:lang w:val="en-CA"/>
                    </w:rPr>
                    <w:t>Summer 09</w:t>
                  </w:r>
                </w:p>
                <w:p w:rsidR="007E260A" w:rsidRPr="007E260A" w:rsidRDefault="007E260A" w:rsidP="002B3973">
                  <w:pPr>
                    <w:rPr>
                      <w:sz w:val="18"/>
                      <w:szCs w:val="18"/>
                      <w:lang w:val="en-CA"/>
                    </w:rPr>
                  </w:pPr>
                  <w:r w:rsidRPr="007E260A">
                    <w:rPr>
                      <w:sz w:val="18"/>
                      <w:szCs w:val="18"/>
                      <w:lang w:val="en-CA"/>
                    </w:rPr>
                    <w:t>Fall 09</w:t>
                  </w:r>
                </w:p>
                <w:p w:rsidR="007E260A" w:rsidRPr="007E260A" w:rsidRDefault="007E260A" w:rsidP="002B3973">
                  <w:pPr>
                    <w:rPr>
                      <w:sz w:val="18"/>
                      <w:szCs w:val="18"/>
                      <w:lang w:val="en-CA"/>
                    </w:rPr>
                  </w:pPr>
                  <w:r w:rsidRPr="007E260A">
                    <w:rPr>
                      <w:sz w:val="18"/>
                      <w:szCs w:val="18"/>
                      <w:lang w:val="en-CA"/>
                    </w:rPr>
                    <w:t>Winter 10</w:t>
                  </w:r>
                </w:p>
              </w:tc>
              <w:tc>
                <w:tcPr>
                  <w:tcW w:w="858" w:type="dxa"/>
                </w:tcPr>
                <w:p w:rsidR="007E260A" w:rsidRDefault="007E260A" w:rsidP="002B3973">
                  <w:pPr>
                    <w:rPr>
                      <w:lang w:val="en-CA"/>
                    </w:rPr>
                  </w:pPr>
                </w:p>
                <w:p w:rsidR="007E260A" w:rsidRDefault="007E260A" w:rsidP="002B3973">
                  <w:pPr>
                    <w:rPr>
                      <w:lang w:val="en-CA"/>
                    </w:rPr>
                  </w:pPr>
                  <w:r>
                    <w:rPr>
                      <w:lang w:val="en-CA"/>
                    </w:rPr>
                    <w:t>56</w:t>
                  </w:r>
                </w:p>
              </w:tc>
              <w:tc>
                <w:tcPr>
                  <w:tcW w:w="944" w:type="dxa"/>
                </w:tcPr>
                <w:p w:rsidR="007E260A" w:rsidRDefault="007E260A" w:rsidP="002B3973">
                  <w:pPr>
                    <w:rPr>
                      <w:lang w:val="en-CA"/>
                    </w:rPr>
                  </w:pPr>
                </w:p>
                <w:p w:rsidR="007E260A" w:rsidRDefault="007E260A" w:rsidP="002B3973">
                  <w:pPr>
                    <w:rPr>
                      <w:lang w:val="en-CA"/>
                    </w:rPr>
                  </w:pPr>
                  <w:r>
                    <w:rPr>
                      <w:lang w:val="en-CA"/>
                    </w:rPr>
                    <w:t>37</w:t>
                  </w:r>
                </w:p>
              </w:tc>
              <w:tc>
                <w:tcPr>
                  <w:tcW w:w="1030" w:type="dxa"/>
                </w:tcPr>
                <w:p w:rsidR="007E260A" w:rsidRDefault="007E260A" w:rsidP="002B3973">
                  <w:pPr>
                    <w:rPr>
                      <w:lang w:val="en-CA"/>
                    </w:rPr>
                  </w:pPr>
                </w:p>
                <w:p w:rsidR="007E260A" w:rsidRDefault="007E260A" w:rsidP="002B3973">
                  <w:pPr>
                    <w:rPr>
                      <w:lang w:val="en-CA"/>
                    </w:rPr>
                  </w:pPr>
                  <w:r>
                    <w:rPr>
                      <w:lang w:val="en-CA"/>
                    </w:rPr>
                    <w:t>9</w:t>
                  </w:r>
                </w:p>
              </w:tc>
              <w:tc>
                <w:tcPr>
                  <w:tcW w:w="1008" w:type="dxa"/>
                </w:tcPr>
                <w:p w:rsidR="007E260A" w:rsidRDefault="007E260A" w:rsidP="002B3973">
                  <w:pPr>
                    <w:rPr>
                      <w:lang w:val="en-CA"/>
                    </w:rPr>
                  </w:pPr>
                </w:p>
                <w:p w:rsidR="007E260A" w:rsidRDefault="007E260A" w:rsidP="002B3973">
                  <w:pPr>
                    <w:rPr>
                      <w:lang w:val="en-CA"/>
                    </w:rPr>
                  </w:pPr>
                  <w:r>
                    <w:rPr>
                      <w:lang w:val="en-CA"/>
                    </w:rPr>
                    <w:t>7*</w:t>
                  </w:r>
                </w:p>
              </w:tc>
              <w:tc>
                <w:tcPr>
                  <w:tcW w:w="1138" w:type="dxa"/>
                </w:tcPr>
                <w:p w:rsidR="007E260A" w:rsidRDefault="007E260A" w:rsidP="002B3973">
                  <w:pPr>
                    <w:rPr>
                      <w:lang w:val="en-CA"/>
                    </w:rPr>
                  </w:pPr>
                </w:p>
                <w:p w:rsidR="007E260A" w:rsidRDefault="007E260A" w:rsidP="002B3973">
                  <w:pPr>
                    <w:rPr>
                      <w:lang w:val="en-CA"/>
                    </w:rPr>
                  </w:pPr>
                  <w:r>
                    <w:rPr>
                      <w:lang w:val="en-CA"/>
                    </w:rPr>
                    <w:t>27</w:t>
                  </w:r>
                </w:p>
              </w:tc>
            </w:tr>
          </w:tbl>
          <w:p w:rsidR="009513BF" w:rsidRDefault="004D3A6B" w:rsidP="002B3973">
            <w:pPr>
              <w:pStyle w:val="ListParagraph"/>
              <w:numPr>
                <w:ilvl w:val="0"/>
                <w:numId w:val="10"/>
              </w:numPr>
              <w:rPr>
                <w:sz w:val="20"/>
                <w:lang w:val="en-CA"/>
              </w:rPr>
            </w:pPr>
            <w:r>
              <w:rPr>
                <w:sz w:val="20"/>
                <w:lang w:val="en-CA"/>
              </w:rPr>
              <w:t xml:space="preserve">* = </w:t>
            </w:r>
            <w:r w:rsidR="009513BF" w:rsidRPr="009513BF">
              <w:rPr>
                <w:sz w:val="20"/>
                <w:lang w:val="en-CA"/>
              </w:rPr>
              <w:t>Employer Satisfaction was at 100%</w:t>
            </w:r>
          </w:p>
          <w:p w:rsidR="009513BF" w:rsidRPr="00E203DA" w:rsidRDefault="009513BF" w:rsidP="002B3973">
            <w:pPr>
              <w:rPr>
                <w:sz w:val="20"/>
                <w:lang w:val="en-CA"/>
              </w:rPr>
            </w:pPr>
          </w:p>
          <w:p w:rsidR="0039712E" w:rsidRPr="00356C80" w:rsidRDefault="000E276E" w:rsidP="00F756C6">
            <w:pPr>
              <w:jc w:val="both"/>
              <w:rPr>
                <w:lang w:val="en-CA"/>
              </w:rPr>
            </w:pPr>
            <w:r w:rsidRPr="00E203DA">
              <w:rPr>
                <w:sz w:val="20"/>
                <w:lang w:val="en-CA"/>
              </w:rPr>
              <w:t>As would be predicted and as the data suggest, the GHS program is reaching its goal regarding creating other post-secondary pat</w:t>
            </w:r>
            <w:r w:rsidR="00CE338B" w:rsidRPr="00E203DA">
              <w:rPr>
                <w:sz w:val="20"/>
                <w:lang w:val="en-CA"/>
              </w:rPr>
              <w:t xml:space="preserve">hway opportunities for students. </w:t>
            </w:r>
            <w:r w:rsidR="0039712E" w:rsidRPr="00E203DA">
              <w:rPr>
                <w:sz w:val="20"/>
                <w:lang w:val="en-CA"/>
              </w:rPr>
              <w:t>The majority of those graduates surveyed are continuing on with further education.</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4.2 Other Graduate Destinations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23"/>
              </w:numPr>
              <w:tabs>
                <w:tab w:val="clear" w:pos="720"/>
                <w:tab w:val="num" w:pos="360"/>
              </w:tabs>
              <w:ind w:left="360"/>
              <w:jc w:val="left"/>
              <w:rPr>
                <w:rFonts w:ascii="Arial" w:hAnsi="Arial" w:cs="Arial"/>
                <w:sz w:val="20"/>
              </w:rPr>
            </w:pPr>
            <w:r w:rsidRPr="00356C80">
              <w:rPr>
                <w:rFonts w:ascii="Arial" w:hAnsi="Arial" w:cs="Arial"/>
                <w:sz w:val="20"/>
              </w:rPr>
              <w:t>Alternative graduate destinations such as further education, international opportunities, volunteer service, or other experiences</w:t>
            </w:r>
          </w:p>
          <w:p w:rsidR="005D66C4" w:rsidRDefault="005D66C4" w:rsidP="005D66C4">
            <w:pPr>
              <w:pStyle w:val="Title"/>
              <w:jc w:val="left"/>
              <w:rPr>
                <w:rFonts w:ascii="Arial" w:hAnsi="Arial" w:cs="Arial"/>
                <w:sz w:val="20"/>
              </w:rPr>
            </w:pPr>
          </w:p>
          <w:p w:rsidR="004C6A2C" w:rsidRPr="00356C80" w:rsidRDefault="004C6A2C" w:rsidP="005D66C4">
            <w:pPr>
              <w:pStyle w:val="Title"/>
              <w:jc w:val="left"/>
              <w:rPr>
                <w:rFonts w:ascii="Arial" w:hAnsi="Arial" w:cs="Arial"/>
                <w:sz w:val="20"/>
              </w:rPr>
            </w:pPr>
          </w:p>
        </w:tc>
        <w:tc>
          <w:tcPr>
            <w:tcW w:w="6379" w:type="dxa"/>
            <w:gridSpan w:val="2"/>
            <w:tcMar>
              <w:top w:w="113" w:type="dxa"/>
              <w:bottom w:w="113" w:type="dxa"/>
            </w:tcMar>
          </w:tcPr>
          <w:p w:rsidR="00127772" w:rsidRPr="00BF01FF" w:rsidRDefault="004C6A2C" w:rsidP="002B3973">
            <w:pPr>
              <w:rPr>
                <w:sz w:val="20"/>
                <w:lang w:val="en-CA"/>
              </w:rPr>
            </w:pPr>
            <w:r w:rsidRPr="00F756C6">
              <w:rPr>
                <w:sz w:val="20"/>
                <w:lang w:val="en-CA"/>
              </w:rPr>
              <w:lastRenderedPageBreak/>
              <w:t xml:space="preserve">The GHS is a one-year certificate program that </w:t>
            </w:r>
            <w:r w:rsidR="00BF01FF" w:rsidRPr="00F756C6">
              <w:rPr>
                <w:sz w:val="20"/>
                <w:lang w:val="en-CA"/>
              </w:rPr>
              <w:t>prepares learners for entry into colle</w:t>
            </w:r>
            <w:r w:rsidRPr="00F756C6">
              <w:rPr>
                <w:sz w:val="20"/>
                <w:lang w:val="en-CA"/>
              </w:rPr>
              <w:t xml:space="preserve">ge health programs. </w:t>
            </w:r>
            <w:r w:rsidR="00127772" w:rsidRPr="00F756C6">
              <w:rPr>
                <w:sz w:val="20"/>
                <w:lang w:val="en-CA"/>
              </w:rPr>
              <w:t xml:space="preserve">From Fall 2007 to Fall 2011, </w:t>
            </w:r>
            <w:r w:rsidR="00BF01FF" w:rsidRPr="00F756C6">
              <w:rPr>
                <w:sz w:val="20"/>
                <w:lang w:val="en-CA"/>
              </w:rPr>
              <w:t>5</w:t>
            </w:r>
            <w:r w:rsidR="00127772" w:rsidRPr="00F756C6">
              <w:rPr>
                <w:sz w:val="20"/>
                <w:lang w:val="en-CA"/>
              </w:rPr>
              <w:t>5</w:t>
            </w:r>
            <w:r w:rsidR="00BF01FF" w:rsidRPr="00F756C6">
              <w:rPr>
                <w:sz w:val="20"/>
                <w:lang w:val="en-CA"/>
              </w:rPr>
              <w:t>% of GHS students convert</w:t>
            </w:r>
            <w:r w:rsidR="00127772" w:rsidRPr="00F756C6">
              <w:rPr>
                <w:sz w:val="20"/>
                <w:lang w:val="en-CA"/>
              </w:rPr>
              <w:t>ed</w:t>
            </w:r>
            <w:r w:rsidRPr="00F756C6">
              <w:rPr>
                <w:sz w:val="20"/>
                <w:lang w:val="en-CA"/>
              </w:rPr>
              <w:t xml:space="preserve"> into other Fleming </w:t>
            </w:r>
            <w:r w:rsidR="00BF01FF" w:rsidRPr="00F756C6">
              <w:rPr>
                <w:sz w:val="20"/>
                <w:lang w:val="en-CA"/>
              </w:rPr>
              <w:t>diploma programs with Paramedic</w:t>
            </w:r>
            <w:r w:rsidRPr="00F756C6">
              <w:rPr>
                <w:sz w:val="20"/>
                <w:lang w:val="en-CA"/>
              </w:rPr>
              <w:t xml:space="preserve"> and Practical Nursing </w:t>
            </w:r>
            <w:r w:rsidR="00BF01FF" w:rsidRPr="00F756C6">
              <w:rPr>
                <w:sz w:val="20"/>
                <w:lang w:val="en-CA"/>
              </w:rPr>
              <w:t>being first and second choice pathways and Biotechnology Technologist</w:t>
            </w:r>
            <w:r w:rsidRPr="00F756C6">
              <w:rPr>
                <w:sz w:val="20"/>
                <w:lang w:val="en-CA"/>
              </w:rPr>
              <w:t xml:space="preserve"> Forensics </w:t>
            </w:r>
            <w:r w:rsidR="00BF01FF" w:rsidRPr="00F756C6">
              <w:rPr>
                <w:sz w:val="20"/>
                <w:lang w:val="en-CA"/>
              </w:rPr>
              <w:t>the third choice.</w:t>
            </w:r>
            <w:r w:rsidR="00CE338B" w:rsidRPr="00F756C6">
              <w:rPr>
                <w:sz w:val="20"/>
                <w:lang w:val="en-CA"/>
              </w:rPr>
              <w:t xml:space="preserve"> See </w:t>
            </w:r>
            <w:r w:rsidR="00CE338B" w:rsidRPr="002F1CD6">
              <w:rPr>
                <w:b/>
                <w:sz w:val="20"/>
                <w:lang w:val="en-CA"/>
              </w:rPr>
              <w:t>Appendix K</w:t>
            </w:r>
            <w:r w:rsidR="00127772" w:rsidRPr="00F756C6">
              <w:rPr>
                <w:sz w:val="20"/>
                <w:lang w:val="en-CA"/>
              </w:rPr>
              <w:t xml:space="preserve"> for complete listing of pathways</w:t>
            </w:r>
            <w:r w:rsidR="00E203DA">
              <w:rPr>
                <w:sz w:val="20"/>
                <w:lang w:val="en-CA"/>
              </w:rPr>
              <w:t xml:space="preserve"> within the college</w:t>
            </w:r>
            <w:r w:rsidR="00127772" w:rsidRPr="00F756C6">
              <w:rPr>
                <w:sz w:val="20"/>
                <w:lang w:val="en-CA"/>
              </w:rPr>
              <w:t>.</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5.0 Strategic Positioning</w:t>
            </w:r>
          </w:p>
        </w:tc>
        <w:tc>
          <w:tcPr>
            <w:tcW w:w="6379"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5.1</w:t>
            </w:r>
            <w:r w:rsidRPr="00356C80">
              <w:rPr>
                <w:rFonts w:ascii="Arial" w:hAnsi="Arial" w:cs="Arial"/>
                <w:sz w:val="20"/>
              </w:rPr>
              <w:t xml:space="preserve"> </w:t>
            </w:r>
            <w:r w:rsidRPr="00356C80">
              <w:rPr>
                <w:rFonts w:ascii="Arial" w:hAnsi="Arial" w:cs="Arial"/>
                <w:b/>
                <w:sz w:val="20"/>
              </w:rPr>
              <w:t>College Alignment</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D07044" w:rsidRDefault="00EA4DDF" w:rsidP="00EA4DDF">
            <w:pPr>
              <w:pStyle w:val="Title"/>
              <w:numPr>
                <w:ilvl w:val="0"/>
                <w:numId w:val="13"/>
              </w:numPr>
              <w:tabs>
                <w:tab w:val="clear" w:pos="720"/>
                <w:tab w:val="num" w:pos="360"/>
              </w:tabs>
              <w:ind w:left="360"/>
              <w:jc w:val="left"/>
              <w:rPr>
                <w:rFonts w:ascii="Arial" w:hAnsi="Arial" w:cs="Arial"/>
                <w:sz w:val="20"/>
              </w:rPr>
            </w:pPr>
            <w:r w:rsidRPr="00356C80">
              <w:rPr>
                <w:rFonts w:ascii="Arial" w:hAnsi="Arial" w:cs="Arial"/>
                <w:sz w:val="20"/>
              </w:rPr>
              <w:t xml:space="preserve">Program alignment with college priorities such as vision, mission, values, </w:t>
            </w:r>
            <w:r w:rsidRPr="00356C80">
              <w:rPr>
                <w:rFonts w:ascii="Arial" w:hAnsi="Arial" w:cs="Arial"/>
                <w:bCs/>
                <w:sz w:val="20"/>
              </w:rPr>
              <w:t xml:space="preserve">strategic plan, academic framework, and the educational mandate, and / or academic priorities of the School </w:t>
            </w:r>
          </w:p>
          <w:p w:rsidR="00D07044" w:rsidRDefault="00D07044" w:rsidP="00D07044">
            <w:pPr>
              <w:pStyle w:val="Title"/>
              <w:ind w:left="360"/>
              <w:jc w:val="left"/>
              <w:rPr>
                <w:rFonts w:ascii="Arial" w:hAnsi="Arial" w:cs="Arial"/>
                <w:bCs/>
                <w:sz w:val="20"/>
              </w:rPr>
            </w:pPr>
          </w:p>
          <w:p w:rsidR="00EA4DDF" w:rsidRPr="00EB4375" w:rsidRDefault="00EA4DDF" w:rsidP="00EA4DDF">
            <w:pPr>
              <w:pStyle w:val="Title"/>
              <w:numPr>
                <w:ilvl w:val="0"/>
                <w:numId w:val="13"/>
              </w:numPr>
              <w:tabs>
                <w:tab w:val="clear" w:pos="720"/>
                <w:tab w:val="num" w:pos="360"/>
              </w:tabs>
              <w:ind w:left="360"/>
              <w:jc w:val="left"/>
              <w:rPr>
                <w:rFonts w:cs="Arial"/>
                <w:sz w:val="20"/>
                <w:lang w:val="en-CA"/>
              </w:rPr>
            </w:pPr>
            <w:r w:rsidRPr="00356C80">
              <w:rPr>
                <w:rFonts w:ascii="Arial" w:hAnsi="Arial" w:cs="Arial"/>
                <w:sz w:val="20"/>
              </w:rPr>
              <w:t>Opportunities for new program initiatives based on Program, School, or community strengths and alliances</w:t>
            </w:r>
          </w:p>
          <w:p w:rsidR="00EB4375" w:rsidRPr="00356C80" w:rsidRDefault="00EB4375" w:rsidP="00EB4375">
            <w:pPr>
              <w:pStyle w:val="Title"/>
              <w:jc w:val="left"/>
              <w:rPr>
                <w:rFonts w:cs="Arial"/>
                <w:sz w:val="20"/>
                <w:lang w:val="en-CA"/>
              </w:rPr>
            </w:pPr>
          </w:p>
        </w:tc>
        <w:tc>
          <w:tcPr>
            <w:tcW w:w="6379" w:type="dxa"/>
            <w:gridSpan w:val="2"/>
            <w:tcMar>
              <w:top w:w="113" w:type="dxa"/>
              <w:bottom w:w="113" w:type="dxa"/>
            </w:tcMar>
          </w:tcPr>
          <w:p w:rsidR="005478A3" w:rsidRPr="001E45AF" w:rsidRDefault="005478A3" w:rsidP="00F756C6">
            <w:pPr>
              <w:autoSpaceDE w:val="0"/>
              <w:autoSpaceDN w:val="0"/>
              <w:adjustRightInd w:val="0"/>
              <w:jc w:val="both"/>
              <w:rPr>
                <w:rFonts w:cs="Arial"/>
                <w:sz w:val="20"/>
                <w:u w:val="single"/>
                <w:lang w:val="en-CA" w:eastAsia="en-CA"/>
              </w:rPr>
            </w:pPr>
            <w:r w:rsidRPr="001E45AF">
              <w:rPr>
                <w:rFonts w:cs="Arial"/>
                <w:sz w:val="20"/>
                <w:u w:val="single"/>
                <w:lang w:val="en-CA" w:eastAsia="en-CA"/>
              </w:rPr>
              <w:t>Vision</w:t>
            </w:r>
          </w:p>
          <w:p w:rsidR="005478A3" w:rsidRPr="001E45AF" w:rsidRDefault="005478A3" w:rsidP="00F756C6">
            <w:pPr>
              <w:autoSpaceDE w:val="0"/>
              <w:autoSpaceDN w:val="0"/>
              <w:adjustRightInd w:val="0"/>
              <w:jc w:val="both"/>
              <w:rPr>
                <w:rFonts w:cs="Arial"/>
                <w:color w:val="000000"/>
                <w:sz w:val="20"/>
                <w:lang w:val="en-CA" w:eastAsia="en-CA"/>
              </w:rPr>
            </w:pPr>
            <w:r w:rsidRPr="001E45AF">
              <w:rPr>
                <w:rFonts w:cs="Arial"/>
                <w:color w:val="000000"/>
                <w:sz w:val="20"/>
                <w:lang w:val="en-CA" w:eastAsia="en-CA"/>
              </w:rPr>
              <w:t>Students succeeding through personalized learning. Innovation and achievement powered by people.</w:t>
            </w:r>
          </w:p>
          <w:p w:rsidR="005478A3" w:rsidRPr="001E45AF" w:rsidRDefault="005478A3" w:rsidP="00F756C6">
            <w:pPr>
              <w:autoSpaceDE w:val="0"/>
              <w:autoSpaceDN w:val="0"/>
              <w:adjustRightInd w:val="0"/>
              <w:jc w:val="both"/>
              <w:rPr>
                <w:rFonts w:cs="Arial"/>
                <w:color w:val="DA0000"/>
                <w:sz w:val="20"/>
                <w:u w:val="single"/>
                <w:lang w:val="en-CA" w:eastAsia="en-CA"/>
              </w:rPr>
            </w:pPr>
          </w:p>
          <w:p w:rsidR="005478A3" w:rsidRPr="001E45AF" w:rsidRDefault="005478A3" w:rsidP="00F756C6">
            <w:pPr>
              <w:autoSpaceDE w:val="0"/>
              <w:autoSpaceDN w:val="0"/>
              <w:adjustRightInd w:val="0"/>
              <w:jc w:val="both"/>
              <w:rPr>
                <w:rFonts w:cs="Arial"/>
                <w:sz w:val="20"/>
                <w:u w:val="single"/>
                <w:lang w:val="en-CA" w:eastAsia="en-CA"/>
              </w:rPr>
            </w:pPr>
            <w:r w:rsidRPr="001E45AF">
              <w:rPr>
                <w:rFonts w:cs="Arial"/>
                <w:sz w:val="20"/>
                <w:u w:val="single"/>
                <w:lang w:val="en-CA" w:eastAsia="en-CA"/>
              </w:rPr>
              <w:t>Mission</w:t>
            </w:r>
          </w:p>
          <w:p w:rsidR="005478A3" w:rsidRPr="001E45AF" w:rsidRDefault="005478A3" w:rsidP="00F756C6">
            <w:pPr>
              <w:autoSpaceDE w:val="0"/>
              <w:autoSpaceDN w:val="0"/>
              <w:adjustRightInd w:val="0"/>
              <w:jc w:val="both"/>
              <w:rPr>
                <w:rFonts w:cs="Arial"/>
                <w:color w:val="000000"/>
                <w:sz w:val="20"/>
                <w:lang w:val="en-CA" w:eastAsia="en-CA"/>
              </w:rPr>
            </w:pPr>
            <w:r w:rsidRPr="001E45AF">
              <w:rPr>
                <w:rFonts w:cs="Arial"/>
                <w:color w:val="000000"/>
                <w:sz w:val="20"/>
                <w:lang w:val="en-CA" w:eastAsia="en-CA"/>
              </w:rPr>
              <w:t>Fleming champions personal and career success through applied learning. We contribute to community success and environmental sustainability through programs, services and applied research.</w:t>
            </w:r>
          </w:p>
          <w:p w:rsidR="005478A3" w:rsidRPr="001E45AF" w:rsidRDefault="005478A3" w:rsidP="00F756C6">
            <w:pPr>
              <w:autoSpaceDE w:val="0"/>
              <w:autoSpaceDN w:val="0"/>
              <w:adjustRightInd w:val="0"/>
              <w:jc w:val="both"/>
              <w:rPr>
                <w:rFonts w:cs="Arial"/>
                <w:color w:val="DA0000"/>
                <w:sz w:val="20"/>
                <w:u w:val="single"/>
                <w:lang w:val="en-CA" w:eastAsia="en-CA"/>
              </w:rPr>
            </w:pPr>
          </w:p>
          <w:p w:rsidR="005478A3" w:rsidRPr="001E45AF" w:rsidRDefault="005478A3" w:rsidP="00F756C6">
            <w:pPr>
              <w:autoSpaceDE w:val="0"/>
              <w:autoSpaceDN w:val="0"/>
              <w:adjustRightInd w:val="0"/>
              <w:jc w:val="both"/>
              <w:rPr>
                <w:rFonts w:cs="Arial"/>
                <w:sz w:val="20"/>
                <w:u w:val="single"/>
                <w:lang w:val="en-CA" w:eastAsia="en-CA"/>
              </w:rPr>
            </w:pPr>
            <w:r w:rsidRPr="001E45AF">
              <w:rPr>
                <w:rFonts w:cs="Arial"/>
                <w:sz w:val="20"/>
                <w:u w:val="single"/>
                <w:lang w:val="en-CA" w:eastAsia="en-CA"/>
              </w:rPr>
              <w:t>Values</w:t>
            </w:r>
          </w:p>
          <w:p w:rsidR="005478A3" w:rsidRPr="001E45AF" w:rsidRDefault="005478A3" w:rsidP="00F756C6">
            <w:pPr>
              <w:autoSpaceDE w:val="0"/>
              <w:autoSpaceDN w:val="0"/>
              <w:adjustRightInd w:val="0"/>
              <w:jc w:val="both"/>
              <w:rPr>
                <w:rFonts w:cs="Arial"/>
                <w:color w:val="000000"/>
                <w:sz w:val="20"/>
                <w:lang w:val="en-CA" w:eastAsia="en-CA"/>
              </w:rPr>
            </w:pPr>
            <w:r w:rsidRPr="001E45AF">
              <w:rPr>
                <w:rFonts w:cs="Arial"/>
                <w:color w:val="000000"/>
                <w:sz w:val="20"/>
                <w:lang w:val="en-CA" w:eastAsia="en-CA"/>
              </w:rPr>
              <w:t>The student learning experience is our first priority. We value people and community.</w:t>
            </w:r>
          </w:p>
          <w:p w:rsidR="005478A3" w:rsidRPr="001E45AF" w:rsidRDefault="005478A3" w:rsidP="00F756C6">
            <w:pPr>
              <w:autoSpaceDE w:val="0"/>
              <w:autoSpaceDN w:val="0"/>
              <w:adjustRightInd w:val="0"/>
              <w:jc w:val="both"/>
              <w:rPr>
                <w:rFonts w:cs="Arial"/>
                <w:color w:val="000000"/>
                <w:sz w:val="20"/>
                <w:lang w:val="en-CA" w:eastAsia="en-CA"/>
              </w:rPr>
            </w:pPr>
            <w:r w:rsidRPr="001E45AF">
              <w:rPr>
                <w:rFonts w:cs="Arial"/>
                <w:color w:val="000000"/>
                <w:sz w:val="20"/>
                <w:lang w:val="en-CA" w:eastAsia="en-CA"/>
              </w:rPr>
              <w:t>Fleming is committed to a sustainable future. We are inspired by Sir Sandford Fleming to innovate with vision and implement with excellence.</w:t>
            </w:r>
          </w:p>
          <w:p w:rsidR="005478A3" w:rsidRPr="001E45AF" w:rsidRDefault="005478A3" w:rsidP="005478A3">
            <w:pPr>
              <w:autoSpaceDE w:val="0"/>
              <w:autoSpaceDN w:val="0"/>
              <w:adjustRightInd w:val="0"/>
              <w:rPr>
                <w:rFonts w:cs="Arial"/>
                <w:color w:val="DA0000"/>
                <w:sz w:val="20"/>
                <w:lang w:val="en-CA" w:eastAsia="en-CA"/>
              </w:rPr>
            </w:pPr>
          </w:p>
          <w:p w:rsidR="005478A3" w:rsidRPr="001E45AF" w:rsidRDefault="005478A3" w:rsidP="005478A3">
            <w:pPr>
              <w:autoSpaceDE w:val="0"/>
              <w:autoSpaceDN w:val="0"/>
              <w:adjustRightInd w:val="0"/>
              <w:rPr>
                <w:rFonts w:cs="Arial"/>
                <w:sz w:val="20"/>
                <w:u w:val="single"/>
                <w:lang w:val="en-CA" w:eastAsia="en-CA"/>
              </w:rPr>
            </w:pPr>
            <w:r w:rsidRPr="001E45AF">
              <w:rPr>
                <w:rFonts w:cs="Arial"/>
                <w:sz w:val="20"/>
                <w:u w:val="single"/>
                <w:lang w:val="en-CA" w:eastAsia="en-CA"/>
              </w:rPr>
              <w:t>College Strategic Priorities</w:t>
            </w:r>
          </w:p>
          <w:p w:rsidR="005478A3" w:rsidRPr="001E45AF" w:rsidRDefault="005478A3" w:rsidP="005478A3">
            <w:pPr>
              <w:autoSpaceDE w:val="0"/>
              <w:autoSpaceDN w:val="0"/>
              <w:adjustRightInd w:val="0"/>
              <w:rPr>
                <w:rFonts w:cs="Arial"/>
                <w:color w:val="000000"/>
                <w:sz w:val="20"/>
                <w:lang w:val="en-CA" w:eastAsia="en-CA"/>
              </w:rPr>
            </w:pPr>
            <w:r w:rsidRPr="001E45AF">
              <w:rPr>
                <w:rFonts w:cs="Arial"/>
                <w:color w:val="000000"/>
                <w:sz w:val="20"/>
                <w:lang w:val="en-CA" w:eastAsia="en-CA"/>
              </w:rPr>
              <w:t>1. Achieving Excellence in Student Learning.</w:t>
            </w:r>
          </w:p>
          <w:p w:rsidR="005478A3" w:rsidRPr="001E45AF" w:rsidRDefault="005478A3" w:rsidP="005478A3">
            <w:pPr>
              <w:autoSpaceDE w:val="0"/>
              <w:autoSpaceDN w:val="0"/>
              <w:adjustRightInd w:val="0"/>
              <w:rPr>
                <w:rFonts w:cs="Arial"/>
                <w:color w:val="000000"/>
                <w:sz w:val="20"/>
                <w:lang w:val="en-CA" w:eastAsia="en-CA"/>
              </w:rPr>
            </w:pPr>
            <w:r w:rsidRPr="001E45AF">
              <w:rPr>
                <w:rFonts w:cs="Arial"/>
                <w:color w:val="000000"/>
                <w:sz w:val="20"/>
                <w:lang w:val="en-CA" w:eastAsia="en-CA"/>
              </w:rPr>
              <w:t>2. Providing Superior Services and Facilities.</w:t>
            </w:r>
          </w:p>
          <w:p w:rsidR="005478A3" w:rsidRPr="001E45AF" w:rsidRDefault="005478A3" w:rsidP="005478A3">
            <w:pPr>
              <w:autoSpaceDE w:val="0"/>
              <w:autoSpaceDN w:val="0"/>
              <w:adjustRightInd w:val="0"/>
              <w:rPr>
                <w:rFonts w:cs="Arial"/>
                <w:color w:val="000000"/>
                <w:sz w:val="20"/>
                <w:lang w:val="en-CA" w:eastAsia="en-CA"/>
              </w:rPr>
            </w:pPr>
            <w:r w:rsidRPr="001E45AF">
              <w:rPr>
                <w:rFonts w:cs="Arial"/>
                <w:color w:val="000000"/>
                <w:sz w:val="20"/>
                <w:lang w:val="en-CA" w:eastAsia="en-CA"/>
              </w:rPr>
              <w:t>3. Leading in Sustainability.</w:t>
            </w:r>
          </w:p>
          <w:p w:rsidR="005478A3" w:rsidRPr="001E45AF" w:rsidRDefault="005478A3" w:rsidP="005478A3">
            <w:pPr>
              <w:autoSpaceDE w:val="0"/>
              <w:autoSpaceDN w:val="0"/>
              <w:adjustRightInd w:val="0"/>
              <w:rPr>
                <w:rFonts w:cs="Arial"/>
                <w:color w:val="000000"/>
                <w:sz w:val="20"/>
                <w:lang w:val="en-CA" w:eastAsia="en-CA"/>
              </w:rPr>
            </w:pPr>
            <w:r w:rsidRPr="001E45AF">
              <w:rPr>
                <w:rFonts w:cs="Arial"/>
                <w:color w:val="000000"/>
                <w:sz w:val="20"/>
                <w:lang w:val="en-CA" w:eastAsia="en-CA"/>
              </w:rPr>
              <w:t>4. Growing with Positive Results.</w:t>
            </w:r>
          </w:p>
          <w:p w:rsidR="005478A3" w:rsidRPr="001E45AF" w:rsidRDefault="005478A3" w:rsidP="005478A3">
            <w:pPr>
              <w:autoSpaceDE w:val="0"/>
              <w:autoSpaceDN w:val="0"/>
              <w:adjustRightInd w:val="0"/>
              <w:rPr>
                <w:rFonts w:cs="Arial"/>
                <w:color w:val="000000"/>
                <w:sz w:val="20"/>
                <w:lang w:val="en-CA" w:eastAsia="en-CA"/>
              </w:rPr>
            </w:pPr>
            <w:r w:rsidRPr="001E45AF">
              <w:rPr>
                <w:rFonts w:cs="Arial"/>
                <w:color w:val="000000"/>
                <w:sz w:val="20"/>
                <w:lang w:val="en-CA" w:eastAsia="en-CA"/>
              </w:rPr>
              <w:t>5. Building Community Success.</w:t>
            </w:r>
          </w:p>
          <w:p w:rsidR="005478A3" w:rsidRDefault="005478A3" w:rsidP="005478A3">
            <w:pPr>
              <w:autoSpaceDE w:val="0"/>
              <w:autoSpaceDN w:val="0"/>
              <w:adjustRightInd w:val="0"/>
              <w:rPr>
                <w:rFonts w:cs="Arial"/>
                <w:color w:val="000000"/>
                <w:sz w:val="20"/>
                <w:lang w:val="en-CA" w:eastAsia="en-CA"/>
              </w:rPr>
            </w:pPr>
            <w:r w:rsidRPr="001E45AF">
              <w:rPr>
                <w:rFonts w:cs="Arial"/>
                <w:color w:val="000000"/>
                <w:sz w:val="20"/>
                <w:lang w:val="en-CA" w:eastAsia="en-CA"/>
              </w:rPr>
              <w:t>6. Developing the Fleming Working Environment</w:t>
            </w:r>
          </w:p>
          <w:p w:rsidR="005478A3" w:rsidRDefault="005478A3" w:rsidP="005478A3">
            <w:pPr>
              <w:autoSpaceDE w:val="0"/>
              <w:autoSpaceDN w:val="0"/>
              <w:adjustRightInd w:val="0"/>
              <w:rPr>
                <w:rFonts w:cs="Arial"/>
                <w:color w:val="000000"/>
                <w:sz w:val="20"/>
                <w:lang w:val="en-CA" w:eastAsia="en-CA"/>
              </w:rPr>
            </w:pPr>
          </w:p>
          <w:p w:rsidR="005478A3" w:rsidRPr="005478A3" w:rsidRDefault="005478A3" w:rsidP="005478A3">
            <w:pPr>
              <w:autoSpaceDE w:val="0"/>
              <w:autoSpaceDN w:val="0"/>
              <w:adjustRightInd w:val="0"/>
              <w:rPr>
                <w:rFonts w:cs="Arial"/>
                <w:color w:val="000000"/>
                <w:sz w:val="20"/>
                <w:lang w:val="en-CA" w:eastAsia="en-CA"/>
              </w:rPr>
            </w:pPr>
            <w:r w:rsidRPr="001E45AF">
              <w:rPr>
                <w:rFonts w:cs="Arial"/>
                <w:b/>
                <w:sz w:val="20"/>
              </w:rPr>
              <w:t>Learn Belong Become Core Promise</w:t>
            </w:r>
          </w:p>
          <w:p w:rsidR="005478A3" w:rsidRPr="001E45AF" w:rsidRDefault="005478A3" w:rsidP="00F756C6">
            <w:pPr>
              <w:spacing w:before="100" w:beforeAutospacing="1" w:after="100" w:afterAutospacing="1"/>
              <w:jc w:val="both"/>
              <w:rPr>
                <w:rFonts w:cs="Arial"/>
                <w:sz w:val="20"/>
              </w:rPr>
            </w:pPr>
            <w:r w:rsidRPr="001E45AF">
              <w:rPr>
                <w:rFonts w:cs="Arial"/>
                <w:sz w:val="20"/>
              </w:rPr>
              <w:t>This program clearly supports the strategic plan for the college, the academic business plan and the GAS business plan. Specifically, the GHS program supports the primary goal articulated in Fleming’s Strategic Priority to achieve excellence in student learning through innovation in:</w:t>
            </w:r>
          </w:p>
          <w:p w:rsidR="005478A3" w:rsidRPr="001E45AF" w:rsidRDefault="005478A3" w:rsidP="00F756C6">
            <w:pPr>
              <w:pStyle w:val="ListParagraph"/>
              <w:numPr>
                <w:ilvl w:val="0"/>
                <w:numId w:val="47"/>
              </w:numPr>
              <w:spacing w:before="100" w:beforeAutospacing="1" w:after="100" w:afterAutospacing="1"/>
              <w:jc w:val="both"/>
              <w:rPr>
                <w:rFonts w:cs="Arial"/>
                <w:sz w:val="20"/>
              </w:rPr>
            </w:pPr>
            <w:r w:rsidRPr="001E45AF">
              <w:rPr>
                <w:rFonts w:cs="Arial"/>
                <w:sz w:val="20"/>
              </w:rPr>
              <w:lastRenderedPageBreak/>
              <w:t>Outstanding applied learning</w:t>
            </w:r>
          </w:p>
          <w:p w:rsidR="005478A3" w:rsidRPr="001E45AF" w:rsidRDefault="005478A3" w:rsidP="00F756C6">
            <w:pPr>
              <w:pStyle w:val="ListParagraph"/>
              <w:numPr>
                <w:ilvl w:val="0"/>
                <w:numId w:val="47"/>
              </w:numPr>
              <w:spacing w:before="100" w:beforeAutospacing="1" w:after="100" w:afterAutospacing="1"/>
              <w:jc w:val="both"/>
              <w:rPr>
                <w:rFonts w:cs="Arial"/>
                <w:sz w:val="20"/>
              </w:rPr>
            </w:pPr>
            <w:r w:rsidRPr="001E45AF">
              <w:rPr>
                <w:rFonts w:cs="Arial"/>
                <w:sz w:val="20"/>
              </w:rPr>
              <w:t>High expectations and close student/faculty interaction</w:t>
            </w:r>
          </w:p>
          <w:p w:rsidR="005478A3" w:rsidRPr="001E45AF" w:rsidRDefault="005478A3" w:rsidP="00F756C6">
            <w:pPr>
              <w:pStyle w:val="ListParagraph"/>
              <w:numPr>
                <w:ilvl w:val="0"/>
                <w:numId w:val="47"/>
              </w:numPr>
              <w:spacing w:before="100" w:beforeAutospacing="1" w:after="100" w:afterAutospacing="1"/>
              <w:jc w:val="both"/>
              <w:rPr>
                <w:rFonts w:cs="Arial"/>
                <w:sz w:val="20"/>
              </w:rPr>
            </w:pPr>
            <w:r w:rsidRPr="001E45AF">
              <w:rPr>
                <w:rFonts w:cs="Arial"/>
                <w:sz w:val="20"/>
              </w:rPr>
              <w:t>Learning that comes from the entire student experience at Fleming—inside and beyond the classroom</w:t>
            </w:r>
          </w:p>
          <w:p w:rsidR="005478A3" w:rsidRPr="001E45AF" w:rsidRDefault="005478A3" w:rsidP="00F756C6">
            <w:pPr>
              <w:pStyle w:val="ListParagraph"/>
              <w:numPr>
                <w:ilvl w:val="0"/>
                <w:numId w:val="47"/>
              </w:numPr>
              <w:spacing w:before="100" w:beforeAutospacing="1" w:after="100" w:afterAutospacing="1"/>
              <w:jc w:val="both"/>
              <w:rPr>
                <w:rFonts w:cs="Arial"/>
                <w:sz w:val="20"/>
              </w:rPr>
            </w:pPr>
            <w:r w:rsidRPr="001E45AF">
              <w:rPr>
                <w:rFonts w:cs="Arial"/>
                <w:sz w:val="20"/>
              </w:rPr>
              <w:t>Pathways into the college and to careers and further learning opportunities</w:t>
            </w:r>
          </w:p>
          <w:p w:rsidR="005478A3" w:rsidRPr="001E45AF" w:rsidRDefault="005478A3" w:rsidP="00F756C6">
            <w:pPr>
              <w:spacing w:before="100" w:beforeAutospacing="1" w:after="100" w:afterAutospacing="1"/>
              <w:jc w:val="both"/>
              <w:rPr>
                <w:rFonts w:cs="Arial"/>
                <w:sz w:val="20"/>
              </w:rPr>
            </w:pPr>
            <w:r w:rsidRPr="001E45AF">
              <w:rPr>
                <w:rFonts w:cs="Arial"/>
                <w:sz w:val="20"/>
              </w:rPr>
              <w:t>The GAS College Health Science Option provides a pathway opportunity for learners to smoothly and seamlessly transition to the college health care or forensic science program of their choice. The program develops and nurtures essential learning, self-management, and critical thinking skills that truly prepare learners for their future post-secondary studies. The newly re-designed program, curriculum, and assessments create an integrated applied learning experience within a supportive environment that promotes high quality student-faculty interaction and academic rigour.</w:t>
            </w:r>
          </w:p>
          <w:p w:rsidR="005478A3" w:rsidRPr="001E45AF" w:rsidRDefault="005478A3" w:rsidP="005478A3">
            <w:pPr>
              <w:spacing w:before="100" w:beforeAutospacing="1" w:after="100" w:afterAutospacing="1"/>
              <w:rPr>
                <w:rFonts w:cs="Arial"/>
                <w:sz w:val="20"/>
              </w:rPr>
            </w:pPr>
            <w:r w:rsidRPr="001E45AF">
              <w:rPr>
                <w:rFonts w:cs="Arial"/>
                <w:sz w:val="20"/>
              </w:rPr>
              <w:t>GAS has also approached staffing from the perspective of building a cohesive and consistent core program teaching tea</w:t>
            </w:r>
            <w:r w:rsidR="004C6A2C">
              <w:rPr>
                <w:rFonts w:cs="Arial"/>
                <w:sz w:val="20"/>
              </w:rPr>
              <w:t xml:space="preserve">m that consists of primarily </w:t>
            </w:r>
            <w:r w:rsidRPr="001E45AF">
              <w:rPr>
                <w:rFonts w:cs="Arial"/>
                <w:sz w:val="20"/>
              </w:rPr>
              <w:t>full-time faculty</w:t>
            </w:r>
          </w:p>
          <w:p w:rsidR="005478A3" w:rsidRPr="001E45AF" w:rsidRDefault="005478A3" w:rsidP="005478A3">
            <w:pPr>
              <w:spacing w:before="100" w:beforeAutospacing="1" w:after="100" w:afterAutospacing="1"/>
              <w:rPr>
                <w:rFonts w:cs="Arial"/>
                <w:b/>
                <w:sz w:val="20"/>
              </w:rPr>
            </w:pPr>
            <w:r w:rsidRPr="001E45AF">
              <w:rPr>
                <w:rFonts w:cs="Arial"/>
                <w:b/>
                <w:sz w:val="20"/>
              </w:rPr>
              <w:t>Operational Planning and Performance Review</w:t>
            </w:r>
          </w:p>
          <w:p w:rsidR="005478A3" w:rsidRPr="004C6A2C" w:rsidRDefault="005478A3" w:rsidP="005478A3">
            <w:pPr>
              <w:spacing w:before="100" w:beforeAutospacing="1" w:after="100" w:afterAutospacing="1"/>
              <w:rPr>
                <w:rFonts w:cs="Arial"/>
                <w:b/>
                <w:i/>
                <w:sz w:val="20"/>
              </w:rPr>
            </w:pPr>
            <w:r w:rsidRPr="001E45AF">
              <w:rPr>
                <w:rFonts w:cs="Arial"/>
                <w:b/>
                <w:sz w:val="20"/>
              </w:rPr>
              <w:t xml:space="preserve">Priority  #1       </w:t>
            </w:r>
            <w:r w:rsidRPr="001E45AF">
              <w:rPr>
                <w:rFonts w:cs="Arial"/>
                <w:b/>
                <w:i/>
                <w:sz w:val="20"/>
              </w:rPr>
              <w:t xml:space="preserve">Achieving Excellence in Student Learning </w:t>
            </w:r>
            <w:r w:rsidRPr="001E45AF">
              <w:rPr>
                <w:rFonts w:cs="Arial"/>
                <w:b/>
                <w:i/>
                <w:sz w:val="20"/>
                <w:u w:val="single"/>
              </w:rPr>
              <w:t>Objective 1.2:</w:t>
            </w:r>
          </w:p>
          <w:p w:rsidR="005478A3" w:rsidRPr="001E45AF" w:rsidRDefault="005478A3" w:rsidP="005478A3">
            <w:pPr>
              <w:pStyle w:val="Footer"/>
              <w:numPr>
                <w:ilvl w:val="0"/>
                <w:numId w:val="45"/>
              </w:numPr>
              <w:tabs>
                <w:tab w:val="clear" w:pos="4320"/>
                <w:tab w:val="clear" w:pos="8640"/>
              </w:tabs>
              <w:rPr>
                <w:rFonts w:cs="Arial"/>
                <w:sz w:val="20"/>
              </w:rPr>
            </w:pPr>
            <w:r w:rsidRPr="001E45AF">
              <w:rPr>
                <w:rFonts w:cs="Arial"/>
                <w:sz w:val="20"/>
              </w:rPr>
              <w:t>Implement multifaceted retention strategies for GHS</w:t>
            </w:r>
          </w:p>
          <w:p w:rsidR="004C6A2C" w:rsidRDefault="004C6A2C" w:rsidP="005478A3">
            <w:pPr>
              <w:pStyle w:val="Footer"/>
              <w:tabs>
                <w:tab w:val="clear" w:pos="4320"/>
                <w:tab w:val="clear" w:pos="8640"/>
              </w:tabs>
              <w:rPr>
                <w:rFonts w:cs="Arial"/>
                <w:sz w:val="20"/>
                <w:u w:val="single"/>
              </w:rPr>
            </w:pPr>
          </w:p>
          <w:p w:rsidR="005478A3" w:rsidRPr="001E45AF" w:rsidRDefault="005478A3" w:rsidP="005478A3">
            <w:pPr>
              <w:pStyle w:val="Footer"/>
              <w:tabs>
                <w:tab w:val="clear" w:pos="4320"/>
                <w:tab w:val="clear" w:pos="8640"/>
              </w:tabs>
              <w:rPr>
                <w:rFonts w:cs="Arial"/>
                <w:sz w:val="20"/>
                <w:u w:val="single"/>
              </w:rPr>
            </w:pPr>
            <w:r w:rsidRPr="001E45AF">
              <w:rPr>
                <w:rFonts w:cs="Arial"/>
                <w:sz w:val="20"/>
                <w:u w:val="single"/>
              </w:rPr>
              <w:t>Measurement:</w:t>
            </w:r>
          </w:p>
          <w:p w:rsidR="005478A3" w:rsidRPr="001E45AF" w:rsidRDefault="005478A3" w:rsidP="005478A3">
            <w:pPr>
              <w:pStyle w:val="Header"/>
              <w:numPr>
                <w:ilvl w:val="0"/>
                <w:numId w:val="44"/>
              </w:numPr>
              <w:tabs>
                <w:tab w:val="clear" w:pos="4320"/>
                <w:tab w:val="clear" w:pos="8640"/>
              </w:tabs>
              <w:rPr>
                <w:rFonts w:cs="Arial"/>
                <w:sz w:val="20"/>
              </w:rPr>
            </w:pPr>
            <w:r w:rsidRPr="001E45AF">
              <w:rPr>
                <w:rFonts w:cs="Arial"/>
                <w:sz w:val="20"/>
              </w:rPr>
              <w:t>Implementation of retention strategies for GHS</w:t>
            </w:r>
          </w:p>
          <w:p w:rsidR="005478A3" w:rsidRPr="001E45AF" w:rsidRDefault="005478A3" w:rsidP="005478A3">
            <w:pPr>
              <w:pStyle w:val="Header"/>
              <w:tabs>
                <w:tab w:val="clear" w:pos="4320"/>
                <w:tab w:val="clear" w:pos="8640"/>
              </w:tabs>
              <w:ind w:left="360"/>
              <w:rPr>
                <w:rFonts w:cs="Arial"/>
                <w:sz w:val="20"/>
              </w:rPr>
            </w:pPr>
            <w:r w:rsidRPr="0022063D">
              <w:rPr>
                <w:rFonts w:cs="Arial"/>
                <w:b/>
                <w:sz w:val="20"/>
              </w:rPr>
              <w:t xml:space="preserve">See attached </w:t>
            </w:r>
            <w:r w:rsidRPr="0022063D">
              <w:rPr>
                <w:rFonts w:cs="Arial"/>
                <w:b/>
                <w:i/>
                <w:sz w:val="20"/>
              </w:rPr>
              <w:t>Success Strategies for GHS Programs Fall 2012</w:t>
            </w:r>
            <w:r w:rsidR="00F756C6" w:rsidRPr="0022063D">
              <w:rPr>
                <w:rFonts w:cs="Arial"/>
                <w:b/>
                <w:i/>
                <w:sz w:val="20"/>
              </w:rPr>
              <w:t xml:space="preserve"> – Appendix L.</w:t>
            </w:r>
          </w:p>
          <w:p w:rsidR="005478A3" w:rsidRPr="001E45AF" w:rsidRDefault="005478A3" w:rsidP="005478A3">
            <w:pPr>
              <w:pStyle w:val="Header"/>
              <w:tabs>
                <w:tab w:val="clear" w:pos="4320"/>
                <w:tab w:val="clear" w:pos="8640"/>
              </w:tabs>
              <w:rPr>
                <w:rFonts w:cs="Arial"/>
                <w:sz w:val="20"/>
              </w:rPr>
            </w:pPr>
          </w:p>
          <w:p w:rsidR="005478A3" w:rsidRPr="001E45AF" w:rsidRDefault="005478A3" w:rsidP="005478A3">
            <w:pPr>
              <w:pStyle w:val="Header"/>
              <w:tabs>
                <w:tab w:val="clear" w:pos="4320"/>
                <w:tab w:val="clear" w:pos="8640"/>
              </w:tabs>
              <w:rPr>
                <w:rFonts w:cs="Arial"/>
                <w:b/>
                <w:i/>
                <w:sz w:val="20"/>
                <w:u w:val="single"/>
              </w:rPr>
            </w:pPr>
            <w:r w:rsidRPr="001E45AF">
              <w:rPr>
                <w:rFonts w:cs="Arial"/>
                <w:b/>
                <w:i/>
                <w:sz w:val="20"/>
                <w:u w:val="single"/>
              </w:rPr>
              <w:t>Objective 1.3:</w:t>
            </w:r>
          </w:p>
          <w:p w:rsidR="005478A3" w:rsidRPr="001E45AF" w:rsidRDefault="005478A3" w:rsidP="005478A3">
            <w:pPr>
              <w:pStyle w:val="Header"/>
              <w:tabs>
                <w:tab w:val="clear" w:pos="4320"/>
                <w:tab w:val="clear" w:pos="8640"/>
              </w:tabs>
              <w:rPr>
                <w:rFonts w:cs="Arial"/>
                <w:sz w:val="20"/>
              </w:rPr>
            </w:pPr>
          </w:p>
          <w:p w:rsidR="005478A3" w:rsidRPr="001E45AF" w:rsidRDefault="005478A3" w:rsidP="00F756C6">
            <w:pPr>
              <w:pStyle w:val="Header"/>
              <w:tabs>
                <w:tab w:val="clear" w:pos="4320"/>
                <w:tab w:val="clear" w:pos="8640"/>
              </w:tabs>
              <w:jc w:val="both"/>
              <w:rPr>
                <w:rFonts w:cs="Arial"/>
                <w:sz w:val="20"/>
              </w:rPr>
            </w:pPr>
            <w:r w:rsidRPr="001E45AF">
              <w:rPr>
                <w:rFonts w:cs="Arial"/>
                <w:sz w:val="20"/>
              </w:rPr>
              <w:lastRenderedPageBreak/>
              <w:t xml:space="preserve">Improve and increase pathways to facilitate access and ensure that graduates can pursue career alternatives and further educational opportunities </w:t>
            </w:r>
          </w:p>
          <w:p w:rsidR="005478A3" w:rsidRPr="001E45AF" w:rsidRDefault="005478A3" w:rsidP="00F756C6">
            <w:pPr>
              <w:pStyle w:val="Header"/>
              <w:tabs>
                <w:tab w:val="clear" w:pos="4320"/>
                <w:tab w:val="clear" w:pos="8640"/>
              </w:tabs>
              <w:jc w:val="both"/>
              <w:rPr>
                <w:rFonts w:cs="Arial"/>
                <w:sz w:val="20"/>
              </w:rPr>
            </w:pPr>
          </w:p>
          <w:p w:rsidR="005478A3" w:rsidRPr="001E45AF" w:rsidRDefault="005478A3" w:rsidP="00F756C6">
            <w:pPr>
              <w:pStyle w:val="Header"/>
              <w:tabs>
                <w:tab w:val="clear" w:pos="4320"/>
                <w:tab w:val="clear" w:pos="8640"/>
              </w:tabs>
              <w:jc w:val="both"/>
              <w:rPr>
                <w:rFonts w:cs="Arial"/>
                <w:b/>
                <w:i/>
                <w:sz w:val="20"/>
                <w:u w:val="single"/>
              </w:rPr>
            </w:pPr>
            <w:r w:rsidRPr="001E45AF">
              <w:rPr>
                <w:rFonts w:cs="Arial"/>
                <w:b/>
                <w:i/>
                <w:sz w:val="20"/>
                <w:u w:val="single"/>
              </w:rPr>
              <w:t>Objective 1.4:</w:t>
            </w:r>
          </w:p>
          <w:p w:rsidR="005478A3" w:rsidRPr="001E45AF" w:rsidRDefault="005478A3" w:rsidP="00F756C6">
            <w:pPr>
              <w:pStyle w:val="Footer"/>
              <w:tabs>
                <w:tab w:val="clear" w:pos="4320"/>
                <w:tab w:val="clear" w:pos="8640"/>
              </w:tabs>
              <w:jc w:val="both"/>
              <w:rPr>
                <w:rFonts w:cs="Arial"/>
                <w:sz w:val="20"/>
              </w:rPr>
            </w:pPr>
          </w:p>
          <w:p w:rsidR="005478A3" w:rsidRPr="001E45AF" w:rsidRDefault="005478A3" w:rsidP="00F756C6">
            <w:pPr>
              <w:pStyle w:val="Footer"/>
              <w:tabs>
                <w:tab w:val="clear" w:pos="4320"/>
                <w:tab w:val="clear" w:pos="8640"/>
              </w:tabs>
              <w:jc w:val="both"/>
              <w:rPr>
                <w:rFonts w:cs="Arial"/>
                <w:sz w:val="20"/>
              </w:rPr>
            </w:pPr>
            <w:r w:rsidRPr="001E45AF">
              <w:rPr>
                <w:rFonts w:cs="Arial"/>
                <w:sz w:val="20"/>
              </w:rPr>
              <w:t>Develop and implement Core Promise Work Plan (Student Success)</w:t>
            </w:r>
          </w:p>
          <w:p w:rsidR="005478A3" w:rsidRPr="001E45AF" w:rsidRDefault="005478A3" w:rsidP="00F756C6">
            <w:pPr>
              <w:jc w:val="both"/>
              <w:rPr>
                <w:rFonts w:cs="Arial"/>
                <w:sz w:val="20"/>
                <w:lang w:val="en-CA"/>
              </w:rPr>
            </w:pPr>
          </w:p>
          <w:p w:rsidR="005478A3" w:rsidRPr="001E45AF" w:rsidRDefault="005478A3" w:rsidP="00F756C6">
            <w:pPr>
              <w:jc w:val="both"/>
              <w:rPr>
                <w:rFonts w:cs="Arial"/>
                <w:sz w:val="20"/>
                <w:u w:val="single"/>
                <w:lang w:val="en-CA"/>
              </w:rPr>
            </w:pPr>
            <w:r w:rsidRPr="001E45AF">
              <w:rPr>
                <w:rFonts w:cs="Arial"/>
                <w:sz w:val="20"/>
                <w:u w:val="single"/>
                <w:lang w:val="en-CA"/>
              </w:rPr>
              <w:t>Measurement:</w:t>
            </w:r>
          </w:p>
          <w:p w:rsidR="005478A3" w:rsidRPr="001E45AF" w:rsidRDefault="005478A3" w:rsidP="00F756C6">
            <w:pPr>
              <w:pStyle w:val="Header"/>
              <w:numPr>
                <w:ilvl w:val="0"/>
                <w:numId w:val="46"/>
              </w:numPr>
              <w:tabs>
                <w:tab w:val="clear" w:pos="4320"/>
                <w:tab w:val="clear" w:pos="8640"/>
              </w:tabs>
              <w:jc w:val="both"/>
              <w:rPr>
                <w:rFonts w:cs="Arial"/>
                <w:sz w:val="20"/>
              </w:rPr>
            </w:pPr>
            <w:r w:rsidRPr="001E45AF">
              <w:rPr>
                <w:rFonts w:cs="Arial"/>
                <w:sz w:val="20"/>
              </w:rPr>
              <w:t xml:space="preserve">Implement KPI Student Engagement strategy at the school level for identified programs.  </w:t>
            </w:r>
          </w:p>
          <w:p w:rsidR="005478A3" w:rsidRPr="001E45AF" w:rsidRDefault="005478A3" w:rsidP="00F756C6">
            <w:pPr>
              <w:pStyle w:val="Header"/>
              <w:numPr>
                <w:ilvl w:val="0"/>
                <w:numId w:val="46"/>
              </w:numPr>
              <w:tabs>
                <w:tab w:val="clear" w:pos="4320"/>
                <w:tab w:val="clear" w:pos="8640"/>
              </w:tabs>
              <w:jc w:val="both"/>
              <w:rPr>
                <w:rFonts w:cs="Arial"/>
                <w:sz w:val="20"/>
              </w:rPr>
            </w:pPr>
            <w:r w:rsidRPr="001E45AF">
              <w:rPr>
                <w:rFonts w:cs="Arial"/>
                <w:sz w:val="20"/>
              </w:rPr>
              <w:t xml:space="preserve">Participate in the College KPI improvement Plan, which includes: </w:t>
            </w:r>
          </w:p>
          <w:p w:rsidR="00EA4DDF" w:rsidRPr="00356C80" w:rsidRDefault="005478A3" w:rsidP="00F756C6">
            <w:pPr>
              <w:jc w:val="both"/>
              <w:rPr>
                <w:rFonts w:cs="Arial"/>
                <w:szCs w:val="22"/>
                <w:lang w:val="en-CA"/>
              </w:rPr>
            </w:pPr>
            <w:r w:rsidRPr="001E45AF">
              <w:rPr>
                <w:rFonts w:cs="Arial"/>
                <w:sz w:val="20"/>
              </w:rPr>
              <w:t>School task team to review course materials through a college-wide approach</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Height w:val="1762"/>
        </w:trPr>
        <w:tc>
          <w:tcPr>
            <w:tcW w:w="6663"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5.2 Competitor Programs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22"/>
              </w:numPr>
              <w:tabs>
                <w:tab w:val="clear" w:pos="720"/>
              </w:tabs>
              <w:ind w:left="360"/>
              <w:jc w:val="left"/>
              <w:rPr>
                <w:rFonts w:ascii="Arial" w:hAnsi="Arial" w:cs="Arial"/>
                <w:sz w:val="20"/>
              </w:rPr>
            </w:pPr>
            <w:r w:rsidRPr="00356C80">
              <w:rPr>
                <w:rFonts w:ascii="Arial" w:hAnsi="Arial" w:cs="Arial"/>
                <w:sz w:val="20"/>
              </w:rPr>
              <w:t>Key parallels and differences between this program and those of its closest competitors, where applicable</w:t>
            </w:r>
          </w:p>
          <w:p w:rsidR="00D07044" w:rsidRPr="00356C80" w:rsidRDefault="00D07044" w:rsidP="00D07044">
            <w:pPr>
              <w:pStyle w:val="Title"/>
              <w:ind w:left="360"/>
              <w:jc w:val="left"/>
              <w:rPr>
                <w:rFonts w:ascii="Arial" w:hAnsi="Arial" w:cs="Arial"/>
                <w:sz w:val="20"/>
              </w:rPr>
            </w:pPr>
          </w:p>
          <w:p w:rsidR="00EA4DDF" w:rsidRPr="00EB4375" w:rsidRDefault="00EA4DDF" w:rsidP="00EA4DDF">
            <w:pPr>
              <w:pStyle w:val="Title"/>
              <w:numPr>
                <w:ilvl w:val="0"/>
                <w:numId w:val="21"/>
              </w:numPr>
              <w:tabs>
                <w:tab w:val="clear" w:pos="720"/>
              </w:tabs>
              <w:ind w:left="360"/>
              <w:jc w:val="left"/>
              <w:rPr>
                <w:rFonts w:ascii="Arial" w:hAnsi="Arial" w:cs="Arial"/>
                <w:b/>
                <w:sz w:val="20"/>
              </w:rPr>
            </w:pPr>
            <w:r w:rsidRPr="00356C80">
              <w:rPr>
                <w:rFonts w:ascii="Arial" w:hAnsi="Arial" w:cs="Arial"/>
                <w:sz w:val="20"/>
              </w:rPr>
              <w:t>’Value-added’ program distinctions and their attractiveness to prospective students</w:t>
            </w:r>
          </w:p>
          <w:p w:rsidR="00EB4375" w:rsidRPr="00356C80" w:rsidRDefault="00EB4375" w:rsidP="00EB4375">
            <w:pPr>
              <w:pStyle w:val="Title"/>
              <w:jc w:val="left"/>
              <w:rPr>
                <w:rFonts w:ascii="Arial" w:hAnsi="Arial" w:cs="Arial"/>
                <w:b/>
                <w:sz w:val="20"/>
              </w:rPr>
            </w:pPr>
          </w:p>
        </w:tc>
        <w:tc>
          <w:tcPr>
            <w:tcW w:w="6379" w:type="dxa"/>
            <w:gridSpan w:val="2"/>
            <w:tcMar>
              <w:top w:w="113" w:type="dxa"/>
              <w:bottom w:w="113" w:type="dxa"/>
            </w:tcMar>
          </w:tcPr>
          <w:p w:rsidR="005478A3" w:rsidRPr="001E45AF" w:rsidRDefault="005478A3" w:rsidP="005478A3">
            <w:pPr>
              <w:rPr>
                <w:rFonts w:cs="Arial"/>
                <w:b/>
                <w:sz w:val="20"/>
              </w:rPr>
            </w:pPr>
            <w:r w:rsidRPr="001E45AF">
              <w:rPr>
                <w:rFonts w:cs="Arial"/>
                <w:b/>
                <w:sz w:val="20"/>
              </w:rPr>
              <w:t xml:space="preserve">See </w:t>
            </w:r>
            <w:r w:rsidR="004C6A2C">
              <w:rPr>
                <w:rFonts w:cs="Arial"/>
                <w:b/>
                <w:sz w:val="20"/>
              </w:rPr>
              <w:t xml:space="preserve">Appendix A: </w:t>
            </w:r>
            <w:r w:rsidRPr="001E45AF">
              <w:rPr>
                <w:rFonts w:cs="Arial"/>
                <w:b/>
                <w:i/>
                <w:sz w:val="20"/>
              </w:rPr>
              <w:t>Key Research Findings: College Health Science Option (44700)</w:t>
            </w:r>
          </w:p>
          <w:p w:rsidR="005478A3" w:rsidRPr="001E45AF" w:rsidRDefault="005478A3" w:rsidP="005478A3">
            <w:pPr>
              <w:rPr>
                <w:rFonts w:cs="Arial"/>
                <w:sz w:val="20"/>
              </w:rPr>
            </w:pPr>
          </w:p>
          <w:p w:rsidR="005478A3" w:rsidRPr="001E45AF" w:rsidRDefault="005478A3" w:rsidP="00F756C6">
            <w:pPr>
              <w:jc w:val="both"/>
              <w:rPr>
                <w:rFonts w:cs="Arial"/>
                <w:sz w:val="20"/>
              </w:rPr>
            </w:pPr>
            <w:r w:rsidRPr="001E45AF">
              <w:rPr>
                <w:rFonts w:cs="Arial"/>
                <w:sz w:val="20"/>
              </w:rPr>
              <w:t>Twenty-four colleges offer this program, including all four of Fleming’s main competitors, and most have a very similar focus on preparatory science, math, critical thinking, and communications skills with some emphasis on guiding student success and future program orientation in the health sciences. All offer pathways to college programs, but there are three colleges with alternative pathways.</w:t>
            </w:r>
          </w:p>
          <w:p w:rsidR="005478A3" w:rsidRPr="001E45AF" w:rsidRDefault="005478A3" w:rsidP="00F756C6">
            <w:pPr>
              <w:jc w:val="both"/>
              <w:rPr>
                <w:rFonts w:cs="Arial"/>
                <w:sz w:val="20"/>
              </w:rPr>
            </w:pPr>
          </w:p>
          <w:p w:rsidR="005478A3" w:rsidRPr="001E45AF" w:rsidRDefault="005478A3" w:rsidP="00F756C6">
            <w:pPr>
              <w:jc w:val="both"/>
              <w:rPr>
                <w:rFonts w:cs="Arial"/>
                <w:sz w:val="20"/>
              </w:rPr>
            </w:pPr>
            <w:r w:rsidRPr="001E45AF">
              <w:rPr>
                <w:rFonts w:cs="Arial"/>
                <w:sz w:val="20"/>
              </w:rPr>
              <w:t>At Conestoga, students can take a one-semester General Arts and Science Health Option for entry into Biotechnology Technician, Dietician, Pre-Service Firefighter, Practical Nursing, Personal Support Worker, Paramedic, and Occupational Therapy Assistant/ Physiotherapy Assistant programs. The one-year Pre-Health Sciences Certificate Program is designed to prepare students for application to Conestoga College’s School of Health Sciences Advanced Diploma or Degree programs (Respiratory Therapist, McMaster University Bachelor of Science in Nursing, or Health Informatics Degree).</w:t>
            </w:r>
          </w:p>
          <w:p w:rsidR="005478A3" w:rsidRPr="001E45AF" w:rsidRDefault="005478A3" w:rsidP="00F756C6">
            <w:pPr>
              <w:jc w:val="both"/>
              <w:rPr>
                <w:rFonts w:cs="Arial"/>
                <w:sz w:val="20"/>
              </w:rPr>
            </w:pPr>
          </w:p>
          <w:p w:rsidR="005478A3" w:rsidRPr="001E45AF" w:rsidRDefault="005478A3" w:rsidP="00F756C6">
            <w:pPr>
              <w:jc w:val="both"/>
              <w:rPr>
                <w:rFonts w:cs="Arial"/>
                <w:sz w:val="20"/>
              </w:rPr>
            </w:pPr>
            <w:r w:rsidRPr="001E45AF">
              <w:rPr>
                <w:rFonts w:cs="Arial"/>
                <w:sz w:val="20"/>
              </w:rPr>
              <w:t xml:space="preserve">At Loyalist, students entering the second semester of the certificate </w:t>
            </w:r>
            <w:r w:rsidRPr="001E45AF">
              <w:rPr>
                <w:rFonts w:cs="Arial"/>
                <w:sz w:val="20"/>
              </w:rPr>
              <w:lastRenderedPageBreak/>
              <w:t>program can choose electives that will support either a diploma or degree orientation. Graduates who maintain a minimum average of 70% in the certificate program, and meet specific entrance requirements, are eligible for admission to the Brock University/Loyalist College collaborative Nursing Degree or other university-oriented science studies.</w:t>
            </w:r>
          </w:p>
          <w:p w:rsidR="005478A3" w:rsidRPr="001E45AF" w:rsidRDefault="005478A3" w:rsidP="005478A3">
            <w:pPr>
              <w:rPr>
                <w:rFonts w:cs="Arial"/>
                <w:sz w:val="20"/>
              </w:rPr>
            </w:pPr>
          </w:p>
          <w:p w:rsidR="005478A3" w:rsidRPr="001E45AF" w:rsidRDefault="005478A3" w:rsidP="00F756C6">
            <w:pPr>
              <w:jc w:val="both"/>
              <w:rPr>
                <w:rFonts w:cs="Arial"/>
                <w:sz w:val="20"/>
              </w:rPr>
            </w:pPr>
            <w:r w:rsidRPr="001E45AF">
              <w:rPr>
                <w:rFonts w:cs="Arial"/>
                <w:sz w:val="20"/>
              </w:rPr>
              <w:t>At Northern, successful completion of both semesters (2.8 GPA) of the certificate program provides the prerequisite for entry into Northern’s Nursing Baccalaureate program (partnered with Laurentian University).</w:t>
            </w:r>
          </w:p>
          <w:p w:rsidR="005478A3" w:rsidRPr="001E45AF" w:rsidRDefault="005478A3" w:rsidP="00F756C6">
            <w:pPr>
              <w:jc w:val="both"/>
              <w:rPr>
                <w:rFonts w:cs="Arial"/>
                <w:sz w:val="20"/>
              </w:rPr>
            </w:pPr>
          </w:p>
          <w:p w:rsidR="005478A3" w:rsidRPr="001E45AF" w:rsidRDefault="005478A3" w:rsidP="00F756C6">
            <w:pPr>
              <w:jc w:val="both"/>
              <w:rPr>
                <w:rFonts w:cs="Arial"/>
                <w:sz w:val="20"/>
              </w:rPr>
            </w:pPr>
            <w:r w:rsidRPr="001E45AF">
              <w:rPr>
                <w:rFonts w:cs="Arial"/>
                <w:sz w:val="20"/>
              </w:rPr>
              <w:t>No other colleges advertise an integrated curriculum across both courses and semesters, and only one other college, Niagara, advertises that all Science courses use health-related examples. Niagara also advertises small class and lab sizes and up to 75 hours of lab experience.</w:t>
            </w:r>
          </w:p>
          <w:p w:rsidR="005478A3" w:rsidRPr="001E45AF" w:rsidRDefault="005478A3" w:rsidP="00F756C6">
            <w:pPr>
              <w:jc w:val="both"/>
              <w:rPr>
                <w:rFonts w:cs="Arial"/>
                <w:sz w:val="20"/>
              </w:rPr>
            </w:pPr>
          </w:p>
          <w:p w:rsidR="005478A3" w:rsidRPr="001E45AF" w:rsidRDefault="005478A3" w:rsidP="00F756C6">
            <w:pPr>
              <w:jc w:val="both"/>
              <w:rPr>
                <w:rFonts w:cs="Arial"/>
                <w:sz w:val="20"/>
              </w:rPr>
            </w:pPr>
            <w:r w:rsidRPr="001E45AF">
              <w:rPr>
                <w:rFonts w:cs="Arial"/>
                <w:sz w:val="20"/>
              </w:rPr>
              <w:t xml:space="preserve">Overall, the degree to which the courses in the program are integrated within and tied to health care themes over both semesters is distinctive. </w:t>
            </w:r>
          </w:p>
          <w:p w:rsidR="005478A3" w:rsidRPr="001E45AF" w:rsidRDefault="005478A3" w:rsidP="005478A3">
            <w:pPr>
              <w:rPr>
                <w:rFonts w:cs="Arial"/>
                <w:sz w:val="20"/>
              </w:rPr>
            </w:pPr>
          </w:p>
          <w:p w:rsidR="00EA4DDF" w:rsidRPr="004C6A2C" w:rsidRDefault="005478A3" w:rsidP="00F756C6">
            <w:pPr>
              <w:jc w:val="both"/>
              <w:rPr>
                <w:rFonts w:cs="Arial"/>
                <w:sz w:val="20"/>
              </w:rPr>
            </w:pPr>
            <w:r w:rsidRPr="001E45AF">
              <w:rPr>
                <w:rFonts w:cs="Arial"/>
                <w:sz w:val="20"/>
              </w:rPr>
              <w:t>Other colleges offering the College Health Science Option include courses that Fleming might consider offering: Computer Skills and Applications, Human Anatomy and Physiology, Physics for Health Sciences, Introduction to Sociology, Critical Thinking / Problem Solvi</w:t>
            </w:r>
            <w:r w:rsidR="004C6A2C">
              <w:rPr>
                <w:rFonts w:cs="Arial"/>
                <w:sz w:val="20"/>
              </w:rPr>
              <w:t>ng, and Health Care Informatics.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6.0 Enrolment Trends</w:t>
            </w:r>
          </w:p>
        </w:tc>
        <w:tc>
          <w:tcPr>
            <w:tcW w:w="6379"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6.1 Demand for the Program </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14"/>
              </w:numPr>
              <w:tabs>
                <w:tab w:val="clear" w:pos="720"/>
                <w:tab w:val="num" w:pos="360"/>
              </w:tabs>
              <w:ind w:left="360"/>
              <w:rPr>
                <w:rFonts w:cs="Arial"/>
                <w:sz w:val="20"/>
              </w:rPr>
            </w:pPr>
            <w:r w:rsidRPr="00356C80">
              <w:rPr>
                <w:rFonts w:cs="Arial"/>
                <w:sz w:val="20"/>
              </w:rPr>
              <w:t>Patterns in the number of program applicants, qualified applicants, and actual registrants over the past 6 years</w:t>
            </w:r>
          </w:p>
          <w:p w:rsidR="00D07044" w:rsidRPr="00356C80" w:rsidRDefault="00D07044" w:rsidP="00D07044">
            <w:pPr>
              <w:ind w:left="360"/>
              <w:rPr>
                <w:rFonts w:cs="Arial"/>
                <w:sz w:val="20"/>
              </w:rPr>
            </w:pPr>
          </w:p>
          <w:p w:rsidR="00EA4DDF" w:rsidRDefault="00EA4DDF" w:rsidP="00EA4DDF">
            <w:pPr>
              <w:numPr>
                <w:ilvl w:val="0"/>
                <w:numId w:val="14"/>
              </w:numPr>
              <w:tabs>
                <w:tab w:val="clear" w:pos="720"/>
                <w:tab w:val="num" w:pos="360"/>
              </w:tabs>
              <w:ind w:left="360"/>
              <w:rPr>
                <w:rFonts w:cs="Arial"/>
                <w:sz w:val="20"/>
              </w:rPr>
            </w:pPr>
            <w:r w:rsidRPr="00356C80">
              <w:rPr>
                <w:rFonts w:cs="Arial"/>
                <w:sz w:val="20"/>
              </w:rPr>
              <w:t xml:space="preserve">Changes, if any, in the student demographic profile, including level of maturity, diversity, prior knowledge, technological literacy, work experience, and expectations </w:t>
            </w:r>
          </w:p>
          <w:p w:rsidR="00D07044" w:rsidRDefault="00D07044" w:rsidP="00D07044">
            <w:pPr>
              <w:pStyle w:val="ListParagraph"/>
              <w:rPr>
                <w:rFonts w:cs="Arial"/>
                <w:sz w:val="20"/>
              </w:rPr>
            </w:pPr>
          </w:p>
          <w:p w:rsidR="00EA4DDF" w:rsidRPr="00356C80" w:rsidRDefault="00EA4DDF" w:rsidP="00EA4DDF">
            <w:pPr>
              <w:numPr>
                <w:ilvl w:val="0"/>
                <w:numId w:val="14"/>
              </w:numPr>
              <w:tabs>
                <w:tab w:val="clear" w:pos="720"/>
                <w:tab w:val="num" w:pos="360"/>
              </w:tabs>
              <w:ind w:left="360"/>
              <w:rPr>
                <w:rFonts w:cs="Arial"/>
                <w:b/>
                <w:sz w:val="20"/>
              </w:rPr>
            </w:pPr>
            <w:r w:rsidRPr="00356C80">
              <w:rPr>
                <w:rFonts w:cs="Arial"/>
                <w:sz w:val="20"/>
              </w:rPr>
              <w:t xml:space="preserve">Impact, if any, of this changing student profile on program curriculum </w:t>
            </w:r>
          </w:p>
        </w:tc>
        <w:tc>
          <w:tcPr>
            <w:tcW w:w="6379" w:type="dxa"/>
            <w:gridSpan w:val="2"/>
            <w:shd w:val="clear" w:color="auto" w:fill="auto"/>
            <w:tcMar>
              <w:top w:w="113" w:type="dxa"/>
              <w:bottom w:w="113" w:type="dxa"/>
            </w:tcMar>
          </w:tcPr>
          <w:p w:rsidR="004F559B" w:rsidRDefault="00127772" w:rsidP="00F756C6">
            <w:pPr>
              <w:jc w:val="both"/>
              <w:rPr>
                <w:rFonts w:cs="Arial"/>
                <w:sz w:val="20"/>
              </w:rPr>
            </w:pPr>
            <w:r>
              <w:rPr>
                <w:rFonts w:cs="Arial"/>
                <w:sz w:val="20"/>
              </w:rPr>
              <w:lastRenderedPageBreak/>
              <w:t xml:space="preserve">Provincially, there has been a 3% increase in applications and an 8% increase in confirmations for </w:t>
            </w:r>
            <w:r w:rsidRPr="00CC5D05">
              <w:rPr>
                <w:rFonts w:cs="Arial"/>
                <w:b/>
                <w:sz w:val="20"/>
                <w:u w:val="single"/>
              </w:rPr>
              <w:t>all</w:t>
            </w:r>
            <w:r>
              <w:rPr>
                <w:rFonts w:cs="Arial"/>
                <w:sz w:val="20"/>
              </w:rPr>
              <w:t xml:space="preserve"> one-year </w:t>
            </w:r>
            <w:r w:rsidR="004F559B">
              <w:rPr>
                <w:rFonts w:cs="Arial"/>
                <w:sz w:val="20"/>
              </w:rPr>
              <w:t>General Arts &amp; Science pathway programs</w:t>
            </w:r>
            <w:r w:rsidR="00CC5D05">
              <w:rPr>
                <w:rFonts w:cs="Arial"/>
                <w:sz w:val="20"/>
              </w:rPr>
              <w:t xml:space="preserve"> (MTCU: 44700)</w:t>
            </w:r>
            <w:r w:rsidR="004F559B">
              <w:rPr>
                <w:rFonts w:cs="Arial"/>
                <w:sz w:val="20"/>
              </w:rPr>
              <w:t>.</w:t>
            </w:r>
            <w:r w:rsidR="00CC5D05">
              <w:rPr>
                <w:rFonts w:cs="Arial"/>
                <w:sz w:val="20"/>
              </w:rPr>
              <w:t xml:space="preserve">  The results for Fleming College applications and confirmations over the last 6 years are found below.</w:t>
            </w:r>
          </w:p>
          <w:p w:rsidR="00CC5D05" w:rsidRDefault="00CC5D05" w:rsidP="00F756C6">
            <w:pPr>
              <w:jc w:val="both"/>
              <w:rPr>
                <w:rFonts w:cs="Arial"/>
                <w:sz w:val="20"/>
              </w:rPr>
            </w:pPr>
          </w:p>
          <w:tbl>
            <w:tblPr>
              <w:tblStyle w:val="TableGrid"/>
              <w:tblW w:w="0" w:type="auto"/>
              <w:tblLayout w:type="fixed"/>
              <w:tblLook w:val="04A0" w:firstRow="1" w:lastRow="0" w:firstColumn="1" w:lastColumn="0" w:noHBand="0" w:noVBand="1"/>
            </w:tblPr>
            <w:tblGrid>
              <w:gridCol w:w="878"/>
              <w:gridCol w:w="878"/>
              <w:gridCol w:w="878"/>
              <w:gridCol w:w="878"/>
              <w:gridCol w:w="878"/>
              <w:gridCol w:w="879"/>
              <w:gridCol w:w="879"/>
            </w:tblGrid>
            <w:tr w:rsidR="00CC5D05" w:rsidTr="00CC5D05">
              <w:tc>
                <w:tcPr>
                  <w:tcW w:w="878" w:type="dxa"/>
                </w:tcPr>
                <w:p w:rsidR="00CC5D05" w:rsidRDefault="00CC5D05" w:rsidP="002B3973">
                  <w:pPr>
                    <w:rPr>
                      <w:rFonts w:cs="Arial"/>
                    </w:rPr>
                  </w:pPr>
                </w:p>
              </w:tc>
              <w:tc>
                <w:tcPr>
                  <w:tcW w:w="878" w:type="dxa"/>
                </w:tcPr>
                <w:p w:rsidR="00CC5D05" w:rsidRDefault="00CC5D05" w:rsidP="002B3973">
                  <w:pPr>
                    <w:rPr>
                      <w:rFonts w:cs="Arial"/>
                    </w:rPr>
                  </w:pPr>
                  <w:r>
                    <w:rPr>
                      <w:rFonts w:cs="Arial"/>
                    </w:rPr>
                    <w:t>2006</w:t>
                  </w:r>
                </w:p>
              </w:tc>
              <w:tc>
                <w:tcPr>
                  <w:tcW w:w="878" w:type="dxa"/>
                </w:tcPr>
                <w:p w:rsidR="00CC5D05" w:rsidRDefault="00CC5D05" w:rsidP="002B3973">
                  <w:pPr>
                    <w:rPr>
                      <w:rFonts w:cs="Arial"/>
                    </w:rPr>
                  </w:pPr>
                  <w:r>
                    <w:rPr>
                      <w:rFonts w:cs="Arial"/>
                    </w:rPr>
                    <w:t>2007</w:t>
                  </w:r>
                </w:p>
              </w:tc>
              <w:tc>
                <w:tcPr>
                  <w:tcW w:w="878" w:type="dxa"/>
                </w:tcPr>
                <w:p w:rsidR="00CC5D05" w:rsidRDefault="00CC5D05" w:rsidP="002B3973">
                  <w:pPr>
                    <w:rPr>
                      <w:rFonts w:cs="Arial"/>
                    </w:rPr>
                  </w:pPr>
                  <w:r>
                    <w:rPr>
                      <w:rFonts w:cs="Arial"/>
                    </w:rPr>
                    <w:t>2008</w:t>
                  </w:r>
                </w:p>
              </w:tc>
              <w:tc>
                <w:tcPr>
                  <w:tcW w:w="878" w:type="dxa"/>
                </w:tcPr>
                <w:p w:rsidR="00CC5D05" w:rsidRDefault="00CC5D05" w:rsidP="002B3973">
                  <w:pPr>
                    <w:rPr>
                      <w:rFonts w:cs="Arial"/>
                    </w:rPr>
                  </w:pPr>
                  <w:r>
                    <w:rPr>
                      <w:rFonts w:cs="Arial"/>
                    </w:rPr>
                    <w:t>2009</w:t>
                  </w:r>
                </w:p>
              </w:tc>
              <w:tc>
                <w:tcPr>
                  <w:tcW w:w="879" w:type="dxa"/>
                </w:tcPr>
                <w:p w:rsidR="00CC5D05" w:rsidRDefault="00CC5D05" w:rsidP="002B3973">
                  <w:pPr>
                    <w:rPr>
                      <w:rFonts w:cs="Arial"/>
                    </w:rPr>
                  </w:pPr>
                  <w:r>
                    <w:rPr>
                      <w:rFonts w:cs="Arial"/>
                    </w:rPr>
                    <w:t>2010</w:t>
                  </w:r>
                </w:p>
              </w:tc>
              <w:tc>
                <w:tcPr>
                  <w:tcW w:w="879" w:type="dxa"/>
                </w:tcPr>
                <w:p w:rsidR="00CC5D05" w:rsidRDefault="00CC5D05" w:rsidP="002B3973">
                  <w:pPr>
                    <w:rPr>
                      <w:rFonts w:cs="Arial"/>
                    </w:rPr>
                  </w:pPr>
                  <w:r>
                    <w:rPr>
                      <w:rFonts w:cs="Arial"/>
                    </w:rPr>
                    <w:t>2011</w:t>
                  </w:r>
                </w:p>
              </w:tc>
            </w:tr>
            <w:tr w:rsidR="00CC5D05" w:rsidTr="00CC5D05">
              <w:tc>
                <w:tcPr>
                  <w:tcW w:w="878" w:type="dxa"/>
                </w:tcPr>
                <w:p w:rsidR="00CC5D05" w:rsidRPr="00CC5D05" w:rsidRDefault="00CC5D05" w:rsidP="002B3973">
                  <w:pPr>
                    <w:rPr>
                      <w:rFonts w:cs="Arial"/>
                      <w:sz w:val="16"/>
                      <w:szCs w:val="16"/>
                    </w:rPr>
                  </w:pPr>
                  <w:r w:rsidRPr="00CC5D05">
                    <w:rPr>
                      <w:rFonts w:cs="Arial"/>
                      <w:sz w:val="16"/>
                      <w:szCs w:val="16"/>
                    </w:rPr>
                    <w:lastRenderedPageBreak/>
                    <w:t>App.</w:t>
                  </w:r>
                </w:p>
              </w:tc>
              <w:tc>
                <w:tcPr>
                  <w:tcW w:w="878" w:type="dxa"/>
                </w:tcPr>
                <w:p w:rsidR="00CC5D05" w:rsidRDefault="00CC5D05" w:rsidP="002B3973">
                  <w:pPr>
                    <w:rPr>
                      <w:rFonts w:cs="Arial"/>
                    </w:rPr>
                  </w:pPr>
                  <w:r>
                    <w:rPr>
                      <w:rFonts w:cs="Arial"/>
                    </w:rPr>
                    <w:t>575</w:t>
                  </w:r>
                </w:p>
              </w:tc>
              <w:tc>
                <w:tcPr>
                  <w:tcW w:w="878" w:type="dxa"/>
                </w:tcPr>
                <w:p w:rsidR="00CC5D05" w:rsidRDefault="00CC5D05" w:rsidP="002B3973">
                  <w:pPr>
                    <w:rPr>
                      <w:rFonts w:cs="Arial"/>
                    </w:rPr>
                  </w:pPr>
                  <w:r>
                    <w:rPr>
                      <w:rFonts w:cs="Arial"/>
                    </w:rPr>
                    <w:t>647</w:t>
                  </w:r>
                </w:p>
              </w:tc>
              <w:tc>
                <w:tcPr>
                  <w:tcW w:w="878" w:type="dxa"/>
                </w:tcPr>
                <w:p w:rsidR="00CC5D05" w:rsidRDefault="00CC5D05" w:rsidP="002B3973">
                  <w:pPr>
                    <w:rPr>
                      <w:rFonts w:cs="Arial"/>
                    </w:rPr>
                  </w:pPr>
                  <w:r>
                    <w:rPr>
                      <w:rFonts w:cs="Arial"/>
                    </w:rPr>
                    <w:t>626</w:t>
                  </w:r>
                </w:p>
              </w:tc>
              <w:tc>
                <w:tcPr>
                  <w:tcW w:w="878" w:type="dxa"/>
                </w:tcPr>
                <w:p w:rsidR="00CC5D05" w:rsidRDefault="00CC5D05" w:rsidP="002B3973">
                  <w:pPr>
                    <w:rPr>
                      <w:rFonts w:cs="Arial"/>
                    </w:rPr>
                  </w:pPr>
                  <w:r>
                    <w:rPr>
                      <w:rFonts w:cs="Arial"/>
                    </w:rPr>
                    <w:t>628</w:t>
                  </w:r>
                </w:p>
              </w:tc>
              <w:tc>
                <w:tcPr>
                  <w:tcW w:w="879" w:type="dxa"/>
                </w:tcPr>
                <w:p w:rsidR="00CC5D05" w:rsidRDefault="00CC5D05" w:rsidP="002B3973">
                  <w:pPr>
                    <w:rPr>
                      <w:rFonts w:cs="Arial"/>
                    </w:rPr>
                  </w:pPr>
                  <w:r>
                    <w:rPr>
                      <w:rFonts w:cs="Arial"/>
                    </w:rPr>
                    <w:t>691</w:t>
                  </w:r>
                </w:p>
              </w:tc>
              <w:tc>
                <w:tcPr>
                  <w:tcW w:w="879" w:type="dxa"/>
                </w:tcPr>
                <w:p w:rsidR="00CC5D05" w:rsidRDefault="00CC5D05" w:rsidP="002B3973">
                  <w:pPr>
                    <w:rPr>
                      <w:rFonts w:cs="Arial"/>
                    </w:rPr>
                  </w:pPr>
                  <w:r>
                    <w:rPr>
                      <w:rFonts w:cs="Arial"/>
                    </w:rPr>
                    <w:t>735</w:t>
                  </w:r>
                </w:p>
              </w:tc>
            </w:tr>
            <w:tr w:rsidR="00CC5D05" w:rsidTr="00CC5D05">
              <w:tc>
                <w:tcPr>
                  <w:tcW w:w="878" w:type="dxa"/>
                </w:tcPr>
                <w:p w:rsidR="00CC5D05" w:rsidRPr="00CC5D05" w:rsidRDefault="00CC5D05" w:rsidP="002B3973">
                  <w:pPr>
                    <w:rPr>
                      <w:rFonts w:cs="Arial"/>
                      <w:sz w:val="16"/>
                      <w:szCs w:val="16"/>
                    </w:rPr>
                  </w:pPr>
                  <w:r w:rsidRPr="00CC5D05">
                    <w:rPr>
                      <w:rFonts w:cs="Arial"/>
                      <w:sz w:val="16"/>
                      <w:szCs w:val="16"/>
                    </w:rPr>
                    <w:t>Confirm.</w:t>
                  </w:r>
                </w:p>
              </w:tc>
              <w:tc>
                <w:tcPr>
                  <w:tcW w:w="878" w:type="dxa"/>
                </w:tcPr>
                <w:p w:rsidR="00CC5D05" w:rsidRDefault="00CC5D05" w:rsidP="002B3973">
                  <w:pPr>
                    <w:rPr>
                      <w:rFonts w:cs="Arial"/>
                    </w:rPr>
                  </w:pPr>
                  <w:r>
                    <w:rPr>
                      <w:rFonts w:cs="Arial"/>
                    </w:rPr>
                    <w:t>232</w:t>
                  </w:r>
                </w:p>
              </w:tc>
              <w:tc>
                <w:tcPr>
                  <w:tcW w:w="878" w:type="dxa"/>
                </w:tcPr>
                <w:p w:rsidR="00CC5D05" w:rsidRDefault="00CC5D05" w:rsidP="002B3973">
                  <w:pPr>
                    <w:rPr>
                      <w:rFonts w:cs="Arial"/>
                    </w:rPr>
                  </w:pPr>
                  <w:r>
                    <w:rPr>
                      <w:rFonts w:cs="Arial"/>
                    </w:rPr>
                    <w:t>241</w:t>
                  </w:r>
                </w:p>
              </w:tc>
              <w:tc>
                <w:tcPr>
                  <w:tcW w:w="878" w:type="dxa"/>
                </w:tcPr>
                <w:p w:rsidR="00CC5D05" w:rsidRDefault="00CC5D05" w:rsidP="002B3973">
                  <w:pPr>
                    <w:rPr>
                      <w:rFonts w:cs="Arial"/>
                    </w:rPr>
                  </w:pPr>
                  <w:r>
                    <w:rPr>
                      <w:rFonts w:cs="Arial"/>
                    </w:rPr>
                    <w:t>250</w:t>
                  </w:r>
                </w:p>
              </w:tc>
              <w:tc>
                <w:tcPr>
                  <w:tcW w:w="878" w:type="dxa"/>
                </w:tcPr>
                <w:p w:rsidR="00CC5D05" w:rsidRDefault="00CC5D05" w:rsidP="002B3973">
                  <w:pPr>
                    <w:rPr>
                      <w:rFonts w:cs="Arial"/>
                    </w:rPr>
                  </w:pPr>
                  <w:r>
                    <w:rPr>
                      <w:rFonts w:cs="Arial"/>
                    </w:rPr>
                    <w:t>2147</w:t>
                  </w:r>
                </w:p>
              </w:tc>
              <w:tc>
                <w:tcPr>
                  <w:tcW w:w="879" w:type="dxa"/>
                </w:tcPr>
                <w:p w:rsidR="00CC5D05" w:rsidRDefault="00CC5D05" w:rsidP="002B3973">
                  <w:pPr>
                    <w:rPr>
                      <w:rFonts w:cs="Arial"/>
                    </w:rPr>
                  </w:pPr>
                  <w:r>
                    <w:rPr>
                      <w:rFonts w:cs="Arial"/>
                    </w:rPr>
                    <w:t>260</w:t>
                  </w:r>
                </w:p>
              </w:tc>
              <w:tc>
                <w:tcPr>
                  <w:tcW w:w="879" w:type="dxa"/>
                </w:tcPr>
                <w:p w:rsidR="00CC5D05" w:rsidRDefault="00CC5D05" w:rsidP="002B3973">
                  <w:pPr>
                    <w:rPr>
                      <w:rFonts w:cs="Arial"/>
                    </w:rPr>
                  </w:pPr>
                  <w:r>
                    <w:rPr>
                      <w:rFonts w:cs="Arial"/>
                    </w:rPr>
                    <w:t>292</w:t>
                  </w:r>
                </w:p>
              </w:tc>
            </w:tr>
          </w:tbl>
          <w:p w:rsidR="00CC5D05" w:rsidRDefault="00CC5D05" w:rsidP="002B3973">
            <w:pPr>
              <w:rPr>
                <w:rFonts w:cs="Arial"/>
                <w:sz w:val="20"/>
              </w:rPr>
            </w:pPr>
          </w:p>
          <w:p w:rsidR="00CC5D05" w:rsidRDefault="008721AD" w:rsidP="002B3973">
            <w:pPr>
              <w:rPr>
                <w:rFonts w:cs="Arial"/>
                <w:sz w:val="20"/>
              </w:rPr>
            </w:pPr>
            <w:r w:rsidRPr="00F756C6">
              <w:rPr>
                <w:rFonts w:cs="Arial"/>
                <w:sz w:val="20"/>
              </w:rPr>
              <w:t xml:space="preserve">Complete statistics for application and confirmation data for other colleges are provided in </w:t>
            </w:r>
            <w:r w:rsidRPr="002F1CD6">
              <w:rPr>
                <w:rFonts w:cs="Arial"/>
                <w:b/>
                <w:sz w:val="20"/>
              </w:rPr>
              <w:t>Appe</w:t>
            </w:r>
            <w:r w:rsidR="004C6A2C" w:rsidRPr="002F1CD6">
              <w:rPr>
                <w:rFonts w:cs="Arial"/>
                <w:b/>
                <w:sz w:val="20"/>
              </w:rPr>
              <w:t xml:space="preserve">ndix </w:t>
            </w:r>
            <w:r w:rsidR="00F756C6" w:rsidRPr="002F1CD6">
              <w:rPr>
                <w:rFonts w:cs="Arial"/>
                <w:b/>
                <w:sz w:val="20"/>
              </w:rPr>
              <w:t>M.</w:t>
            </w:r>
          </w:p>
          <w:p w:rsidR="008721AD" w:rsidRDefault="008721AD" w:rsidP="002B3973">
            <w:pPr>
              <w:rPr>
                <w:rFonts w:cs="Arial"/>
                <w:sz w:val="20"/>
              </w:rPr>
            </w:pPr>
          </w:p>
          <w:p w:rsidR="004F559B" w:rsidRDefault="00CC5D05" w:rsidP="002B3973">
            <w:pPr>
              <w:rPr>
                <w:rFonts w:cs="Arial"/>
                <w:sz w:val="20"/>
              </w:rPr>
            </w:pPr>
            <w:r>
              <w:rPr>
                <w:rFonts w:cs="Arial"/>
                <w:sz w:val="20"/>
              </w:rPr>
              <w:t>Application and registration statistics for the GHS program at Fleming over the last six years is comparable to the trend across the province.</w:t>
            </w:r>
          </w:p>
          <w:p w:rsidR="00CC5D05" w:rsidRDefault="00CC5D05" w:rsidP="002B3973">
            <w:pPr>
              <w:rPr>
                <w:rFonts w:cs="Arial"/>
                <w:sz w:val="20"/>
              </w:rPr>
            </w:pPr>
          </w:p>
          <w:tbl>
            <w:tblPr>
              <w:tblStyle w:val="TableGrid"/>
              <w:tblW w:w="0" w:type="auto"/>
              <w:tblLayout w:type="fixed"/>
              <w:tblLook w:val="04A0" w:firstRow="1" w:lastRow="0" w:firstColumn="1" w:lastColumn="0" w:noHBand="0" w:noVBand="1"/>
            </w:tblPr>
            <w:tblGrid>
              <w:gridCol w:w="1286"/>
              <w:gridCol w:w="954"/>
              <w:gridCol w:w="954"/>
              <w:gridCol w:w="954"/>
              <w:gridCol w:w="954"/>
              <w:gridCol w:w="954"/>
            </w:tblGrid>
            <w:tr w:rsidR="00CC5D05" w:rsidTr="008721AD">
              <w:tc>
                <w:tcPr>
                  <w:tcW w:w="1286" w:type="dxa"/>
                </w:tcPr>
                <w:p w:rsidR="00CC5D05" w:rsidRDefault="00CC5D05" w:rsidP="002B3973">
                  <w:pPr>
                    <w:rPr>
                      <w:rFonts w:cs="Arial"/>
                    </w:rPr>
                  </w:pPr>
                </w:p>
              </w:tc>
              <w:tc>
                <w:tcPr>
                  <w:tcW w:w="954" w:type="dxa"/>
                </w:tcPr>
                <w:p w:rsidR="00CC5D05" w:rsidRDefault="00CC5D05" w:rsidP="002B3973">
                  <w:pPr>
                    <w:rPr>
                      <w:rFonts w:cs="Arial"/>
                    </w:rPr>
                  </w:pPr>
                  <w:r>
                    <w:rPr>
                      <w:rFonts w:cs="Arial"/>
                    </w:rPr>
                    <w:t>2007</w:t>
                  </w:r>
                </w:p>
              </w:tc>
              <w:tc>
                <w:tcPr>
                  <w:tcW w:w="954" w:type="dxa"/>
                </w:tcPr>
                <w:p w:rsidR="00CC5D05" w:rsidRDefault="00CC5D05" w:rsidP="002B3973">
                  <w:pPr>
                    <w:rPr>
                      <w:rFonts w:cs="Arial"/>
                    </w:rPr>
                  </w:pPr>
                  <w:r>
                    <w:rPr>
                      <w:rFonts w:cs="Arial"/>
                    </w:rPr>
                    <w:t>2008</w:t>
                  </w:r>
                </w:p>
              </w:tc>
              <w:tc>
                <w:tcPr>
                  <w:tcW w:w="954" w:type="dxa"/>
                </w:tcPr>
                <w:p w:rsidR="00CC5D05" w:rsidRDefault="00CC5D05" w:rsidP="002B3973">
                  <w:pPr>
                    <w:rPr>
                      <w:rFonts w:cs="Arial"/>
                    </w:rPr>
                  </w:pPr>
                  <w:r>
                    <w:rPr>
                      <w:rFonts w:cs="Arial"/>
                    </w:rPr>
                    <w:t>2009</w:t>
                  </w:r>
                </w:p>
              </w:tc>
              <w:tc>
                <w:tcPr>
                  <w:tcW w:w="954" w:type="dxa"/>
                </w:tcPr>
                <w:p w:rsidR="00CC5D05" w:rsidRDefault="00CC5D05" w:rsidP="002B3973">
                  <w:pPr>
                    <w:rPr>
                      <w:rFonts w:cs="Arial"/>
                    </w:rPr>
                  </w:pPr>
                  <w:r>
                    <w:rPr>
                      <w:rFonts w:cs="Arial"/>
                    </w:rPr>
                    <w:t>2010</w:t>
                  </w:r>
                </w:p>
              </w:tc>
              <w:tc>
                <w:tcPr>
                  <w:tcW w:w="954" w:type="dxa"/>
                </w:tcPr>
                <w:p w:rsidR="00CC5D05" w:rsidRDefault="00CC5D05" w:rsidP="002B3973">
                  <w:pPr>
                    <w:rPr>
                      <w:rFonts w:cs="Arial"/>
                    </w:rPr>
                  </w:pPr>
                  <w:r>
                    <w:rPr>
                      <w:rFonts w:cs="Arial"/>
                    </w:rPr>
                    <w:t>2011</w:t>
                  </w:r>
                </w:p>
              </w:tc>
            </w:tr>
            <w:tr w:rsidR="00CC5D05" w:rsidTr="008721AD">
              <w:tc>
                <w:tcPr>
                  <w:tcW w:w="1286" w:type="dxa"/>
                </w:tcPr>
                <w:p w:rsidR="00CC5D05" w:rsidRPr="00CC5D05" w:rsidRDefault="00CC5D05" w:rsidP="002B3973">
                  <w:pPr>
                    <w:rPr>
                      <w:rFonts w:cs="Arial"/>
                      <w:sz w:val="16"/>
                      <w:szCs w:val="16"/>
                    </w:rPr>
                  </w:pPr>
                  <w:r w:rsidRPr="00CC5D05">
                    <w:rPr>
                      <w:rFonts w:cs="Arial"/>
                      <w:sz w:val="16"/>
                      <w:szCs w:val="16"/>
                    </w:rPr>
                    <w:t>App</w:t>
                  </w:r>
                  <w:r w:rsidR="008721AD">
                    <w:rPr>
                      <w:rFonts w:cs="Arial"/>
                      <w:sz w:val="16"/>
                      <w:szCs w:val="16"/>
                    </w:rPr>
                    <w:t>lications</w:t>
                  </w:r>
                </w:p>
              </w:tc>
              <w:tc>
                <w:tcPr>
                  <w:tcW w:w="954" w:type="dxa"/>
                </w:tcPr>
                <w:p w:rsidR="00CC5D05" w:rsidRDefault="00CC5D05" w:rsidP="002B3973">
                  <w:pPr>
                    <w:rPr>
                      <w:rFonts w:cs="Arial"/>
                    </w:rPr>
                  </w:pPr>
                  <w:r>
                    <w:rPr>
                      <w:rFonts w:cs="Arial"/>
                    </w:rPr>
                    <w:t>176</w:t>
                  </w:r>
                </w:p>
              </w:tc>
              <w:tc>
                <w:tcPr>
                  <w:tcW w:w="954" w:type="dxa"/>
                </w:tcPr>
                <w:p w:rsidR="00CC5D05" w:rsidRDefault="00CC5D05" w:rsidP="002B3973">
                  <w:pPr>
                    <w:rPr>
                      <w:rFonts w:cs="Arial"/>
                    </w:rPr>
                  </w:pPr>
                  <w:r>
                    <w:rPr>
                      <w:rFonts w:cs="Arial"/>
                    </w:rPr>
                    <w:t>183</w:t>
                  </w:r>
                </w:p>
              </w:tc>
              <w:tc>
                <w:tcPr>
                  <w:tcW w:w="954" w:type="dxa"/>
                </w:tcPr>
                <w:p w:rsidR="00CC5D05" w:rsidRDefault="00CC5D05" w:rsidP="002B3973">
                  <w:pPr>
                    <w:rPr>
                      <w:rFonts w:cs="Arial"/>
                    </w:rPr>
                  </w:pPr>
                  <w:r>
                    <w:rPr>
                      <w:rFonts w:cs="Arial"/>
                    </w:rPr>
                    <w:t>212</w:t>
                  </w:r>
                </w:p>
              </w:tc>
              <w:tc>
                <w:tcPr>
                  <w:tcW w:w="954" w:type="dxa"/>
                </w:tcPr>
                <w:p w:rsidR="00CC5D05" w:rsidRDefault="00CC5D05" w:rsidP="002B3973">
                  <w:pPr>
                    <w:rPr>
                      <w:rFonts w:cs="Arial"/>
                    </w:rPr>
                  </w:pPr>
                  <w:r>
                    <w:rPr>
                      <w:rFonts w:cs="Arial"/>
                    </w:rPr>
                    <w:t>243</w:t>
                  </w:r>
                </w:p>
              </w:tc>
              <w:tc>
                <w:tcPr>
                  <w:tcW w:w="954" w:type="dxa"/>
                </w:tcPr>
                <w:p w:rsidR="00CC5D05" w:rsidRDefault="00CC5D05" w:rsidP="002B3973">
                  <w:pPr>
                    <w:rPr>
                      <w:rFonts w:cs="Arial"/>
                    </w:rPr>
                  </w:pPr>
                  <w:r>
                    <w:rPr>
                      <w:rFonts w:cs="Arial"/>
                    </w:rPr>
                    <w:t>253</w:t>
                  </w:r>
                </w:p>
              </w:tc>
            </w:tr>
            <w:tr w:rsidR="00CC5D05" w:rsidTr="008721AD">
              <w:tc>
                <w:tcPr>
                  <w:tcW w:w="1286" w:type="dxa"/>
                </w:tcPr>
                <w:p w:rsidR="00CC5D05" w:rsidRPr="00CC5D05" w:rsidRDefault="00CC5D05" w:rsidP="002B3973">
                  <w:pPr>
                    <w:rPr>
                      <w:rFonts w:cs="Arial"/>
                      <w:sz w:val="16"/>
                      <w:szCs w:val="16"/>
                    </w:rPr>
                  </w:pPr>
                  <w:r w:rsidRPr="00CC5D05">
                    <w:rPr>
                      <w:rFonts w:cs="Arial"/>
                      <w:sz w:val="16"/>
                      <w:szCs w:val="16"/>
                    </w:rPr>
                    <w:t>Confirm</w:t>
                  </w:r>
                  <w:r w:rsidR="008721AD">
                    <w:rPr>
                      <w:rFonts w:cs="Arial"/>
                      <w:sz w:val="16"/>
                      <w:szCs w:val="16"/>
                    </w:rPr>
                    <w:t>ations</w:t>
                  </w:r>
                </w:p>
              </w:tc>
              <w:tc>
                <w:tcPr>
                  <w:tcW w:w="954" w:type="dxa"/>
                </w:tcPr>
                <w:p w:rsidR="00CC5D05" w:rsidRDefault="00CC5D05" w:rsidP="002B3973">
                  <w:pPr>
                    <w:rPr>
                      <w:rFonts w:cs="Arial"/>
                    </w:rPr>
                  </w:pPr>
                  <w:r>
                    <w:rPr>
                      <w:rFonts w:cs="Arial"/>
                    </w:rPr>
                    <w:t>80</w:t>
                  </w:r>
                </w:p>
              </w:tc>
              <w:tc>
                <w:tcPr>
                  <w:tcW w:w="954" w:type="dxa"/>
                </w:tcPr>
                <w:p w:rsidR="00CC5D05" w:rsidRDefault="00CC5D05" w:rsidP="002B3973">
                  <w:pPr>
                    <w:rPr>
                      <w:rFonts w:cs="Arial"/>
                    </w:rPr>
                  </w:pPr>
                  <w:r>
                    <w:rPr>
                      <w:rFonts w:cs="Arial"/>
                    </w:rPr>
                    <w:t>78</w:t>
                  </w:r>
                </w:p>
              </w:tc>
              <w:tc>
                <w:tcPr>
                  <w:tcW w:w="954" w:type="dxa"/>
                </w:tcPr>
                <w:p w:rsidR="00CC5D05" w:rsidRDefault="00CC5D05" w:rsidP="002B3973">
                  <w:pPr>
                    <w:rPr>
                      <w:rFonts w:cs="Arial"/>
                    </w:rPr>
                  </w:pPr>
                  <w:r>
                    <w:rPr>
                      <w:rFonts w:cs="Arial"/>
                    </w:rPr>
                    <w:t>99</w:t>
                  </w:r>
                </w:p>
              </w:tc>
              <w:tc>
                <w:tcPr>
                  <w:tcW w:w="954" w:type="dxa"/>
                </w:tcPr>
                <w:p w:rsidR="00CC5D05" w:rsidRDefault="00CC5D05" w:rsidP="002B3973">
                  <w:pPr>
                    <w:rPr>
                      <w:rFonts w:cs="Arial"/>
                    </w:rPr>
                  </w:pPr>
                  <w:r>
                    <w:rPr>
                      <w:rFonts w:cs="Arial"/>
                    </w:rPr>
                    <w:t>105</w:t>
                  </w:r>
                </w:p>
              </w:tc>
              <w:tc>
                <w:tcPr>
                  <w:tcW w:w="954" w:type="dxa"/>
                </w:tcPr>
                <w:p w:rsidR="00CC5D05" w:rsidRDefault="00CC5D05" w:rsidP="002B3973">
                  <w:pPr>
                    <w:rPr>
                      <w:rFonts w:cs="Arial"/>
                    </w:rPr>
                  </w:pPr>
                  <w:r>
                    <w:rPr>
                      <w:rFonts w:cs="Arial"/>
                    </w:rPr>
                    <w:t>110</w:t>
                  </w:r>
                </w:p>
              </w:tc>
            </w:tr>
          </w:tbl>
          <w:p w:rsidR="00CC5D05" w:rsidRDefault="00CC5D05" w:rsidP="002B3973">
            <w:pPr>
              <w:rPr>
                <w:rFonts w:cs="Arial"/>
                <w:sz w:val="20"/>
              </w:rPr>
            </w:pPr>
          </w:p>
          <w:p w:rsidR="00296E8E" w:rsidRDefault="00296E8E" w:rsidP="002B3973">
            <w:pPr>
              <w:rPr>
                <w:rFonts w:cs="Arial"/>
                <w:sz w:val="20"/>
              </w:rPr>
            </w:pPr>
            <w:r>
              <w:rPr>
                <w:rFonts w:cs="Arial"/>
                <w:sz w:val="20"/>
              </w:rPr>
              <w:t xml:space="preserve">Registration statistics </w:t>
            </w:r>
            <w:r w:rsidR="004C6A2C">
              <w:rPr>
                <w:rFonts w:cs="Arial"/>
                <w:sz w:val="20"/>
              </w:rPr>
              <w:t xml:space="preserve">were examined as of Fall 2007. </w:t>
            </w:r>
            <w:r>
              <w:rPr>
                <w:rFonts w:cs="Arial"/>
                <w:sz w:val="20"/>
              </w:rPr>
              <w:t>Day 10 numbers are provided below.</w:t>
            </w:r>
          </w:p>
          <w:p w:rsidR="00296E8E" w:rsidRDefault="00296E8E" w:rsidP="002B3973">
            <w:pPr>
              <w:rPr>
                <w:rFonts w:cs="Arial"/>
                <w:sz w:val="20"/>
              </w:rPr>
            </w:pPr>
          </w:p>
          <w:tbl>
            <w:tblPr>
              <w:tblStyle w:val="TableGrid"/>
              <w:tblW w:w="0" w:type="auto"/>
              <w:tblLayout w:type="fixed"/>
              <w:tblLook w:val="04A0" w:firstRow="1" w:lastRow="0" w:firstColumn="1" w:lastColumn="0" w:noHBand="0" w:noVBand="1"/>
            </w:tblPr>
            <w:tblGrid>
              <w:gridCol w:w="1106"/>
              <w:gridCol w:w="1134"/>
              <w:gridCol w:w="1134"/>
              <w:gridCol w:w="954"/>
              <w:gridCol w:w="954"/>
              <w:gridCol w:w="954"/>
              <w:gridCol w:w="954"/>
            </w:tblGrid>
            <w:tr w:rsidR="00AF2DCB" w:rsidTr="00AF2DCB">
              <w:tc>
                <w:tcPr>
                  <w:tcW w:w="1106" w:type="dxa"/>
                </w:tcPr>
                <w:p w:rsidR="00AF2DCB" w:rsidRDefault="00AF2DCB" w:rsidP="002B3973">
                  <w:pPr>
                    <w:rPr>
                      <w:rFonts w:cs="Arial"/>
                    </w:rPr>
                  </w:pPr>
                </w:p>
              </w:tc>
              <w:tc>
                <w:tcPr>
                  <w:tcW w:w="1134" w:type="dxa"/>
                </w:tcPr>
                <w:p w:rsidR="00AF2DCB" w:rsidRDefault="00AF2DCB" w:rsidP="002B3973">
                  <w:pPr>
                    <w:rPr>
                      <w:rFonts w:cs="Arial"/>
                    </w:rPr>
                  </w:pPr>
                  <w:r>
                    <w:rPr>
                      <w:rFonts w:cs="Arial"/>
                    </w:rPr>
                    <w:t>Fall</w:t>
                  </w:r>
                </w:p>
                <w:p w:rsidR="00AF2DCB" w:rsidRDefault="00AF2DCB" w:rsidP="002B3973">
                  <w:pPr>
                    <w:rPr>
                      <w:rFonts w:cs="Arial"/>
                    </w:rPr>
                  </w:pPr>
                  <w:r>
                    <w:rPr>
                      <w:rFonts w:cs="Arial"/>
                    </w:rPr>
                    <w:t>2007</w:t>
                  </w:r>
                </w:p>
              </w:tc>
              <w:tc>
                <w:tcPr>
                  <w:tcW w:w="1134" w:type="dxa"/>
                </w:tcPr>
                <w:p w:rsidR="00AF2DCB" w:rsidRDefault="00AF2DCB" w:rsidP="002B3973">
                  <w:pPr>
                    <w:rPr>
                      <w:rFonts w:cs="Arial"/>
                    </w:rPr>
                  </w:pPr>
                  <w:r>
                    <w:rPr>
                      <w:rFonts w:cs="Arial"/>
                    </w:rPr>
                    <w:t xml:space="preserve">Fall </w:t>
                  </w:r>
                </w:p>
                <w:p w:rsidR="00AF2DCB" w:rsidRDefault="00AF2DCB" w:rsidP="002B3973">
                  <w:pPr>
                    <w:rPr>
                      <w:rFonts w:cs="Arial"/>
                    </w:rPr>
                  </w:pPr>
                  <w:r>
                    <w:rPr>
                      <w:rFonts w:cs="Arial"/>
                    </w:rPr>
                    <w:t>2008</w:t>
                  </w:r>
                </w:p>
              </w:tc>
              <w:tc>
                <w:tcPr>
                  <w:tcW w:w="954" w:type="dxa"/>
                </w:tcPr>
                <w:p w:rsidR="00AF2DCB" w:rsidRDefault="00AF2DCB" w:rsidP="002B3973">
                  <w:pPr>
                    <w:rPr>
                      <w:rFonts w:cs="Arial"/>
                    </w:rPr>
                  </w:pPr>
                  <w:r>
                    <w:rPr>
                      <w:rFonts w:cs="Arial"/>
                    </w:rPr>
                    <w:t>Fall 2009</w:t>
                  </w:r>
                </w:p>
              </w:tc>
              <w:tc>
                <w:tcPr>
                  <w:tcW w:w="954" w:type="dxa"/>
                </w:tcPr>
                <w:p w:rsidR="00AF2DCB" w:rsidRDefault="00AF2DCB" w:rsidP="002B3973">
                  <w:pPr>
                    <w:rPr>
                      <w:rFonts w:cs="Arial"/>
                    </w:rPr>
                  </w:pPr>
                  <w:r>
                    <w:rPr>
                      <w:rFonts w:cs="Arial"/>
                    </w:rPr>
                    <w:t xml:space="preserve">Fall </w:t>
                  </w:r>
                </w:p>
                <w:p w:rsidR="00AF2DCB" w:rsidRDefault="00AF2DCB" w:rsidP="002B3973">
                  <w:pPr>
                    <w:rPr>
                      <w:rFonts w:cs="Arial"/>
                    </w:rPr>
                  </w:pPr>
                  <w:r>
                    <w:rPr>
                      <w:rFonts w:cs="Arial"/>
                    </w:rPr>
                    <w:t>2010</w:t>
                  </w:r>
                </w:p>
              </w:tc>
              <w:tc>
                <w:tcPr>
                  <w:tcW w:w="954" w:type="dxa"/>
                </w:tcPr>
                <w:p w:rsidR="00AF2DCB" w:rsidRDefault="00AF2DCB" w:rsidP="002B3973">
                  <w:pPr>
                    <w:rPr>
                      <w:rFonts w:cs="Arial"/>
                    </w:rPr>
                  </w:pPr>
                  <w:r>
                    <w:rPr>
                      <w:rFonts w:cs="Arial"/>
                    </w:rPr>
                    <w:t>Fall 2011</w:t>
                  </w:r>
                </w:p>
              </w:tc>
              <w:tc>
                <w:tcPr>
                  <w:tcW w:w="954" w:type="dxa"/>
                </w:tcPr>
                <w:p w:rsidR="00AF2DCB" w:rsidRDefault="00AF2DCB" w:rsidP="002B3973">
                  <w:pPr>
                    <w:rPr>
                      <w:rFonts w:cs="Arial"/>
                    </w:rPr>
                  </w:pPr>
                  <w:r>
                    <w:rPr>
                      <w:rFonts w:cs="Arial"/>
                    </w:rPr>
                    <w:t>Fall</w:t>
                  </w:r>
                </w:p>
                <w:p w:rsidR="00AF2DCB" w:rsidRDefault="00AF2DCB" w:rsidP="002B3973">
                  <w:pPr>
                    <w:rPr>
                      <w:rFonts w:cs="Arial"/>
                    </w:rPr>
                  </w:pPr>
                  <w:r>
                    <w:rPr>
                      <w:rFonts w:cs="Arial"/>
                    </w:rPr>
                    <w:t>2012</w:t>
                  </w:r>
                </w:p>
              </w:tc>
            </w:tr>
            <w:tr w:rsidR="00AF2DCB" w:rsidTr="00AF2DCB">
              <w:tc>
                <w:tcPr>
                  <w:tcW w:w="1106" w:type="dxa"/>
                </w:tcPr>
                <w:p w:rsidR="00AF2DCB" w:rsidRPr="00296E8E" w:rsidRDefault="00AF2DCB" w:rsidP="002B3973">
                  <w:pPr>
                    <w:rPr>
                      <w:rFonts w:cs="Arial"/>
                      <w:sz w:val="18"/>
                      <w:szCs w:val="18"/>
                    </w:rPr>
                  </w:pPr>
                  <w:r w:rsidRPr="00296E8E">
                    <w:rPr>
                      <w:rFonts w:cs="Arial"/>
                      <w:sz w:val="18"/>
                      <w:szCs w:val="18"/>
                    </w:rPr>
                    <w:t>Day 10 Registered</w:t>
                  </w:r>
                </w:p>
              </w:tc>
              <w:tc>
                <w:tcPr>
                  <w:tcW w:w="1134" w:type="dxa"/>
                </w:tcPr>
                <w:p w:rsidR="00AF2DCB" w:rsidRDefault="00AF2DCB" w:rsidP="002B3973">
                  <w:pPr>
                    <w:rPr>
                      <w:rFonts w:cs="Arial"/>
                    </w:rPr>
                  </w:pPr>
                  <w:r>
                    <w:rPr>
                      <w:rFonts w:cs="Arial"/>
                    </w:rPr>
                    <w:t>79</w:t>
                  </w:r>
                </w:p>
              </w:tc>
              <w:tc>
                <w:tcPr>
                  <w:tcW w:w="1134" w:type="dxa"/>
                </w:tcPr>
                <w:p w:rsidR="00AF2DCB" w:rsidRDefault="00AF2DCB" w:rsidP="002B3973">
                  <w:pPr>
                    <w:rPr>
                      <w:rFonts w:cs="Arial"/>
                    </w:rPr>
                  </w:pPr>
                  <w:r>
                    <w:rPr>
                      <w:rFonts w:cs="Arial"/>
                    </w:rPr>
                    <w:t>84</w:t>
                  </w:r>
                </w:p>
              </w:tc>
              <w:tc>
                <w:tcPr>
                  <w:tcW w:w="954" w:type="dxa"/>
                </w:tcPr>
                <w:p w:rsidR="00AF2DCB" w:rsidRDefault="00AF2DCB" w:rsidP="002B3973">
                  <w:pPr>
                    <w:rPr>
                      <w:rFonts w:cs="Arial"/>
                    </w:rPr>
                  </w:pPr>
                  <w:r>
                    <w:rPr>
                      <w:rFonts w:cs="Arial"/>
                    </w:rPr>
                    <w:t>99</w:t>
                  </w:r>
                </w:p>
              </w:tc>
              <w:tc>
                <w:tcPr>
                  <w:tcW w:w="954" w:type="dxa"/>
                </w:tcPr>
                <w:p w:rsidR="00AF2DCB" w:rsidRPr="00F756C6" w:rsidRDefault="00AF2DCB" w:rsidP="002B3973">
                  <w:pPr>
                    <w:rPr>
                      <w:rFonts w:cs="Arial"/>
                    </w:rPr>
                  </w:pPr>
                  <w:r w:rsidRPr="00F756C6">
                    <w:rPr>
                      <w:rFonts w:cs="Arial"/>
                    </w:rPr>
                    <w:t>107</w:t>
                  </w:r>
                </w:p>
              </w:tc>
              <w:tc>
                <w:tcPr>
                  <w:tcW w:w="954" w:type="dxa"/>
                </w:tcPr>
                <w:p w:rsidR="00AF2DCB" w:rsidRPr="00F756C6" w:rsidRDefault="00FA72EE" w:rsidP="002B3973">
                  <w:pPr>
                    <w:rPr>
                      <w:rFonts w:cs="Arial"/>
                    </w:rPr>
                  </w:pPr>
                  <w:r>
                    <w:rPr>
                      <w:rFonts w:cs="Arial"/>
                    </w:rPr>
                    <w:t>99</w:t>
                  </w:r>
                </w:p>
              </w:tc>
              <w:tc>
                <w:tcPr>
                  <w:tcW w:w="954" w:type="dxa"/>
                </w:tcPr>
                <w:p w:rsidR="00AF2DCB" w:rsidRPr="00296E8E" w:rsidRDefault="00AF2DCB" w:rsidP="002B3973">
                  <w:pPr>
                    <w:rPr>
                      <w:rFonts w:cs="Arial"/>
                      <w:highlight w:val="yellow"/>
                    </w:rPr>
                  </w:pPr>
                  <w:r>
                    <w:rPr>
                      <w:rFonts w:cs="Arial"/>
                      <w:highlight w:val="yellow"/>
                    </w:rPr>
                    <w:t>-</w:t>
                  </w:r>
                </w:p>
              </w:tc>
            </w:tr>
          </w:tbl>
          <w:p w:rsidR="00296E8E" w:rsidRDefault="00296E8E" w:rsidP="002B3973">
            <w:pPr>
              <w:rPr>
                <w:rFonts w:cs="Arial"/>
                <w:sz w:val="20"/>
              </w:rPr>
            </w:pPr>
          </w:p>
          <w:p w:rsidR="00CC5D05" w:rsidRDefault="004C6A2C" w:rsidP="002B3973">
            <w:pPr>
              <w:rPr>
                <w:rFonts w:cs="Arial"/>
                <w:sz w:val="20"/>
              </w:rPr>
            </w:pPr>
            <w:r>
              <w:rPr>
                <w:rFonts w:cs="Arial"/>
                <w:sz w:val="20"/>
              </w:rPr>
              <w:t xml:space="preserve">Regarding the student profile, the </w:t>
            </w:r>
            <w:r w:rsidR="009E21B0">
              <w:rPr>
                <w:rFonts w:cs="Arial"/>
                <w:sz w:val="20"/>
              </w:rPr>
              <w:t>most recent analysis (Fall 2011) of where GHS students are drawn from reveals that 43% of first semester students came from the following regions:</w:t>
            </w:r>
          </w:p>
          <w:p w:rsidR="009E21B0" w:rsidRDefault="009E21B0" w:rsidP="002B3973">
            <w:pPr>
              <w:pStyle w:val="ListParagraph"/>
              <w:numPr>
                <w:ilvl w:val="0"/>
                <w:numId w:val="10"/>
              </w:numPr>
              <w:rPr>
                <w:rFonts w:cs="Arial"/>
                <w:sz w:val="20"/>
              </w:rPr>
            </w:pPr>
            <w:r>
              <w:rPr>
                <w:rFonts w:cs="Arial"/>
                <w:sz w:val="20"/>
              </w:rPr>
              <w:t>43% - within the SSFC catchment</w:t>
            </w:r>
          </w:p>
          <w:p w:rsidR="009E21B0" w:rsidRDefault="009E21B0" w:rsidP="002B3973">
            <w:pPr>
              <w:pStyle w:val="ListParagraph"/>
              <w:numPr>
                <w:ilvl w:val="0"/>
                <w:numId w:val="10"/>
              </w:numPr>
              <w:rPr>
                <w:rFonts w:cs="Arial"/>
                <w:sz w:val="20"/>
              </w:rPr>
            </w:pPr>
            <w:r>
              <w:rPr>
                <w:rFonts w:cs="Arial"/>
                <w:sz w:val="20"/>
              </w:rPr>
              <w:t>38% - within the Peterborough area</w:t>
            </w:r>
          </w:p>
          <w:p w:rsidR="009E21B0" w:rsidRDefault="009E21B0" w:rsidP="002B3973">
            <w:pPr>
              <w:pStyle w:val="ListParagraph"/>
              <w:numPr>
                <w:ilvl w:val="0"/>
                <w:numId w:val="10"/>
              </w:numPr>
              <w:rPr>
                <w:rFonts w:cs="Arial"/>
                <w:sz w:val="20"/>
              </w:rPr>
            </w:pPr>
            <w:r>
              <w:rPr>
                <w:rFonts w:cs="Arial"/>
                <w:sz w:val="20"/>
              </w:rPr>
              <w:t xml:space="preserve">19% - within the GTA </w:t>
            </w:r>
          </w:p>
          <w:p w:rsidR="009E21B0" w:rsidRDefault="009E21B0" w:rsidP="002B3973">
            <w:pPr>
              <w:pStyle w:val="ListParagraph"/>
              <w:numPr>
                <w:ilvl w:val="0"/>
                <w:numId w:val="10"/>
              </w:numPr>
              <w:rPr>
                <w:rFonts w:cs="Arial"/>
                <w:sz w:val="20"/>
              </w:rPr>
            </w:pPr>
            <w:r>
              <w:rPr>
                <w:rFonts w:cs="Arial"/>
                <w:sz w:val="20"/>
              </w:rPr>
              <w:t>1% - within the Lindsay area</w:t>
            </w:r>
          </w:p>
          <w:p w:rsidR="009E21B0" w:rsidRDefault="009E21B0" w:rsidP="002B3973">
            <w:pPr>
              <w:pStyle w:val="ListParagraph"/>
              <w:numPr>
                <w:ilvl w:val="0"/>
                <w:numId w:val="10"/>
              </w:numPr>
              <w:rPr>
                <w:rFonts w:cs="Arial"/>
                <w:sz w:val="20"/>
              </w:rPr>
            </w:pPr>
            <w:r>
              <w:rPr>
                <w:rFonts w:cs="Arial"/>
                <w:sz w:val="20"/>
              </w:rPr>
              <w:t>2% - within the Cobourg area</w:t>
            </w:r>
          </w:p>
          <w:p w:rsidR="009E21B0" w:rsidRPr="009E21B0" w:rsidRDefault="009E21B0" w:rsidP="002B3973">
            <w:pPr>
              <w:pStyle w:val="ListParagraph"/>
              <w:numPr>
                <w:ilvl w:val="0"/>
                <w:numId w:val="10"/>
              </w:numPr>
              <w:rPr>
                <w:rFonts w:cs="Arial"/>
                <w:sz w:val="20"/>
              </w:rPr>
            </w:pPr>
            <w:r>
              <w:rPr>
                <w:rFonts w:cs="Arial"/>
                <w:sz w:val="20"/>
              </w:rPr>
              <w:t>2% - within the Haliburton area</w:t>
            </w:r>
          </w:p>
          <w:p w:rsidR="00CC5D05" w:rsidRDefault="00CC5D05" w:rsidP="002B3973">
            <w:pPr>
              <w:rPr>
                <w:rFonts w:cs="Arial"/>
                <w:sz w:val="20"/>
              </w:rPr>
            </w:pPr>
          </w:p>
          <w:p w:rsidR="00EA4DDF" w:rsidRDefault="00BF01FF" w:rsidP="00F756C6">
            <w:pPr>
              <w:jc w:val="both"/>
              <w:rPr>
                <w:rFonts w:cs="Arial"/>
                <w:sz w:val="20"/>
              </w:rPr>
            </w:pPr>
            <w:r w:rsidRPr="00F756C6">
              <w:rPr>
                <w:rFonts w:cs="Arial"/>
                <w:sz w:val="20"/>
              </w:rPr>
              <w:t xml:space="preserve">The number of students who lack the entrance qualifications for their college health program of choice appears to be increasing.  Although quantitative data have not been gathered, student focus group information suggests that the majority of students in the GHS program in 2011-2012 was not accepted into other college health </w:t>
            </w:r>
            <w:r w:rsidRPr="00F756C6">
              <w:rPr>
                <w:rFonts w:cs="Arial"/>
                <w:sz w:val="20"/>
              </w:rPr>
              <w:lastRenderedPageBreak/>
              <w:t>programs (such as Practical Nursing, Paramedic, Occupational Therapist Assistant) and were given an alternate offer to the GHS program.</w:t>
            </w:r>
          </w:p>
          <w:p w:rsidR="009E21B0" w:rsidRDefault="009E21B0" w:rsidP="002B3973">
            <w:pPr>
              <w:rPr>
                <w:rFonts w:cs="Arial"/>
                <w:sz w:val="20"/>
              </w:rPr>
            </w:pPr>
          </w:p>
          <w:p w:rsidR="009E21B0" w:rsidRPr="00BF01FF" w:rsidRDefault="009E21B0" w:rsidP="002B3973">
            <w:pPr>
              <w:rPr>
                <w:rFonts w:cs="Arial"/>
                <w:sz w:val="20"/>
              </w:rPr>
            </w:pP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6.2 Student Progression</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15"/>
              </w:numPr>
              <w:tabs>
                <w:tab w:val="clear" w:pos="720"/>
                <w:tab w:val="num" w:pos="360"/>
              </w:tabs>
              <w:ind w:left="360"/>
              <w:jc w:val="left"/>
              <w:rPr>
                <w:rFonts w:ascii="Arial" w:hAnsi="Arial" w:cs="Arial"/>
                <w:sz w:val="20"/>
              </w:rPr>
            </w:pPr>
            <w:r w:rsidRPr="00356C80">
              <w:rPr>
                <w:rFonts w:ascii="Arial" w:hAnsi="Arial" w:cs="Arial"/>
                <w:sz w:val="20"/>
              </w:rPr>
              <w:t>Patterns of student success and retention on a semester by semester basis over the last six years</w:t>
            </w:r>
          </w:p>
          <w:p w:rsidR="00D07044" w:rsidRPr="00356C80" w:rsidRDefault="00D07044" w:rsidP="00D07044">
            <w:pPr>
              <w:pStyle w:val="Title"/>
              <w:ind w:left="360"/>
              <w:jc w:val="left"/>
              <w:rPr>
                <w:rFonts w:ascii="Arial" w:hAnsi="Arial" w:cs="Arial"/>
                <w:sz w:val="20"/>
              </w:rPr>
            </w:pPr>
          </w:p>
          <w:p w:rsidR="005D66C4" w:rsidRPr="00356C80" w:rsidRDefault="00EA4DDF" w:rsidP="006F46E4">
            <w:pPr>
              <w:pStyle w:val="Title"/>
              <w:numPr>
                <w:ilvl w:val="0"/>
                <w:numId w:val="15"/>
              </w:numPr>
              <w:tabs>
                <w:tab w:val="clear" w:pos="720"/>
                <w:tab w:val="num" w:pos="360"/>
              </w:tabs>
              <w:ind w:left="360"/>
              <w:jc w:val="left"/>
              <w:rPr>
                <w:rFonts w:ascii="Arial" w:hAnsi="Arial" w:cs="Arial"/>
                <w:b/>
                <w:sz w:val="20"/>
              </w:rPr>
            </w:pPr>
            <w:r w:rsidRPr="00356C80">
              <w:rPr>
                <w:rFonts w:ascii="Arial" w:hAnsi="Arial" w:cs="Arial"/>
                <w:sz w:val="20"/>
              </w:rPr>
              <w:t xml:space="preserve">The effectiveness of any strategies adopted to improve student success and retention </w:t>
            </w:r>
          </w:p>
        </w:tc>
        <w:tc>
          <w:tcPr>
            <w:tcW w:w="6379" w:type="dxa"/>
            <w:gridSpan w:val="2"/>
            <w:shd w:val="clear" w:color="auto" w:fill="auto"/>
            <w:tcMar>
              <w:top w:w="113" w:type="dxa"/>
              <w:bottom w:w="113" w:type="dxa"/>
            </w:tcMar>
          </w:tcPr>
          <w:p w:rsidR="00EA4DDF" w:rsidRDefault="008E1E0F" w:rsidP="00AB5A30">
            <w:pPr>
              <w:rPr>
                <w:rFonts w:cs="Arial"/>
                <w:sz w:val="20"/>
              </w:rPr>
            </w:pPr>
            <w:r>
              <w:rPr>
                <w:rFonts w:cs="Arial"/>
                <w:sz w:val="20"/>
              </w:rPr>
              <w:t>Retention rates for students in the GHS program were compiled and available from 200</w:t>
            </w:r>
            <w:r w:rsidR="00545032">
              <w:rPr>
                <w:rFonts w:cs="Arial"/>
                <w:sz w:val="20"/>
              </w:rPr>
              <w:t>7</w:t>
            </w:r>
            <w:r>
              <w:rPr>
                <w:rFonts w:cs="Arial"/>
                <w:sz w:val="20"/>
              </w:rPr>
              <w:t xml:space="preserve"> to 20</w:t>
            </w:r>
            <w:r w:rsidR="00545032">
              <w:rPr>
                <w:rFonts w:cs="Arial"/>
                <w:sz w:val="20"/>
              </w:rPr>
              <w:t>11</w:t>
            </w:r>
            <w:r>
              <w:rPr>
                <w:rFonts w:cs="Arial"/>
                <w:sz w:val="20"/>
              </w:rPr>
              <w:t xml:space="preserve"> in the Fleming Data Research site. </w:t>
            </w:r>
          </w:p>
          <w:p w:rsidR="008E1E0F" w:rsidRDefault="008E1E0F" w:rsidP="00AB5A30">
            <w:pPr>
              <w:rPr>
                <w:rFonts w:cs="Arial"/>
                <w:sz w:val="20"/>
              </w:rPr>
            </w:pPr>
          </w:p>
          <w:tbl>
            <w:tblPr>
              <w:tblStyle w:val="TableGrid"/>
              <w:tblW w:w="0" w:type="auto"/>
              <w:tblLayout w:type="fixed"/>
              <w:tblLook w:val="04A0" w:firstRow="1" w:lastRow="0" w:firstColumn="1" w:lastColumn="0" w:noHBand="0" w:noVBand="1"/>
            </w:tblPr>
            <w:tblGrid>
              <w:gridCol w:w="2006"/>
              <w:gridCol w:w="1350"/>
              <w:gridCol w:w="1350"/>
              <w:gridCol w:w="1350"/>
            </w:tblGrid>
            <w:tr w:rsidR="008E1E0F" w:rsidTr="008E1E0F">
              <w:trPr>
                <w:trHeight w:val="253"/>
              </w:trPr>
              <w:tc>
                <w:tcPr>
                  <w:tcW w:w="2006" w:type="dxa"/>
                </w:tcPr>
                <w:p w:rsidR="008E1E0F" w:rsidRDefault="008E1E0F" w:rsidP="00AB5A30">
                  <w:pPr>
                    <w:rPr>
                      <w:rFonts w:cs="Arial"/>
                    </w:rPr>
                  </w:pPr>
                  <w:r>
                    <w:rPr>
                      <w:rFonts w:cs="Arial"/>
                    </w:rPr>
                    <w:t>Fall Intake</w:t>
                  </w:r>
                </w:p>
              </w:tc>
              <w:tc>
                <w:tcPr>
                  <w:tcW w:w="1350" w:type="dxa"/>
                </w:tcPr>
                <w:p w:rsidR="008E1E0F" w:rsidRDefault="008E1E0F" w:rsidP="008E1E0F">
                  <w:pPr>
                    <w:jc w:val="center"/>
                    <w:rPr>
                      <w:rFonts w:cs="Arial"/>
                    </w:rPr>
                  </w:pPr>
                  <w:r>
                    <w:rPr>
                      <w:rFonts w:cs="Arial"/>
                    </w:rPr>
                    <w:t>Sem 1</w:t>
                  </w:r>
                </w:p>
                <w:p w:rsidR="008E1E0F" w:rsidRDefault="008E1E0F" w:rsidP="008E1E0F">
                  <w:pPr>
                    <w:jc w:val="center"/>
                    <w:rPr>
                      <w:rFonts w:cs="Arial"/>
                    </w:rPr>
                  </w:pPr>
                  <w:r>
                    <w:rPr>
                      <w:rFonts w:cs="Arial"/>
                    </w:rPr>
                    <w:t>Day 10</w:t>
                  </w:r>
                </w:p>
              </w:tc>
              <w:tc>
                <w:tcPr>
                  <w:tcW w:w="1350" w:type="dxa"/>
                </w:tcPr>
                <w:p w:rsidR="008E1E0F" w:rsidRDefault="008E1E0F" w:rsidP="008E1E0F">
                  <w:pPr>
                    <w:jc w:val="center"/>
                    <w:rPr>
                      <w:rFonts w:cs="Arial"/>
                    </w:rPr>
                  </w:pPr>
                  <w:r>
                    <w:rPr>
                      <w:rFonts w:cs="Arial"/>
                    </w:rPr>
                    <w:t>Sem 2</w:t>
                  </w:r>
                </w:p>
                <w:p w:rsidR="008E1E0F" w:rsidRDefault="008E1E0F" w:rsidP="008E1E0F">
                  <w:pPr>
                    <w:jc w:val="center"/>
                    <w:rPr>
                      <w:rFonts w:cs="Arial"/>
                    </w:rPr>
                  </w:pPr>
                  <w:r>
                    <w:rPr>
                      <w:rFonts w:cs="Arial"/>
                    </w:rPr>
                    <w:t>Day 10</w:t>
                  </w:r>
                </w:p>
              </w:tc>
              <w:tc>
                <w:tcPr>
                  <w:tcW w:w="1350" w:type="dxa"/>
                </w:tcPr>
                <w:p w:rsidR="008E1E0F" w:rsidRDefault="008E1E0F" w:rsidP="008E1E0F">
                  <w:pPr>
                    <w:jc w:val="center"/>
                    <w:rPr>
                      <w:rFonts w:cs="Arial"/>
                    </w:rPr>
                  </w:pPr>
                  <w:r>
                    <w:rPr>
                      <w:rFonts w:cs="Arial"/>
                    </w:rPr>
                    <w:t>% Retained in College</w:t>
                  </w:r>
                </w:p>
              </w:tc>
            </w:tr>
            <w:tr w:rsidR="00545032" w:rsidTr="008E1E0F">
              <w:trPr>
                <w:trHeight w:val="253"/>
              </w:trPr>
              <w:tc>
                <w:tcPr>
                  <w:tcW w:w="2006" w:type="dxa"/>
                </w:tcPr>
                <w:p w:rsidR="00545032" w:rsidRDefault="00545032" w:rsidP="00AB5A30">
                  <w:pPr>
                    <w:rPr>
                      <w:rFonts w:cs="Arial"/>
                    </w:rPr>
                  </w:pPr>
                  <w:r>
                    <w:rPr>
                      <w:rFonts w:cs="Arial"/>
                    </w:rPr>
                    <w:t>2006</w:t>
                  </w:r>
                </w:p>
              </w:tc>
              <w:tc>
                <w:tcPr>
                  <w:tcW w:w="1350" w:type="dxa"/>
                </w:tcPr>
                <w:p w:rsidR="00545032" w:rsidRDefault="00545032" w:rsidP="008E1E0F">
                  <w:pPr>
                    <w:jc w:val="center"/>
                    <w:rPr>
                      <w:rFonts w:cs="Arial"/>
                    </w:rPr>
                  </w:pPr>
                  <w:r>
                    <w:rPr>
                      <w:rFonts w:cs="Arial"/>
                    </w:rPr>
                    <w:t>76</w:t>
                  </w:r>
                </w:p>
              </w:tc>
              <w:tc>
                <w:tcPr>
                  <w:tcW w:w="1350" w:type="dxa"/>
                </w:tcPr>
                <w:p w:rsidR="00545032" w:rsidRDefault="00545032" w:rsidP="008E1E0F">
                  <w:pPr>
                    <w:jc w:val="center"/>
                    <w:rPr>
                      <w:rFonts w:cs="Arial"/>
                    </w:rPr>
                  </w:pPr>
                  <w:r>
                    <w:rPr>
                      <w:rFonts w:cs="Arial"/>
                    </w:rPr>
                    <w:t>62</w:t>
                  </w:r>
                </w:p>
              </w:tc>
              <w:tc>
                <w:tcPr>
                  <w:tcW w:w="1350" w:type="dxa"/>
                </w:tcPr>
                <w:p w:rsidR="00545032" w:rsidRDefault="00545032" w:rsidP="008E1E0F">
                  <w:pPr>
                    <w:jc w:val="center"/>
                    <w:rPr>
                      <w:rFonts w:cs="Arial"/>
                    </w:rPr>
                  </w:pPr>
                  <w:r>
                    <w:rPr>
                      <w:rFonts w:cs="Arial"/>
                    </w:rPr>
                    <w:t>82</w:t>
                  </w:r>
                </w:p>
              </w:tc>
            </w:tr>
            <w:tr w:rsidR="008E1E0F" w:rsidTr="008E1E0F">
              <w:trPr>
                <w:trHeight w:val="253"/>
              </w:trPr>
              <w:tc>
                <w:tcPr>
                  <w:tcW w:w="2006" w:type="dxa"/>
                </w:tcPr>
                <w:p w:rsidR="008E1E0F" w:rsidRDefault="008E1E0F" w:rsidP="00AB5A30">
                  <w:pPr>
                    <w:rPr>
                      <w:rFonts w:cs="Arial"/>
                    </w:rPr>
                  </w:pPr>
                  <w:r>
                    <w:rPr>
                      <w:rFonts w:cs="Arial"/>
                    </w:rPr>
                    <w:t>2007</w:t>
                  </w:r>
                </w:p>
              </w:tc>
              <w:tc>
                <w:tcPr>
                  <w:tcW w:w="1350" w:type="dxa"/>
                </w:tcPr>
                <w:p w:rsidR="008E1E0F" w:rsidRDefault="008E1E0F" w:rsidP="008E1E0F">
                  <w:pPr>
                    <w:jc w:val="center"/>
                    <w:rPr>
                      <w:rFonts w:cs="Arial"/>
                    </w:rPr>
                  </w:pPr>
                  <w:r>
                    <w:rPr>
                      <w:rFonts w:cs="Arial"/>
                    </w:rPr>
                    <w:t>78</w:t>
                  </w:r>
                </w:p>
              </w:tc>
              <w:tc>
                <w:tcPr>
                  <w:tcW w:w="1350" w:type="dxa"/>
                </w:tcPr>
                <w:p w:rsidR="008E1E0F" w:rsidRDefault="008E1E0F" w:rsidP="008E1E0F">
                  <w:pPr>
                    <w:jc w:val="center"/>
                    <w:rPr>
                      <w:rFonts w:cs="Arial"/>
                    </w:rPr>
                  </w:pPr>
                  <w:r>
                    <w:rPr>
                      <w:rFonts w:cs="Arial"/>
                    </w:rPr>
                    <w:t>48</w:t>
                  </w:r>
                </w:p>
              </w:tc>
              <w:tc>
                <w:tcPr>
                  <w:tcW w:w="1350" w:type="dxa"/>
                </w:tcPr>
                <w:p w:rsidR="008E1E0F" w:rsidRDefault="008E1E0F" w:rsidP="008E1E0F">
                  <w:pPr>
                    <w:jc w:val="center"/>
                    <w:rPr>
                      <w:rFonts w:cs="Arial"/>
                    </w:rPr>
                  </w:pPr>
                  <w:r>
                    <w:rPr>
                      <w:rFonts w:cs="Arial"/>
                    </w:rPr>
                    <w:t>62</w:t>
                  </w:r>
                </w:p>
              </w:tc>
            </w:tr>
            <w:tr w:rsidR="008E1E0F" w:rsidTr="008E1E0F">
              <w:trPr>
                <w:trHeight w:val="253"/>
              </w:trPr>
              <w:tc>
                <w:tcPr>
                  <w:tcW w:w="2006" w:type="dxa"/>
                </w:tcPr>
                <w:p w:rsidR="008E1E0F" w:rsidRDefault="008E1E0F" w:rsidP="00AB5A30">
                  <w:pPr>
                    <w:rPr>
                      <w:rFonts w:cs="Arial"/>
                    </w:rPr>
                  </w:pPr>
                  <w:r>
                    <w:rPr>
                      <w:rFonts w:cs="Arial"/>
                    </w:rPr>
                    <w:t>2008</w:t>
                  </w:r>
                </w:p>
              </w:tc>
              <w:tc>
                <w:tcPr>
                  <w:tcW w:w="1350" w:type="dxa"/>
                </w:tcPr>
                <w:p w:rsidR="008E1E0F" w:rsidRDefault="008E1E0F" w:rsidP="008E1E0F">
                  <w:pPr>
                    <w:jc w:val="center"/>
                    <w:rPr>
                      <w:rFonts w:cs="Arial"/>
                    </w:rPr>
                  </w:pPr>
                  <w:r>
                    <w:rPr>
                      <w:rFonts w:cs="Arial"/>
                    </w:rPr>
                    <w:t>86</w:t>
                  </w:r>
                </w:p>
              </w:tc>
              <w:tc>
                <w:tcPr>
                  <w:tcW w:w="1350" w:type="dxa"/>
                </w:tcPr>
                <w:p w:rsidR="008E1E0F" w:rsidRDefault="008E1E0F" w:rsidP="008E1E0F">
                  <w:pPr>
                    <w:jc w:val="center"/>
                    <w:rPr>
                      <w:rFonts w:cs="Arial"/>
                    </w:rPr>
                  </w:pPr>
                  <w:r>
                    <w:rPr>
                      <w:rFonts w:cs="Arial"/>
                    </w:rPr>
                    <w:t>65</w:t>
                  </w:r>
                </w:p>
              </w:tc>
              <w:tc>
                <w:tcPr>
                  <w:tcW w:w="1350" w:type="dxa"/>
                </w:tcPr>
                <w:p w:rsidR="008E1E0F" w:rsidRDefault="008E1E0F" w:rsidP="008E1E0F">
                  <w:pPr>
                    <w:jc w:val="center"/>
                    <w:rPr>
                      <w:rFonts w:cs="Arial"/>
                    </w:rPr>
                  </w:pPr>
                  <w:r>
                    <w:rPr>
                      <w:rFonts w:cs="Arial"/>
                    </w:rPr>
                    <w:t>76</w:t>
                  </w:r>
                </w:p>
              </w:tc>
            </w:tr>
            <w:tr w:rsidR="008E1E0F" w:rsidTr="008E1E0F">
              <w:trPr>
                <w:trHeight w:val="253"/>
              </w:trPr>
              <w:tc>
                <w:tcPr>
                  <w:tcW w:w="2006" w:type="dxa"/>
                </w:tcPr>
                <w:p w:rsidR="008E1E0F" w:rsidRDefault="008E1E0F" w:rsidP="00AB5A30">
                  <w:pPr>
                    <w:rPr>
                      <w:rFonts w:cs="Arial"/>
                    </w:rPr>
                  </w:pPr>
                  <w:r>
                    <w:rPr>
                      <w:rFonts w:cs="Arial"/>
                    </w:rPr>
                    <w:t>2009</w:t>
                  </w:r>
                </w:p>
              </w:tc>
              <w:tc>
                <w:tcPr>
                  <w:tcW w:w="1350" w:type="dxa"/>
                </w:tcPr>
                <w:p w:rsidR="008E1E0F" w:rsidRDefault="009A4158" w:rsidP="008E1E0F">
                  <w:pPr>
                    <w:jc w:val="center"/>
                    <w:rPr>
                      <w:rFonts w:cs="Arial"/>
                    </w:rPr>
                  </w:pPr>
                  <w:r>
                    <w:rPr>
                      <w:rFonts w:cs="Arial"/>
                    </w:rPr>
                    <w:t>99</w:t>
                  </w:r>
                </w:p>
              </w:tc>
              <w:tc>
                <w:tcPr>
                  <w:tcW w:w="1350" w:type="dxa"/>
                </w:tcPr>
                <w:p w:rsidR="008E1E0F" w:rsidRDefault="009A4158" w:rsidP="008E1E0F">
                  <w:pPr>
                    <w:jc w:val="center"/>
                    <w:rPr>
                      <w:rFonts w:cs="Arial"/>
                    </w:rPr>
                  </w:pPr>
                  <w:r>
                    <w:rPr>
                      <w:rFonts w:cs="Arial"/>
                    </w:rPr>
                    <w:t>86</w:t>
                  </w:r>
                </w:p>
              </w:tc>
              <w:tc>
                <w:tcPr>
                  <w:tcW w:w="1350" w:type="dxa"/>
                </w:tcPr>
                <w:p w:rsidR="008E1E0F" w:rsidRDefault="009A4158" w:rsidP="008E1E0F">
                  <w:pPr>
                    <w:jc w:val="center"/>
                    <w:rPr>
                      <w:rFonts w:cs="Arial"/>
                    </w:rPr>
                  </w:pPr>
                  <w:r>
                    <w:rPr>
                      <w:rFonts w:cs="Arial"/>
                    </w:rPr>
                    <w:t>88</w:t>
                  </w:r>
                </w:p>
              </w:tc>
            </w:tr>
            <w:tr w:rsidR="008E1E0F" w:rsidRPr="009A4158" w:rsidTr="008E1E0F">
              <w:trPr>
                <w:trHeight w:val="253"/>
              </w:trPr>
              <w:tc>
                <w:tcPr>
                  <w:tcW w:w="2006" w:type="dxa"/>
                </w:tcPr>
                <w:p w:rsidR="008E1E0F" w:rsidRPr="00FA72EE" w:rsidRDefault="008E1E0F" w:rsidP="00AB5A30">
                  <w:pPr>
                    <w:rPr>
                      <w:rFonts w:cs="Arial"/>
                    </w:rPr>
                  </w:pPr>
                  <w:r w:rsidRPr="00FA72EE">
                    <w:rPr>
                      <w:rFonts w:cs="Arial"/>
                    </w:rPr>
                    <w:t>2010</w:t>
                  </w:r>
                </w:p>
              </w:tc>
              <w:tc>
                <w:tcPr>
                  <w:tcW w:w="1350" w:type="dxa"/>
                </w:tcPr>
                <w:p w:rsidR="008E1E0F" w:rsidRPr="00FA72EE" w:rsidRDefault="00FA72EE" w:rsidP="008E1E0F">
                  <w:pPr>
                    <w:jc w:val="center"/>
                    <w:rPr>
                      <w:rFonts w:cs="Arial"/>
                    </w:rPr>
                  </w:pPr>
                  <w:r>
                    <w:rPr>
                      <w:rFonts w:cs="Arial"/>
                    </w:rPr>
                    <w:t>107</w:t>
                  </w:r>
                </w:p>
              </w:tc>
              <w:tc>
                <w:tcPr>
                  <w:tcW w:w="1350" w:type="dxa"/>
                </w:tcPr>
                <w:p w:rsidR="008E1E0F" w:rsidRPr="00FA72EE" w:rsidRDefault="00FA72EE" w:rsidP="008E1E0F">
                  <w:pPr>
                    <w:jc w:val="center"/>
                    <w:rPr>
                      <w:rFonts w:cs="Arial"/>
                    </w:rPr>
                  </w:pPr>
                  <w:r>
                    <w:rPr>
                      <w:rFonts w:cs="Arial"/>
                    </w:rPr>
                    <w:t>72</w:t>
                  </w:r>
                </w:p>
              </w:tc>
              <w:tc>
                <w:tcPr>
                  <w:tcW w:w="1350" w:type="dxa"/>
                </w:tcPr>
                <w:p w:rsidR="008E1E0F" w:rsidRPr="00FA72EE" w:rsidRDefault="00FA72EE" w:rsidP="008E1E0F">
                  <w:pPr>
                    <w:jc w:val="center"/>
                    <w:rPr>
                      <w:rFonts w:cs="Arial"/>
                    </w:rPr>
                  </w:pPr>
                  <w:r>
                    <w:rPr>
                      <w:rFonts w:cs="Arial"/>
                    </w:rPr>
                    <w:t>67</w:t>
                  </w:r>
                </w:p>
              </w:tc>
            </w:tr>
            <w:tr w:rsidR="00FA72EE" w:rsidRPr="009A4158" w:rsidTr="008E1E0F">
              <w:trPr>
                <w:trHeight w:val="253"/>
              </w:trPr>
              <w:tc>
                <w:tcPr>
                  <w:tcW w:w="2006" w:type="dxa"/>
                </w:tcPr>
                <w:p w:rsidR="00FA72EE" w:rsidRPr="00FA72EE" w:rsidRDefault="00FA72EE" w:rsidP="00AB5A30">
                  <w:pPr>
                    <w:rPr>
                      <w:rFonts w:cs="Arial"/>
                    </w:rPr>
                  </w:pPr>
                  <w:r>
                    <w:rPr>
                      <w:rFonts w:cs="Arial"/>
                    </w:rPr>
                    <w:t>2011</w:t>
                  </w:r>
                </w:p>
              </w:tc>
              <w:tc>
                <w:tcPr>
                  <w:tcW w:w="1350" w:type="dxa"/>
                </w:tcPr>
                <w:p w:rsidR="00FA72EE" w:rsidRDefault="00FA72EE" w:rsidP="008E1E0F">
                  <w:pPr>
                    <w:jc w:val="center"/>
                    <w:rPr>
                      <w:rFonts w:cs="Arial"/>
                    </w:rPr>
                  </w:pPr>
                  <w:r>
                    <w:rPr>
                      <w:rFonts w:cs="Arial"/>
                    </w:rPr>
                    <w:t>99</w:t>
                  </w:r>
                </w:p>
              </w:tc>
              <w:tc>
                <w:tcPr>
                  <w:tcW w:w="1350" w:type="dxa"/>
                </w:tcPr>
                <w:p w:rsidR="00FA72EE" w:rsidRDefault="00FA72EE" w:rsidP="008E1E0F">
                  <w:pPr>
                    <w:jc w:val="center"/>
                    <w:rPr>
                      <w:rFonts w:cs="Arial"/>
                    </w:rPr>
                  </w:pPr>
                  <w:r>
                    <w:rPr>
                      <w:rFonts w:cs="Arial"/>
                    </w:rPr>
                    <w:t>76</w:t>
                  </w:r>
                </w:p>
              </w:tc>
              <w:tc>
                <w:tcPr>
                  <w:tcW w:w="1350" w:type="dxa"/>
                </w:tcPr>
                <w:p w:rsidR="00FA72EE" w:rsidRDefault="00FA72EE" w:rsidP="008E1E0F">
                  <w:pPr>
                    <w:jc w:val="center"/>
                    <w:rPr>
                      <w:rFonts w:cs="Arial"/>
                    </w:rPr>
                  </w:pPr>
                  <w:r>
                    <w:rPr>
                      <w:rFonts w:cs="Arial"/>
                    </w:rPr>
                    <w:t>77</w:t>
                  </w:r>
                </w:p>
              </w:tc>
            </w:tr>
            <w:tr w:rsidR="008E1E0F" w:rsidTr="008E1E0F">
              <w:trPr>
                <w:trHeight w:val="253"/>
              </w:trPr>
              <w:tc>
                <w:tcPr>
                  <w:tcW w:w="2006" w:type="dxa"/>
                </w:tcPr>
                <w:p w:rsidR="008E1E0F" w:rsidRPr="00FA72EE" w:rsidRDefault="008E1E0F" w:rsidP="00AB5A30">
                  <w:pPr>
                    <w:rPr>
                      <w:rFonts w:cs="Arial"/>
                    </w:rPr>
                  </w:pPr>
                  <w:r w:rsidRPr="00FA72EE">
                    <w:rPr>
                      <w:rFonts w:cs="Arial"/>
                    </w:rPr>
                    <w:t xml:space="preserve">Overall </w:t>
                  </w:r>
                </w:p>
                <w:p w:rsidR="008E1E0F" w:rsidRPr="00FA72EE" w:rsidRDefault="008E1E0F" w:rsidP="00AB5A30">
                  <w:pPr>
                    <w:rPr>
                      <w:rFonts w:cs="Arial"/>
                    </w:rPr>
                  </w:pPr>
                  <w:r w:rsidRPr="00FA72EE">
                    <w:rPr>
                      <w:rFonts w:cs="Arial"/>
                    </w:rPr>
                    <w:t>Total</w:t>
                  </w:r>
                </w:p>
              </w:tc>
              <w:tc>
                <w:tcPr>
                  <w:tcW w:w="1350" w:type="dxa"/>
                </w:tcPr>
                <w:p w:rsidR="008E1E0F" w:rsidRPr="00FA72EE" w:rsidRDefault="009A4158" w:rsidP="00FA72EE">
                  <w:pPr>
                    <w:jc w:val="center"/>
                    <w:rPr>
                      <w:rFonts w:cs="Arial"/>
                    </w:rPr>
                  </w:pPr>
                  <w:r w:rsidRPr="00FA72EE">
                    <w:rPr>
                      <w:rFonts w:cs="Arial"/>
                    </w:rPr>
                    <w:t>4</w:t>
                  </w:r>
                  <w:r w:rsidR="00FA72EE">
                    <w:rPr>
                      <w:rFonts w:cs="Arial"/>
                    </w:rPr>
                    <w:t>69</w:t>
                  </w:r>
                </w:p>
              </w:tc>
              <w:tc>
                <w:tcPr>
                  <w:tcW w:w="1350" w:type="dxa"/>
                </w:tcPr>
                <w:p w:rsidR="008E1E0F" w:rsidRPr="00FA72EE" w:rsidRDefault="009A4158" w:rsidP="00FA72EE">
                  <w:pPr>
                    <w:jc w:val="center"/>
                    <w:rPr>
                      <w:rFonts w:cs="Arial"/>
                    </w:rPr>
                  </w:pPr>
                  <w:r w:rsidRPr="00FA72EE">
                    <w:rPr>
                      <w:rFonts w:cs="Arial"/>
                    </w:rPr>
                    <w:t>34</w:t>
                  </w:r>
                  <w:r w:rsidR="00FA72EE">
                    <w:rPr>
                      <w:rFonts w:cs="Arial"/>
                    </w:rPr>
                    <w:t>7</w:t>
                  </w:r>
                </w:p>
              </w:tc>
              <w:tc>
                <w:tcPr>
                  <w:tcW w:w="1350" w:type="dxa"/>
                </w:tcPr>
                <w:p w:rsidR="008E1E0F" w:rsidRPr="00FA72EE" w:rsidRDefault="00FA72EE" w:rsidP="008E1E0F">
                  <w:pPr>
                    <w:jc w:val="center"/>
                    <w:rPr>
                      <w:rFonts w:cs="Arial"/>
                    </w:rPr>
                  </w:pPr>
                  <w:r>
                    <w:rPr>
                      <w:rFonts w:cs="Arial"/>
                    </w:rPr>
                    <w:t>74</w:t>
                  </w:r>
                </w:p>
              </w:tc>
            </w:tr>
          </w:tbl>
          <w:p w:rsidR="008E1E0F" w:rsidRDefault="008E1E0F" w:rsidP="00AB5A30">
            <w:pPr>
              <w:rPr>
                <w:rFonts w:cs="Arial"/>
                <w:sz w:val="20"/>
              </w:rPr>
            </w:pPr>
          </w:p>
          <w:p w:rsidR="00545032" w:rsidRDefault="00545032" w:rsidP="00F756C6">
            <w:pPr>
              <w:jc w:val="both"/>
              <w:rPr>
                <w:rFonts w:cs="Arial"/>
                <w:sz w:val="20"/>
              </w:rPr>
            </w:pPr>
            <w:r>
              <w:rPr>
                <w:rFonts w:cs="Arial"/>
                <w:sz w:val="20"/>
              </w:rPr>
              <w:t>Retention over the last 5 years has been variable with an overall rate of 74%.</w:t>
            </w:r>
          </w:p>
          <w:p w:rsidR="00545032" w:rsidRDefault="00545032" w:rsidP="00F756C6">
            <w:pPr>
              <w:jc w:val="both"/>
              <w:rPr>
                <w:rFonts w:cs="Arial"/>
                <w:sz w:val="20"/>
              </w:rPr>
            </w:pPr>
          </w:p>
          <w:p w:rsidR="000E276E" w:rsidRDefault="00412AB9" w:rsidP="00F756C6">
            <w:pPr>
              <w:jc w:val="both"/>
              <w:rPr>
                <w:rFonts w:cs="Arial"/>
                <w:sz w:val="20"/>
              </w:rPr>
            </w:pPr>
            <w:r>
              <w:rPr>
                <w:rFonts w:cs="Arial"/>
                <w:sz w:val="20"/>
              </w:rPr>
              <w:t>The GHS program teaching team, the school and the college are actively working on rete</w:t>
            </w:r>
            <w:r w:rsidR="004C6A2C">
              <w:rPr>
                <w:rFonts w:cs="Arial"/>
                <w:sz w:val="20"/>
              </w:rPr>
              <w:t>ntion and success strategies</w:t>
            </w:r>
            <w:r>
              <w:rPr>
                <w:rFonts w:cs="Arial"/>
                <w:sz w:val="20"/>
              </w:rPr>
              <w:t xml:space="preserve"> for students.  Among the initiatives that are program-specific and geared toward improving retention and student success, the followi</w:t>
            </w:r>
            <w:r w:rsidR="002A213B">
              <w:rPr>
                <w:rFonts w:cs="Arial"/>
                <w:sz w:val="20"/>
              </w:rPr>
              <w:t>ng have been implemented as of F</w:t>
            </w:r>
            <w:r>
              <w:rPr>
                <w:rFonts w:cs="Arial"/>
                <w:sz w:val="20"/>
              </w:rPr>
              <w:t>all 2012:</w:t>
            </w:r>
          </w:p>
          <w:p w:rsidR="00412AB9" w:rsidRDefault="00412AB9" w:rsidP="00F756C6">
            <w:pPr>
              <w:pStyle w:val="ListParagraph"/>
              <w:numPr>
                <w:ilvl w:val="0"/>
                <w:numId w:val="41"/>
              </w:numPr>
              <w:jc w:val="both"/>
              <w:rPr>
                <w:rFonts w:cs="Arial"/>
                <w:sz w:val="20"/>
              </w:rPr>
            </w:pPr>
            <w:r>
              <w:rPr>
                <w:rFonts w:cs="Arial"/>
                <w:sz w:val="20"/>
              </w:rPr>
              <w:t>Comprehensive Orientation package featuring key program</w:t>
            </w:r>
            <w:r w:rsidR="002A213B">
              <w:rPr>
                <w:rFonts w:cs="Arial"/>
                <w:sz w:val="20"/>
              </w:rPr>
              <w:t xml:space="preserve"> information</w:t>
            </w:r>
            <w:r>
              <w:rPr>
                <w:rFonts w:cs="Arial"/>
                <w:sz w:val="20"/>
              </w:rPr>
              <w:t>, college services and contact information of faculty</w:t>
            </w:r>
          </w:p>
          <w:p w:rsidR="00412AB9" w:rsidRDefault="00412AB9" w:rsidP="00F756C6">
            <w:pPr>
              <w:pStyle w:val="ListParagraph"/>
              <w:numPr>
                <w:ilvl w:val="0"/>
                <w:numId w:val="41"/>
              </w:numPr>
              <w:jc w:val="both"/>
              <w:rPr>
                <w:rFonts w:cs="Arial"/>
                <w:sz w:val="20"/>
              </w:rPr>
            </w:pPr>
            <w:r>
              <w:rPr>
                <w:rFonts w:cs="Arial"/>
                <w:sz w:val="20"/>
              </w:rPr>
              <w:t>Identification of “at-risk” students (i.e., Accuplacer scores for literacy and numeracy are pulled from the database)</w:t>
            </w:r>
          </w:p>
          <w:p w:rsidR="00412AB9" w:rsidRDefault="00412AB9" w:rsidP="00F756C6">
            <w:pPr>
              <w:pStyle w:val="ListParagraph"/>
              <w:numPr>
                <w:ilvl w:val="0"/>
                <w:numId w:val="41"/>
              </w:numPr>
              <w:jc w:val="both"/>
              <w:rPr>
                <w:rFonts w:cs="Arial"/>
                <w:sz w:val="20"/>
              </w:rPr>
            </w:pPr>
            <w:r>
              <w:rPr>
                <w:rFonts w:cs="Arial"/>
                <w:sz w:val="20"/>
              </w:rPr>
              <w:t>Student Advisor meetings with at-risk students</w:t>
            </w:r>
          </w:p>
          <w:p w:rsidR="00412AB9" w:rsidRDefault="00412AB9" w:rsidP="00F756C6">
            <w:pPr>
              <w:pStyle w:val="ListParagraph"/>
              <w:numPr>
                <w:ilvl w:val="0"/>
                <w:numId w:val="41"/>
              </w:numPr>
              <w:jc w:val="both"/>
              <w:rPr>
                <w:rFonts w:cs="Arial"/>
                <w:sz w:val="20"/>
              </w:rPr>
            </w:pPr>
            <w:r>
              <w:rPr>
                <w:rFonts w:cs="Arial"/>
                <w:sz w:val="20"/>
              </w:rPr>
              <w:t xml:space="preserve">Enhanced curriculum that is coordinated and integrated </w:t>
            </w:r>
            <w:r>
              <w:rPr>
                <w:rFonts w:cs="Arial"/>
                <w:sz w:val="20"/>
              </w:rPr>
              <w:lastRenderedPageBreak/>
              <w:t>among 4 core courses</w:t>
            </w:r>
          </w:p>
          <w:p w:rsidR="00412AB9" w:rsidRDefault="00412AB9" w:rsidP="00F756C6">
            <w:pPr>
              <w:pStyle w:val="ListParagraph"/>
              <w:numPr>
                <w:ilvl w:val="0"/>
                <w:numId w:val="41"/>
              </w:numPr>
              <w:jc w:val="both"/>
              <w:rPr>
                <w:rFonts w:cs="Arial"/>
                <w:sz w:val="20"/>
              </w:rPr>
            </w:pPr>
            <w:r>
              <w:rPr>
                <w:rFonts w:cs="Arial"/>
                <w:sz w:val="20"/>
              </w:rPr>
              <w:t>Dedicated teaching team that meets on a weekly basis to discuss student issues and curriculum challenges</w:t>
            </w:r>
          </w:p>
          <w:p w:rsidR="00412AB9" w:rsidRDefault="00412AB9" w:rsidP="00F756C6">
            <w:pPr>
              <w:pStyle w:val="ListParagraph"/>
              <w:numPr>
                <w:ilvl w:val="0"/>
                <w:numId w:val="41"/>
              </w:numPr>
              <w:jc w:val="both"/>
              <w:rPr>
                <w:rFonts w:cs="Arial"/>
                <w:sz w:val="20"/>
              </w:rPr>
            </w:pPr>
            <w:r>
              <w:rPr>
                <w:rFonts w:cs="Arial"/>
                <w:sz w:val="20"/>
              </w:rPr>
              <w:t>Coord</w:t>
            </w:r>
            <w:r w:rsidR="002A213B">
              <w:rPr>
                <w:rFonts w:cs="Arial"/>
                <w:sz w:val="20"/>
              </w:rPr>
              <w:t xml:space="preserve">inated approach to assessments and </w:t>
            </w:r>
            <w:r>
              <w:rPr>
                <w:rFonts w:cs="Arial"/>
                <w:sz w:val="20"/>
              </w:rPr>
              <w:t>course policies</w:t>
            </w:r>
          </w:p>
          <w:p w:rsidR="00412AB9" w:rsidRDefault="00412AB9" w:rsidP="00F756C6">
            <w:pPr>
              <w:pStyle w:val="ListParagraph"/>
              <w:numPr>
                <w:ilvl w:val="0"/>
                <w:numId w:val="41"/>
              </w:numPr>
              <w:jc w:val="both"/>
              <w:rPr>
                <w:rFonts w:cs="Arial"/>
                <w:sz w:val="20"/>
              </w:rPr>
            </w:pPr>
            <w:r>
              <w:rPr>
                <w:rFonts w:cs="Arial"/>
                <w:sz w:val="20"/>
              </w:rPr>
              <w:t>Regular and timely progress reports for both attendance and academic achievement</w:t>
            </w:r>
          </w:p>
          <w:p w:rsidR="00412AB9" w:rsidRDefault="002A213B" w:rsidP="00F756C6">
            <w:pPr>
              <w:pStyle w:val="ListParagraph"/>
              <w:numPr>
                <w:ilvl w:val="0"/>
                <w:numId w:val="41"/>
              </w:numPr>
              <w:jc w:val="both"/>
              <w:rPr>
                <w:rFonts w:cs="Arial"/>
                <w:sz w:val="20"/>
              </w:rPr>
            </w:pPr>
            <w:r>
              <w:rPr>
                <w:rFonts w:cs="Arial"/>
                <w:sz w:val="20"/>
              </w:rPr>
              <w:t>Multiple drop-in clinics for Chemistry, Biology, C</w:t>
            </w:r>
            <w:r w:rsidR="00412AB9">
              <w:rPr>
                <w:rFonts w:cs="Arial"/>
                <w:sz w:val="20"/>
              </w:rPr>
              <w:t>ommunication</w:t>
            </w:r>
            <w:r>
              <w:rPr>
                <w:rFonts w:cs="Arial"/>
                <w:sz w:val="20"/>
              </w:rPr>
              <w:t>s and M</w:t>
            </w:r>
            <w:r w:rsidR="00412AB9">
              <w:rPr>
                <w:rFonts w:cs="Arial"/>
                <w:sz w:val="20"/>
              </w:rPr>
              <w:t>athematics</w:t>
            </w:r>
          </w:p>
          <w:p w:rsidR="00412AB9" w:rsidRDefault="00412AB9" w:rsidP="00F756C6">
            <w:pPr>
              <w:pStyle w:val="ListParagraph"/>
              <w:numPr>
                <w:ilvl w:val="0"/>
                <w:numId w:val="41"/>
              </w:numPr>
              <w:jc w:val="both"/>
              <w:rPr>
                <w:rFonts w:cs="Arial"/>
                <w:sz w:val="20"/>
              </w:rPr>
            </w:pPr>
            <w:r>
              <w:rPr>
                <w:rFonts w:cs="Arial"/>
                <w:sz w:val="20"/>
              </w:rPr>
              <w:t xml:space="preserve">Dean-led student focus meetings </w:t>
            </w:r>
          </w:p>
          <w:p w:rsidR="00412AB9" w:rsidRDefault="00412AB9" w:rsidP="00F756C6">
            <w:pPr>
              <w:pStyle w:val="ListParagraph"/>
              <w:numPr>
                <w:ilvl w:val="0"/>
                <w:numId w:val="41"/>
              </w:numPr>
              <w:jc w:val="both"/>
              <w:rPr>
                <w:rFonts w:cs="Arial"/>
                <w:sz w:val="20"/>
              </w:rPr>
            </w:pPr>
            <w:r>
              <w:rPr>
                <w:rFonts w:cs="Arial"/>
                <w:sz w:val="20"/>
              </w:rPr>
              <w:t>Gradual exposure and modeling of web-based learning resources</w:t>
            </w:r>
          </w:p>
          <w:p w:rsidR="00412AB9" w:rsidRPr="00412AB9" w:rsidRDefault="00412AB9" w:rsidP="00F756C6">
            <w:pPr>
              <w:pStyle w:val="ListParagraph"/>
              <w:numPr>
                <w:ilvl w:val="0"/>
                <w:numId w:val="41"/>
              </w:numPr>
              <w:jc w:val="both"/>
              <w:rPr>
                <w:rFonts w:cs="Arial"/>
                <w:sz w:val="20"/>
              </w:rPr>
            </w:pPr>
            <w:r>
              <w:rPr>
                <w:rFonts w:cs="Arial"/>
                <w:sz w:val="20"/>
              </w:rPr>
              <w:t>Consistent expectations of students across core courses from teaching team</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EA4DDF" w:rsidRPr="00356C80" w:rsidRDefault="005D66C4" w:rsidP="00AB5A30">
            <w:pPr>
              <w:tabs>
                <w:tab w:val="left" w:pos="72"/>
              </w:tabs>
              <w:rPr>
                <w:rFonts w:cs="Arial"/>
                <w:b/>
              </w:rPr>
            </w:pPr>
            <w:r>
              <w:rPr>
                <w:rFonts w:cs="Arial"/>
                <w:b/>
              </w:rPr>
              <w:lastRenderedPageBreak/>
              <w:t>7</w:t>
            </w:r>
            <w:r w:rsidR="00EA4DDF" w:rsidRPr="00356C80">
              <w:rPr>
                <w:rFonts w:cs="Arial"/>
                <w:b/>
              </w:rPr>
              <w:t>.0 External Relations</w:t>
            </w:r>
          </w:p>
        </w:tc>
        <w:tc>
          <w:tcPr>
            <w:tcW w:w="6379"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7.1 Alumnae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356C80" w:rsidRDefault="00EA4DDF" w:rsidP="00EA4DDF">
            <w:pPr>
              <w:pStyle w:val="Title"/>
              <w:numPr>
                <w:ilvl w:val="0"/>
                <w:numId w:val="16"/>
              </w:numPr>
              <w:tabs>
                <w:tab w:val="clear" w:pos="720"/>
                <w:tab w:val="num" w:pos="360"/>
              </w:tabs>
              <w:ind w:hanging="720"/>
              <w:jc w:val="left"/>
              <w:rPr>
                <w:rFonts w:ascii="Arial" w:hAnsi="Arial" w:cs="Arial"/>
                <w:sz w:val="20"/>
              </w:rPr>
            </w:pPr>
            <w:r w:rsidRPr="00356C80">
              <w:rPr>
                <w:rFonts w:ascii="Arial" w:hAnsi="Arial" w:cs="Arial"/>
                <w:sz w:val="20"/>
              </w:rPr>
              <w:t>The type and range of alumnae involvement in the program</w:t>
            </w:r>
          </w:p>
          <w:p w:rsidR="00EA4DDF" w:rsidRPr="00356C80" w:rsidRDefault="00EA4DDF" w:rsidP="00EA4DDF">
            <w:pPr>
              <w:pStyle w:val="Title"/>
              <w:numPr>
                <w:ilvl w:val="0"/>
                <w:numId w:val="16"/>
              </w:numPr>
              <w:tabs>
                <w:tab w:val="clear" w:pos="720"/>
                <w:tab w:val="num" w:pos="360"/>
              </w:tabs>
              <w:ind w:hanging="720"/>
              <w:jc w:val="left"/>
              <w:rPr>
                <w:rFonts w:ascii="Arial" w:hAnsi="Arial" w:cs="Arial"/>
                <w:sz w:val="20"/>
              </w:rPr>
            </w:pPr>
            <w:r w:rsidRPr="00356C80">
              <w:rPr>
                <w:rFonts w:ascii="Arial" w:hAnsi="Arial" w:cs="Arial"/>
                <w:sz w:val="20"/>
              </w:rPr>
              <w:t xml:space="preserve">Current and future strategies to engage alumnae in the program </w:t>
            </w:r>
          </w:p>
          <w:p w:rsidR="00EA4DDF" w:rsidRDefault="00EA4DDF" w:rsidP="00AB5A30">
            <w:pPr>
              <w:pStyle w:val="Title"/>
              <w:jc w:val="left"/>
              <w:rPr>
                <w:rFonts w:cs="Arial"/>
                <w:b/>
                <w:sz w:val="20"/>
              </w:rPr>
            </w:pPr>
          </w:p>
          <w:p w:rsidR="00EB4375" w:rsidRPr="00356C80" w:rsidRDefault="00EB4375" w:rsidP="00AB5A30">
            <w:pPr>
              <w:pStyle w:val="Title"/>
              <w:jc w:val="left"/>
              <w:rPr>
                <w:rFonts w:cs="Arial"/>
                <w:b/>
                <w:sz w:val="20"/>
              </w:rPr>
            </w:pPr>
          </w:p>
        </w:tc>
        <w:tc>
          <w:tcPr>
            <w:tcW w:w="6379" w:type="dxa"/>
            <w:gridSpan w:val="2"/>
            <w:shd w:val="clear" w:color="auto" w:fill="auto"/>
            <w:tcMar>
              <w:top w:w="113" w:type="dxa"/>
              <w:bottom w:w="113" w:type="dxa"/>
            </w:tcMar>
          </w:tcPr>
          <w:p w:rsidR="00EA4DDF" w:rsidRPr="005478A3" w:rsidRDefault="005478A3" w:rsidP="00F756C6">
            <w:pPr>
              <w:jc w:val="both"/>
              <w:rPr>
                <w:rFonts w:cs="Arial"/>
                <w:sz w:val="20"/>
              </w:rPr>
            </w:pPr>
            <w:r w:rsidRPr="001E45AF">
              <w:rPr>
                <w:rFonts w:cs="Arial"/>
                <w:sz w:val="20"/>
              </w:rPr>
              <w:t xml:space="preserve">This is an area that has not been pursued to date. It is vital to engage alumni not only as promoters of the program and examples of success but also to provide support and </w:t>
            </w:r>
            <w:r w:rsidR="002A213B">
              <w:rPr>
                <w:rFonts w:cs="Arial"/>
                <w:sz w:val="20"/>
              </w:rPr>
              <w:t>mentorship to current students. (</w:t>
            </w:r>
            <w:r w:rsidR="002A213B" w:rsidRPr="002A213B">
              <w:rPr>
                <w:rFonts w:cs="Arial"/>
                <w:b/>
                <w:sz w:val="20"/>
              </w:rPr>
              <w:t xml:space="preserve">Appendix </w:t>
            </w:r>
            <w:r w:rsidR="00F756C6">
              <w:rPr>
                <w:rFonts w:cs="Arial"/>
                <w:b/>
                <w:sz w:val="20"/>
              </w:rPr>
              <w:t>L</w:t>
            </w:r>
            <w:r w:rsidR="002A213B" w:rsidRPr="002A213B">
              <w:rPr>
                <w:rFonts w:cs="Arial"/>
                <w:b/>
                <w:sz w:val="20"/>
              </w:rPr>
              <w:t>:</w:t>
            </w:r>
            <w:r w:rsidR="002A213B">
              <w:rPr>
                <w:rFonts w:cs="Arial"/>
                <w:sz w:val="20"/>
              </w:rPr>
              <w:t xml:space="preserve"> </w:t>
            </w:r>
            <w:r w:rsidRPr="001E45AF">
              <w:rPr>
                <w:rFonts w:cs="Arial"/>
                <w:b/>
                <w:i/>
                <w:sz w:val="20"/>
              </w:rPr>
              <w:t xml:space="preserve">Success Strategies for GHS Programs Fall 2012 </w:t>
            </w:r>
            <w:r w:rsidRPr="001E45AF">
              <w:rPr>
                <w:rFonts w:cs="Arial"/>
                <w:sz w:val="20"/>
              </w:rPr>
              <w:t>and the Recommendations in the Program Review Action Plan</w:t>
            </w:r>
            <w:r w:rsidR="002A213B">
              <w:rPr>
                <w:rFonts w:cs="Arial"/>
                <w:sz w:val="20"/>
              </w:rPr>
              <w:t>)</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7.2 Community Relations</w:t>
            </w:r>
          </w:p>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17"/>
              </w:numPr>
              <w:tabs>
                <w:tab w:val="clear" w:pos="720"/>
                <w:tab w:val="num" w:pos="360"/>
              </w:tabs>
              <w:ind w:left="360"/>
              <w:rPr>
                <w:rFonts w:cs="Arial"/>
                <w:sz w:val="20"/>
              </w:rPr>
            </w:pPr>
            <w:r w:rsidRPr="00356C80">
              <w:rPr>
                <w:rFonts w:cs="Arial"/>
                <w:sz w:val="20"/>
              </w:rPr>
              <w:t>Significant partnerships, relationships, connections, or offers of support from the community that help to enrich the program and the student experience</w:t>
            </w:r>
          </w:p>
          <w:p w:rsidR="006F46E4" w:rsidRPr="00356C80" w:rsidRDefault="006F46E4" w:rsidP="006F46E4">
            <w:pPr>
              <w:ind w:left="360"/>
              <w:rPr>
                <w:rFonts w:cs="Arial"/>
                <w:sz w:val="20"/>
              </w:rPr>
            </w:pPr>
          </w:p>
          <w:p w:rsidR="00EA4DDF" w:rsidRPr="006F46E4" w:rsidRDefault="00EA4DDF" w:rsidP="00EA4DDF">
            <w:pPr>
              <w:numPr>
                <w:ilvl w:val="0"/>
                <w:numId w:val="17"/>
              </w:numPr>
              <w:tabs>
                <w:tab w:val="clear" w:pos="720"/>
                <w:tab w:val="num" w:pos="360"/>
              </w:tabs>
              <w:ind w:left="360"/>
              <w:rPr>
                <w:rFonts w:cs="Arial"/>
                <w:sz w:val="20"/>
              </w:rPr>
            </w:pPr>
            <w:r w:rsidRPr="00356C80">
              <w:rPr>
                <w:rFonts w:cs="Arial"/>
                <w:sz w:val="20"/>
              </w:rPr>
              <w:t xml:space="preserve">Faculty, staff, and student involvement </w:t>
            </w:r>
            <w:r w:rsidRPr="00356C80">
              <w:rPr>
                <w:rFonts w:cs="Arial"/>
                <w:sz w:val="20"/>
                <w:lang w:val="en-CA" w:eastAsia="en-CA"/>
              </w:rPr>
              <w:t>in volunteer projects and events</w:t>
            </w:r>
          </w:p>
          <w:p w:rsidR="006F46E4" w:rsidRDefault="006F46E4" w:rsidP="006F46E4">
            <w:pPr>
              <w:pStyle w:val="ListParagraph"/>
              <w:rPr>
                <w:rFonts w:cs="Arial"/>
                <w:sz w:val="20"/>
              </w:rPr>
            </w:pPr>
          </w:p>
          <w:p w:rsidR="006F46E4" w:rsidRPr="00356C80" w:rsidRDefault="006F46E4" w:rsidP="006F46E4">
            <w:pPr>
              <w:ind w:left="360"/>
              <w:rPr>
                <w:rFonts w:cs="Arial"/>
                <w:sz w:val="20"/>
              </w:rPr>
            </w:pPr>
          </w:p>
          <w:p w:rsidR="00EA4DDF" w:rsidRPr="006F46E4" w:rsidRDefault="00EA4DDF" w:rsidP="00EA4DDF">
            <w:pPr>
              <w:numPr>
                <w:ilvl w:val="0"/>
                <w:numId w:val="17"/>
              </w:numPr>
              <w:tabs>
                <w:tab w:val="clear" w:pos="720"/>
                <w:tab w:val="num" w:pos="360"/>
              </w:tabs>
              <w:ind w:left="360"/>
              <w:rPr>
                <w:rFonts w:cs="Arial"/>
                <w:sz w:val="20"/>
              </w:rPr>
            </w:pPr>
            <w:r w:rsidRPr="00356C80">
              <w:rPr>
                <w:rFonts w:cs="Arial"/>
                <w:sz w:val="20"/>
                <w:lang w:val="en-CA" w:eastAsia="en-CA"/>
              </w:rPr>
              <w:lastRenderedPageBreak/>
              <w:t xml:space="preserve">Contributions to the not for profit sector such as committee or board service by program-associated faculty and staff </w:t>
            </w:r>
          </w:p>
          <w:p w:rsidR="006F46E4" w:rsidRPr="00356C80" w:rsidRDefault="006F46E4" w:rsidP="006F46E4">
            <w:pPr>
              <w:ind w:left="360"/>
              <w:rPr>
                <w:rFonts w:cs="Arial"/>
                <w:sz w:val="20"/>
              </w:rPr>
            </w:pPr>
          </w:p>
          <w:p w:rsidR="00EA4DDF" w:rsidRPr="00356C80" w:rsidRDefault="00EA4DDF" w:rsidP="005D66C4">
            <w:pPr>
              <w:numPr>
                <w:ilvl w:val="0"/>
                <w:numId w:val="17"/>
              </w:numPr>
              <w:tabs>
                <w:tab w:val="clear" w:pos="720"/>
                <w:tab w:val="num" w:pos="360"/>
              </w:tabs>
              <w:ind w:left="360"/>
              <w:rPr>
                <w:rFonts w:cs="Arial"/>
                <w:b/>
                <w:sz w:val="20"/>
              </w:rPr>
            </w:pPr>
            <w:r w:rsidRPr="00356C80">
              <w:rPr>
                <w:rFonts w:cs="Arial"/>
                <w:sz w:val="20"/>
              </w:rPr>
              <w:t xml:space="preserve">Community recognition in the form of student bursaries, awards and scholarships </w:t>
            </w:r>
          </w:p>
        </w:tc>
        <w:tc>
          <w:tcPr>
            <w:tcW w:w="6379" w:type="dxa"/>
            <w:gridSpan w:val="2"/>
            <w:shd w:val="clear" w:color="auto" w:fill="auto"/>
            <w:tcMar>
              <w:top w:w="113" w:type="dxa"/>
              <w:bottom w:w="113" w:type="dxa"/>
            </w:tcMar>
          </w:tcPr>
          <w:p w:rsidR="00EA4DDF" w:rsidRPr="00356C80" w:rsidRDefault="005478A3" w:rsidP="00AB5A30">
            <w:pPr>
              <w:rPr>
                <w:rFonts w:cs="Arial"/>
                <w:b/>
                <w:sz w:val="28"/>
                <w:szCs w:val="28"/>
              </w:rPr>
            </w:pPr>
            <w:r w:rsidRPr="001E45AF">
              <w:rPr>
                <w:rFonts w:cs="Arial"/>
                <w:sz w:val="20"/>
              </w:rPr>
              <w:lastRenderedPageBreak/>
              <w:t>To date, the PAC is the primary partner offering support.</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7.3 Program Advisory Committee</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24"/>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distribution of Committee membership by constituency, sector, and / or region</w:t>
            </w:r>
          </w:p>
          <w:p w:rsidR="006F46E4" w:rsidRPr="00356C80" w:rsidRDefault="006F46E4" w:rsidP="006F46E4">
            <w:pPr>
              <w:autoSpaceDE w:val="0"/>
              <w:autoSpaceDN w:val="0"/>
              <w:adjustRightInd w:val="0"/>
              <w:ind w:left="360"/>
              <w:rPr>
                <w:rFonts w:cs="Arial"/>
                <w:sz w:val="20"/>
                <w:lang w:val="en-CA" w:eastAsia="en-CA"/>
              </w:rPr>
            </w:pPr>
          </w:p>
          <w:p w:rsidR="00EA4DDF" w:rsidRPr="00356C80" w:rsidRDefault="00EA4DDF" w:rsidP="00EA4DDF">
            <w:pPr>
              <w:numPr>
                <w:ilvl w:val="0"/>
                <w:numId w:val="24"/>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vitality of the Committee such as the frequency of meetings, and members’ level of participation, engagement, and turnover</w:t>
            </w:r>
          </w:p>
          <w:p w:rsidR="00EA4DDF" w:rsidRPr="00356C80" w:rsidRDefault="00EA4DDF" w:rsidP="00EA4DDF">
            <w:pPr>
              <w:numPr>
                <w:ilvl w:val="0"/>
                <w:numId w:val="24"/>
              </w:numPr>
              <w:tabs>
                <w:tab w:val="clear" w:pos="720"/>
                <w:tab w:val="num" w:pos="360"/>
              </w:tabs>
              <w:autoSpaceDE w:val="0"/>
              <w:autoSpaceDN w:val="0"/>
              <w:adjustRightInd w:val="0"/>
              <w:ind w:left="360"/>
              <w:rPr>
                <w:rFonts w:ascii="Tahoma" w:hAnsi="Tahoma" w:cs="Tahoma"/>
                <w:sz w:val="20"/>
                <w:lang w:val="en-CA" w:eastAsia="en-CA"/>
              </w:rPr>
            </w:pPr>
            <w:r w:rsidRPr="00356C80">
              <w:rPr>
                <w:rFonts w:cs="Arial"/>
                <w:sz w:val="20"/>
                <w:lang w:val="en-CA" w:eastAsia="en-CA"/>
              </w:rPr>
              <w:t>The extent to which Committee operations are aligned with the Fleming College Advisory Committee Orientation Manual and Advisory Committee policy.</w:t>
            </w:r>
          </w:p>
          <w:p w:rsidR="005D66C4" w:rsidRDefault="005D66C4" w:rsidP="00AB5A30">
            <w:pPr>
              <w:pStyle w:val="Title"/>
              <w:jc w:val="left"/>
              <w:rPr>
                <w:rFonts w:ascii="Tahoma" w:hAnsi="Tahoma" w:cs="Tahoma"/>
                <w:lang w:val="en-CA" w:eastAsia="en-CA"/>
              </w:rPr>
            </w:pPr>
          </w:p>
          <w:p w:rsidR="00EA4DDF" w:rsidRPr="00356C80" w:rsidRDefault="00EA4DDF" w:rsidP="00AB5A30">
            <w:pPr>
              <w:pStyle w:val="Title"/>
              <w:jc w:val="left"/>
              <w:rPr>
                <w:rFonts w:ascii="Arial" w:hAnsi="Arial" w:cs="Arial"/>
                <w:b/>
                <w:sz w:val="20"/>
              </w:rPr>
            </w:pPr>
            <w:r w:rsidRPr="00356C80">
              <w:rPr>
                <w:rFonts w:ascii="Tahoma" w:hAnsi="Tahoma" w:cs="Tahoma"/>
                <w:lang w:val="en-CA" w:eastAsia="en-CA"/>
              </w:rPr>
              <w:t xml:space="preserve"> </w:t>
            </w:r>
          </w:p>
        </w:tc>
        <w:tc>
          <w:tcPr>
            <w:tcW w:w="6379" w:type="dxa"/>
            <w:gridSpan w:val="2"/>
            <w:shd w:val="clear" w:color="auto" w:fill="auto"/>
            <w:tcMar>
              <w:top w:w="113" w:type="dxa"/>
              <w:bottom w:w="113" w:type="dxa"/>
            </w:tcMar>
          </w:tcPr>
          <w:p w:rsidR="00EA4DDF" w:rsidRDefault="00CB7108" w:rsidP="00F756C6">
            <w:pPr>
              <w:jc w:val="both"/>
              <w:rPr>
                <w:rFonts w:cs="Arial"/>
                <w:sz w:val="20"/>
              </w:rPr>
            </w:pPr>
            <w:r>
              <w:rPr>
                <w:rFonts w:cs="Arial"/>
                <w:sz w:val="20"/>
              </w:rPr>
              <w:t>There are regularly scheduled PAC meetings to discuss the GAS suite of programs.  We have had excellent participation, engagement</w:t>
            </w:r>
            <w:r w:rsidR="002A213B">
              <w:rPr>
                <w:rFonts w:cs="Arial"/>
                <w:sz w:val="20"/>
              </w:rPr>
              <w:t xml:space="preserve"> and support from its members. </w:t>
            </w:r>
            <w:r>
              <w:rPr>
                <w:rFonts w:cs="Arial"/>
                <w:sz w:val="20"/>
              </w:rPr>
              <w:t>All meetings are conducted following Fleming College’s guidelines.</w:t>
            </w:r>
          </w:p>
          <w:p w:rsidR="00CB7108" w:rsidRDefault="00CB7108" w:rsidP="00F756C6">
            <w:pPr>
              <w:jc w:val="both"/>
              <w:rPr>
                <w:rFonts w:cs="Arial"/>
                <w:sz w:val="20"/>
              </w:rPr>
            </w:pPr>
          </w:p>
          <w:p w:rsidR="00CB7108" w:rsidRDefault="00CB7108" w:rsidP="00F756C6">
            <w:pPr>
              <w:jc w:val="both"/>
              <w:rPr>
                <w:rFonts w:cs="Arial"/>
                <w:sz w:val="20"/>
              </w:rPr>
            </w:pPr>
            <w:r>
              <w:rPr>
                <w:rFonts w:cs="Arial"/>
                <w:sz w:val="20"/>
              </w:rPr>
              <w:t>There are representatives from the Kawartha Pine Ridge District School Board, Durham District School Board, Victoria, Northumberland and Clarington Catholic School Board, Trent University, Ministry of Community and Social Servi</w:t>
            </w:r>
            <w:r w:rsidR="002A213B">
              <w:rPr>
                <w:rFonts w:cs="Arial"/>
                <w:sz w:val="20"/>
              </w:rPr>
              <w:t xml:space="preserve">ces and local business owners. </w:t>
            </w:r>
            <w:r>
              <w:rPr>
                <w:rFonts w:cs="Arial"/>
                <w:sz w:val="20"/>
              </w:rPr>
              <w:t>In total, there are 8 PAC members who have served on the committee over the last 2 years.</w:t>
            </w:r>
          </w:p>
          <w:p w:rsidR="00CB7108" w:rsidRDefault="00CB7108" w:rsidP="00F756C6">
            <w:pPr>
              <w:jc w:val="both"/>
              <w:rPr>
                <w:rFonts w:cs="Arial"/>
                <w:sz w:val="20"/>
              </w:rPr>
            </w:pPr>
          </w:p>
          <w:p w:rsidR="00CB7108" w:rsidRDefault="00CB7108" w:rsidP="00F756C6">
            <w:pPr>
              <w:jc w:val="both"/>
              <w:rPr>
                <w:rFonts w:cs="Arial"/>
                <w:sz w:val="20"/>
              </w:rPr>
            </w:pPr>
            <w:r>
              <w:rPr>
                <w:rFonts w:cs="Arial"/>
                <w:sz w:val="20"/>
              </w:rPr>
              <w:t>The PAC has agreed to meet once a semester.</w:t>
            </w:r>
          </w:p>
          <w:p w:rsidR="00CB7108" w:rsidRDefault="00CB7108" w:rsidP="00F756C6">
            <w:pPr>
              <w:jc w:val="both"/>
              <w:rPr>
                <w:rFonts w:cs="Arial"/>
                <w:sz w:val="20"/>
              </w:rPr>
            </w:pPr>
          </w:p>
          <w:p w:rsidR="00CB7108" w:rsidRDefault="00CB7108" w:rsidP="00F756C6">
            <w:pPr>
              <w:jc w:val="both"/>
              <w:rPr>
                <w:rFonts w:cs="Arial"/>
                <w:sz w:val="20"/>
              </w:rPr>
            </w:pPr>
            <w:r>
              <w:rPr>
                <w:rFonts w:cs="Arial"/>
                <w:sz w:val="20"/>
              </w:rPr>
              <w:t>All members of the PAC have received the Orientation manual and the College’s policy on membership to an advisory committee.</w:t>
            </w:r>
          </w:p>
          <w:p w:rsidR="002A213B" w:rsidRDefault="002A213B" w:rsidP="00F756C6">
            <w:pPr>
              <w:jc w:val="both"/>
              <w:rPr>
                <w:rFonts w:cs="Arial"/>
                <w:sz w:val="20"/>
                <w:highlight w:val="yellow"/>
              </w:rPr>
            </w:pPr>
          </w:p>
          <w:p w:rsidR="00CB7108" w:rsidRPr="002A213B" w:rsidRDefault="002A213B" w:rsidP="00F756C6">
            <w:pPr>
              <w:jc w:val="both"/>
              <w:rPr>
                <w:rFonts w:cs="Arial"/>
                <w:b/>
                <w:sz w:val="20"/>
              </w:rPr>
            </w:pPr>
            <w:r w:rsidRPr="002A213B">
              <w:rPr>
                <w:rFonts w:cs="Arial"/>
                <w:b/>
                <w:sz w:val="20"/>
              </w:rPr>
              <w:t xml:space="preserve">See Appendix </w:t>
            </w:r>
            <w:r w:rsidR="002F1CD6">
              <w:rPr>
                <w:rFonts w:cs="Arial"/>
                <w:b/>
                <w:sz w:val="20"/>
              </w:rPr>
              <w:t>N</w:t>
            </w:r>
            <w:r w:rsidRPr="002A213B">
              <w:rPr>
                <w:rFonts w:cs="Arial"/>
                <w:b/>
                <w:sz w:val="20"/>
              </w:rPr>
              <w:t>: GAS PAC Meeting Minutes</w:t>
            </w:r>
          </w:p>
          <w:p w:rsidR="00CB7108" w:rsidRPr="00CB7108" w:rsidRDefault="00CB7108" w:rsidP="00CB7108">
            <w:pPr>
              <w:rPr>
                <w:rFonts w:cs="Arial"/>
                <w:sz w:val="20"/>
              </w:rPr>
            </w:pP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t xml:space="preserve">8.0 Program Resources </w:t>
            </w:r>
          </w:p>
        </w:tc>
        <w:tc>
          <w:tcPr>
            <w:tcW w:w="6379"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EA4DDF" w:rsidRPr="00356C80" w:rsidRDefault="00EA4DDF" w:rsidP="00AB5A30">
            <w:pPr>
              <w:pStyle w:val="Title"/>
              <w:ind w:left="360" w:hanging="360"/>
              <w:jc w:val="left"/>
              <w:rPr>
                <w:rFonts w:ascii="Arial" w:hAnsi="Arial" w:cs="Arial"/>
                <w:b/>
                <w:sz w:val="20"/>
              </w:rPr>
            </w:pPr>
            <w:r w:rsidRPr="00356C80">
              <w:rPr>
                <w:rFonts w:ascii="Arial" w:hAnsi="Arial" w:cs="Arial"/>
                <w:b/>
                <w:sz w:val="20"/>
              </w:rPr>
              <w:t xml:space="preserve">8.1 Human Resources </w:t>
            </w:r>
          </w:p>
          <w:p w:rsidR="00EA4DDF" w:rsidRPr="00356C80" w:rsidRDefault="00EA4DDF" w:rsidP="00AB5A30">
            <w:pPr>
              <w:pStyle w:val="Title"/>
              <w:ind w:left="360" w:hanging="360"/>
              <w:jc w:val="left"/>
              <w:rPr>
                <w:rFonts w:ascii="Arial" w:hAnsi="Arial" w:cs="Arial"/>
                <w:b/>
                <w:sz w:val="20"/>
              </w:rPr>
            </w:pPr>
          </w:p>
          <w:p w:rsidR="00EA4DDF" w:rsidRPr="00356C80" w:rsidRDefault="00EA4DDF" w:rsidP="00AB5A30">
            <w:pPr>
              <w:pStyle w:val="Title"/>
              <w:ind w:left="360" w:hanging="360"/>
              <w:jc w:val="left"/>
              <w:rPr>
                <w:rFonts w:ascii="Arial" w:hAnsi="Arial" w:cs="Arial"/>
                <w:b/>
                <w:bCs/>
                <w:sz w:val="20"/>
              </w:rPr>
            </w:pPr>
            <w:r w:rsidRPr="00356C80">
              <w:rPr>
                <w:rFonts w:ascii="Arial" w:hAnsi="Arial" w:cs="Arial"/>
                <w:b/>
                <w:bCs/>
                <w:sz w:val="20"/>
              </w:rPr>
              <w:t>Review / discuss:</w:t>
            </w:r>
          </w:p>
          <w:p w:rsidR="00EA4DDF" w:rsidRPr="00356C80" w:rsidRDefault="00EA4DDF" w:rsidP="00AB5A30">
            <w:pPr>
              <w:pStyle w:val="Title"/>
              <w:ind w:left="360" w:hanging="360"/>
              <w:jc w:val="left"/>
              <w:rPr>
                <w:rFonts w:ascii="Arial" w:hAnsi="Arial" w:cs="Arial"/>
                <w:b/>
                <w:bCs/>
                <w:sz w:val="20"/>
              </w:rPr>
            </w:pPr>
          </w:p>
          <w:p w:rsidR="00EA4DDF" w:rsidRDefault="00EA4DDF" w:rsidP="00EA4DDF">
            <w:pPr>
              <w:pStyle w:val="Title"/>
              <w:numPr>
                <w:ilvl w:val="0"/>
                <w:numId w:val="18"/>
              </w:numPr>
              <w:tabs>
                <w:tab w:val="clear" w:pos="800"/>
              </w:tabs>
              <w:ind w:left="360"/>
              <w:jc w:val="left"/>
              <w:rPr>
                <w:rFonts w:ascii="Arial" w:hAnsi="Arial" w:cs="Arial"/>
                <w:sz w:val="20"/>
              </w:rPr>
            </w:pPr>
            <w:r w:rsidRPr="00356C80">
              <w:rPr>
                <w:rFonts w:ascii="Arial" w:hAnsi="Arial" w:cs="Arial"/>
                <w:sz w:val="20"/>
              </w:rPr>
              <w:t>The number and distribution of all faculty, technicians, and technologists associated with the program including full-time, part-time, sessional, and cross-appointments</w:t>
            </w:r>
          </w:p>
          <w:p w:rsidR="006F46E4" w:rsidRPr="00356C80" w:rsidRDefault="006F46E4" w:rsidP="006F46E4">
            <w:pPr>
              <w:pStyle w:val="Title"/>
              <w:ind w:left="360"/>
              <w:jc w:val="left"/>
              <w:rPr>
                <w:rFonts w:ascii="Arial" w:hAnsi="Arial" w:cs="Arial"/>
                <w:sz w:val="20"/>
              </w:rPr>
            </w:pPr>
          </w:p>
          <w:p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lastRenderedPageBreak/>
              <w:t xml:space="preserve">Profile of the Dean, faculty, and staff associated with the program including cumulative credentials, scholarship, work-related and teaching experience, and expertise in education </w:t>
            </w:r>
          </w:p>
          <w:p w:rsidR="006F46E4" w:rsidRDefault="006F46E4" w:rsidP="006F46E4">
            <w:pPr>
              <w:pStyle w:val="ListParagraph"/>
              <w:rPr>
                <w:rFonts w:cs="Arial"/>
                <w:sz w:val="20"/>
              </w:rPr>
            </w:pPr>
          </w:p>
          <w:p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Significant faculty or staff accomplishments such as professional recognition and awards, achievement of credentials, and appointments</w:t>
            </w:r>
          </w:p>
          <w:p w:rsidR="006F46E4" w:rsidRPr="00356C80" w:rsidRDefault="006F46E4" w:rsidP="006F46E4">
            <w:pPr>
              <w:pStyle w:val="Title"/>
              <w:jc w:val="left"/>
              <w:rPr>
                <w:rFonts w:ascii="Arial" w:hAnsi="Arial" w:cs="Arial"/>
                <w:sz w:val="20"/>
              </w:rPr>
            </w:pPr>
          </w:p>
          <w:p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Contributions to the professional community or industry by program-associated faculty and staff including board / committee service, research, and presentations / publications</w:t>
            </w:r>
          </w:p>
          <w:p w:rsidR="006F46E4" w:rsidRDefault="006F46E4" w:rsidP="006F46E4">
            <w:pPr>
              <w:pStyle w:val="ListParagraph"/>
              <w:rPr>
                <w:rFonts w:cs="Arial"/>
                <w:sz w:val="20"/>
              </w:rPr>
            </w:pPr>
          </w:p>
          <w:p w:rsidR="00EA4DDF" w:rsidRPr="006F46E4" w:rsidRDefault="00EA4DDF" w:rsidP="00AB5A30">
            <w:pPr>
              <w:pStyle w:val="Title"/>
              <w:numPr>
                <w:ilvl w:val="0"/>
                <w:numId w:val="18"/>
              </w:numPr>
              <w:tabs>
                <w:tab w:val="clear" w:pos="800"/>
                <w:tab w:val="num" w:pos="360"/>
              </w:tabs>
              <w:ind w:left="360"/>
              <w:jc w:val="left"/>
              <w:rPr>
                <w:rFonts w:ascii="Arial" w:hAnsi="Arial" w:cs="Arial"/>
                <w:sz w:val="20"/>
              </w:rPr>
            </w:pPr>
            <w:r w:rsidRPr="006F46E4">
              <w:rPr>
                <w:rFonts w:ascii="Arial" w:hAnsi="Arial" w:cs="Arial"/>
                <w:sz w:val="20"/>
              </w:rPr>
              <w:t xml:space="preserve">Current staffing levels for the program in relation to program </w:t>
            </w:r>
          </w:p>
          <w:p w:rsidR="00EA4DDF" w:rsidRDefault="00EA4DDF" w:rsidP="00AB5A30">
            <w:pPr>
              <w:pStyle w:val="Title"/>
              <w:ind w:left="357" w:hanging="73"/>
              <w:jc w:val="left"/>
              <w:rPr>
                <w:rFonts w:ascii="Arial" w:hAnsi="Arial" w:cs="Arial"/>
                <w:sz w:val="20"/>
              </w:rPr>
            </w:pPr>
            <w:r w:rsidRPr="00356C80">
              <w:rPr>
                <w:rFonts w:ascii="Arial" w:hAnsi="Arial" w:cs="Arial"/>
                <w:sz w:val="20"/>
              </w:rPr>
              <w:t xml:space="preserve"> numbers, curriculum, delivery modes and areas of specialization / generalization</w:t>
            </w:r>
          </w:p>
          <w:p w:rsidR="006F46E4" w:rsidRPr="00356C80" w:rsidRDefault="006F46E4" w:rsidP="006F46E4">
            <w:pPr>
              <w:pStyle w:val="Title"/>
              <w:jc w:val="left"/>
              <w:rPr>
                <w:rFonts w:ascii="Arial" w:hAnsi="Arial" w:cs="Arial"/>
                <w:sz w:val="20"/>
              </w:rPr>
            </w:pPr>
          </w:p>
          <w:p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Hiring priorities over the next few years based on the above</w:t>
            </w:r>
          </w:p>
          <w:p w:rsidR="006F46E4" w:rsidRPr="00356C80" w:rsidRDefault="006F46E4" w:rsidP="006F46E4">
            <w:pPr>
              <w:pStyle w:val="Title"/>
              <w:ind w:left="360"/>
              <w:jc w:val="left"/>
              <w:rPr>
                <w:rFonts w:ascii="Arial" w:hAnsi="Arial" w:cs="Arial"/>
                <w:sz w:val="20"/>
              </w:rPr>
            </w:pPr>
          </w:p>
          <w:p w:rsidR="00EA4DDF" w:rsidRPr="00356C80" w:rsidRDefault="00EA4DDF" w:rsidP="00EA4DDF">
            <w:pPr>
              <w:pStyle w:val="Title"/>
              <w:numPr>
                <w:ilvl w:val="0"/>
                <w:numId w:val="18"/>
              </w:numPr>
              <w:tabs>
                <w:tab w:val="clear" w:pos="800"/>
                <w:tab w:val="num" w:pos="360"/>
              </w:tabs>
              <w:ind w:left="360"/>
              <w:jc w:val="left"/>
              <w:rPr>
                <w:rFonts w:ascii="Arial" w:hAnsi="Arial" w:cs="Arial"/>
                <w:b/>
                <w:sz w:val="20"/>
              </w:rPr>
            </w:pPr>
            <w:r w:rsidRPr="00356C80">
              <w:rPr>
                <w:rFonts w:ascii="Arial" w:hAnsi="Arial" w:cs="Arial"/>
                <w:sz w:val="20"/>
              </w:rPr>
              <w:t xml:space="preserve">Current professional development and renewal plans in relation to program or student needs </w:t>
            </w:r>
          </w:p>
          <w:p w:rsidR="00EA4DDF" w:rsidRPr="00356C80" w:rsidRDefault="00EA4DDF" w:rsidP="00AB5A30">
            <w:pPr>
              <w:tabs>
                <w:tab w:val="left" w:pos="0"/>
              </w:tabs>
              <w:ind w:left="360" w:hanging="360"/>
              <w:rPr>
                <w:rFonts w:cs="Arial"/>
                <w:b/>
                <w:sz w:val="20"/>
              </w:rPr>
            </w:pPr>
          </w:p>
        </w:tc>
        <w:tc>
          <w:tcPr>
            <w:tcW w:w="6379" w:type="dxa"/>
            <w:gridSpan w:val="2"/>
            <w:shd w:val="clear" w:color="auto" w:fill="auto"/>
            <w:tcMar>
              <w:top w:w="113" w:type="dxa"/>
              <w:bottom w:w="113" w:type="dxa"/>
            </w:tcMar>
          </w:tcPr>
          <w:p w:rsidR="00EA4DDF" w:rsidRDefault="001E7D67" w:rsidP="00F756C6">
            <w:pPr>
              <w:jc w:val="both"/>
              <w:rPr>
                <w:rFonts w:cs="Arial"/>
                <w:sz w:val="20"/>
              </w:rPr>
            </w:pPr>
            <w:r>
              <w:rPr>
                <w:rFonts w:cs="Arial"/>
                <w:sz w:val="20"/>
              </w:rPr>
              <w:lastRenderedPageBreak/>
              <w:t>The GHS faculty is made up of 5</w:t>
            </w:r>
            <w:r w:rsidR="002F2047">
              <w:rPr>
                <w:rFonts w:cs="Arial"/>
                <w:sz w:val="20"/>
              </w:rPr>
              <w:t xml:space="preserve"> full-time faculty. </w:t>
            </w:r>
            <w:r w:rsidR="0022109F">
              <w:rPr>
                <w:rFonts w:cs="Arial"/>
                <w:sz w:val="20"/>
              </w:rPr>
              <w:t xml:space="preserve">In certain </w:t>
            </w:r>
            <w:r w:rsidR="002F2047">
              <w:rPr>
                <w:rFonts w:cs="Arial"/>
                <w:sz w:val="20"/>
              </w:rPr>
              <w:t xml:space="preserve">semesters, </w:t>
            </w:r>
            <w:r>
              <w:rPr>
                <w:rFonts w:cs="Arial"/>
                <w:sz w:val="20"/>
              </w:rPr>
              <w:t>depending on enrollment</w:t>
            </w:r>
            <w:r w:rsidRPr="001E7D67">
              <w:rPr>
                <w:rFonts w:cs="Arial"/>
                <w:sz w:val="20"/>
              </w:rPr>
              <w:t>, there may be 1 or 2 contract faculty who teach a specific core course.</w:t>
            </w:r>
            <w:r w:rsidR="002F2047">
              <w:rPr>
                <w:rFonts w:cs="Arial"/>
                <w:sz w:val="20"/>
              </w:rPr>
              <w:t xml:space="preserve"> </w:t>
            </w:r>
            <w:r>
              <w:rPr>
                <w:rFonts w:cs="Arial"/>
                <w:sz w:val="20"/>
              </w:rPr>
              <w:t xml:space="preserve">There is also a technologist who is </w:t>
            </w:r>
            <w:r w:rsidR="002F2047">
              <w:rPr>
                <w:rFonts w:cs="Arial"/>
                <w:sz w:val="20"/>
              </w:rPr>
              <w:t>cross appointed</w:t>
            </w:r>
            <w:r>
              <w:rPr>
                <w:rFonts w:cs="Arial"/>
                <w:sz w:val="20"/>
              </w:rPr>
              <w:t xml:space="preserve"> across several schools in the college who assists with the preparation of the chemistry lab.</w:t>
            </w:r>
          </w:p>
          <w:p w:rsidR="001E7D67" w:rsidRDefault="001E7D67" w:rsidP="00F756C6">
            <w:pPr>
              <w:jc w:val="both"/>
              <w:rPr>
                <w:rFonts w:cs="Arial"/>
                <w:sz w:val="20"/>
              </w:rPr>
            </w:pPr>
          </w:p>
          <w:p w:rsidR="001E7D67" w:rsidRDefault="001E7D67" w:rsidP="00F756C6">
            <w:pPr>
              <w:jc w:val="both"/>
              <w:rPr>
                <w:rFonts w:cs="Arial"/>
                <w:sz w:val="20"/>
              </w:rPr>
            </w:pPr>
            <w:r>
              <w:rPr>
                <w:rFonts w:cs="Arial"/>
                <w:sz w:val="20"/>
              </w:rPr>
              <w:t>Currently, there are no sessional or cross-appoint</w:t>
            </w:r>
            <w:r w:rsidR="002F2047">
              <w:rPr>
                <w:rFonts w:cs="Arial"/>
                <w:sz w:val="20"/>
              </w:rPr>
              <w:t xml:space="preserve">ed faculty in the GHS program. </w:t>
            </w:r>
            <w:r>
              <w:rPr>
                <w:rFonts w:cs="Arial"/>
                <w:sz w:val="20"/>
              </w:rPr>
              <w:t xml:space="preserve">All faculty who teach in the GHS program meet the </w:t>
            </w:r>
            <w:r>
              <w:rPr>
                <w:rFonts w:cs="Arial"/>
                <w:sz w:val="20"/>
              </w:rPr>
              <w:lastRenderedPageBreak/>
              <w:t>requirements for teaching within their discipline.</w:t>
            </w:r>
          </w:p>
          <w:p w:rsidR="001E7D67" w:rsidRDefault="001E7D67" w:rsidP="00F756C6">
            <w:pPr>
              <w:jc w:val="both"/>
              <w:rPr>
                <w:rFonts w:cs="Arial"/>
                <w:sz w:val="20"/>
              </w:rPr>
            </w:pPr>
          </w:p>
          <w:p w:rsidR="001E7D67" w:rsidRDefault="00963735" w:rsidP="00F756C6">
            <w:pPr>
              <w:jc w:val="both"/>
              <w:rPr>
                <w:rFonts w:cs="Arial"/>
                <w:sz w:val="20"/>
              </w:rPr>
            </w:pPr>
            <w:r>
              <w:rPr>
                <w:rFonts w:cs="Arial"/>
                <w:sz w:val="20"/>
              </w:rPr>
              <w:t xml:space="preserve">In an effort to produce consistency in expectations/standards and to allow for a more integrated approach to the curriculum, </w:t>
            </w:r>
            <w:r w:rsidR="00116397">
              <w:rPr>
                <w:rFonts w:cs="Arial"/>
                <w:sz w:val="20"/>
              </w:rPr>
              <w:t>the program is staffed pri</w:t>
            </w:r>
            <w:r w:rsidR="002F2047">
              <w:rPr>
                <w:rFonts w:cs="Arial"/>
                <w:sz w:val="20"/>
              </w:rPr>
              <w:t xml:space="preserve">marily with full-time faculty. </w:t>
            </w:r>
            <w:r w:rsidR="00116397">
              <w:rPr>
                <w:rFonts w:cs="Arial"/>
                <w:sz w:val="20"/>
              </w:rPr>
              <w:t xml:space="preserve">The full-time complement has taught together in the program over the last year and </w:t>
            </w:r>
            <w:r w:rsidR="002F2047">
              <w:rPr>
                <w:rFonts w:cs="Arial"/>
                <w:sz w:val="20"/>
              </w:rPr>
              <w:t xml:space="preserve">a </w:t>
            </w:r>
            <w:r w:rsidR="00116397">
              <w:rPr>
                <w:rFonts w:cs="Arial"/>
                <w:sz w:val="20"/>
              </w:rPr>
              <w:t>half and has worked collaboratively on the curriculum review and renewal t</w:t>
            </w:r>
            <w:r w:rsidR="002F2047">
              <w:rPr>
                <w:rFonts w:cs="Arial"/>
                <w:sz w:val="20"/>
              </w:rPr>
              <w:t xml:space="preserve">his past spring/summer period. </w:t>
            </w:r>
            <w:r w:rsidR="00116397">
              <w:rPr>
                <w:rFonts w:cs="Arial"/>
                <w:sz w:val="20"/>
              </w:rPr>
              <w:t>The team meets regularly to discuss student issues/challenges and review assessments and the coordination of learning topics. A full-time Chemistry/Math faculty member was hired in August 2012 and a full-time Communications faculty member was hired in November 2012.  Is it not anticipated that other full-time faculty will be hired specifically for the GHS program.</w:t>
            </w:r>
          </w:p>
          <w:p w:rsidR="00116397" w:rsidRDefault="00116397" w:rsidP="00F756C6">
            <w:pPr>
              <w:jc w:val="both"/>
              <w:rPr>
                <w:rFonts w:cs="Arial"/>
                <w:sz w:val="20"/>
              </w:rPr>
            </w:pPr>
          </w:p>
          <w:p w:rsidR="00116397" w:rsidRPr="001E7D67" w:rsidRDefault="00116397" w:rsidP="00F756C6">
            <w:pPr>
              <w:jc w:val="both"/>
              <w:rPr>
                <w:rFonts w:cs="Arial"/>
                <w:sz w:val="20"/>
              </w:rPr>
            </w:pPr>
            <w:r>
              <w:rPr>
                <w:rFonts w:cs="Arial"/>
                <w:sz w:val="20"/>
              </w:rPr>
              <w:t>Faculty are currently engaged in a college-wide initiative to review the use o</w:t>
            </w:r>
            <w:r w:rsidR="002F2047">
              <w:rPr>
                <w:rFonts w:cs="Arial"/>
                <w:sz w:val="20"/>
              </w:rPr>
              <w:t xml:space="preserve">f technology in their courses. </w:t>
            </w:r>
            <w:r>
              <w:rPr>
                <w:rFonts w:cs="Arial"/>
                <w:sz w:val="20"/>
              </w:rPr>
              <w:t xml:space="preserve">Professional development over the next academic year will focus </w:t>
            </w:r>
            <w:r w:rsidR="002F2047">
              <w:rPr>
                <w:rFonts w:cs="Arial"/>
                <w:sz w:val="20"/>
              </w:rPr>
              <w:t xml:space="preserve">on </w:t>
            </w:r>
            <w:r>
              <w:rPr>
                <w:rFonts w:cs="Arial"/>
                <w:sz w:val="20"/>
              </w:rPr>
              <w:t>how to incorporate e-based learning effectively and will also concentrate on assisting faculty for this shift in te</w:t>
            </w:r>
            <w:r w:rsidR="002F2047">
              <w:rPr>
                <w:rFonts w:cs="Arial"/>
                <w:sz w:val="20"/>
              </w:rPr>
              <w:t xml:space="preserve">aching/learning. </w:t>
            </w:r>
            <w:r>
              <w:rPr>
                <w:rFonts w:cs="Arial"/>
                <w:sz w:val="20"/>
              </w:rPr>
              <w:t>In the spring of 2013, faculty will review how the new curriculum has worked and will make adjustments (where appropriate and necessary) to the core courses.</w:t>
            </w:r>
          </w:p>
          <w:p w:rsidR="001E7D67" w:rsidRPr="001E7D67" w:rsidRDefault="001E7D67" w:rsidP="002B3973">
            <w:pPr>
              <w:ind w:left="360" w:hanging="360"/>
              <w:rPr>
                <w:rFonts w:cs="Arial"/>
                <w:sz w:val="20"/>
              </w:rPr>
            </w:pP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EA4DDF" w:rsidRPr="00356C80" w:rsidRDefault="00EA4DDF" w:rsidP="00AB5A30">
            <w:pPr>
              <w:ind w:left="360" w:hanging="360"/>
              <w:rPr>
                <w:rFonts w:cs="Arial"/>
                <w:b/>
                <w:sz w:val="20"/>
              </w:rPr>
            </w:pPr>
            <w:r w:rsidRPr="00356C80">
              <w:rPr>
                <w:rFonts w:cs="Arial"/>
                <w:b/>
                <w:sz w:val="20"/>
              </w:rPr>
              <w:lastRenderedPageBreak/>
              <w:t>8.2 Physical Resources</w:t>
            </w:r>
          </w:p>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bCs/>
                <w:sz w:val="20"/>
              </w:rPr>
            </w:pPr>
            <w:r w:rsidRPr="00356C80">
              <w:rPr>
                <w:rFonts w:cs="Arial"/>
                <w:b/>
                <w:bCs/>
                <w:sz w:val="20"/>
              </w:rPr>
              <w:t>Review / discuss:</w:t>
            </w:r>
          </w:p>
          <w:p w:rsidR="00EA4DDF" w:rsidRPr="00356C80" w:rsidRDefault="00EA4DDF" w:rsidP="00AB5A30">
            <w:pPr>
              <w:ind w:left="360" w:hanging="360"/>
              <w:rPr>
                <w:rFonts w:cs="Arial"/>
                <w:b/>
                <w:bCs/>
                <w:sz w:val="20"/>
              </w:rPr>
            </w:pPr>
          </w:p>
          <w:p w:rsidR="00EA4DDF" w:rsidRDefault="00EA4DDF" w:rsidP="00EA4DDF">
            <w:pPr>
              <w:numPr>
                <w:ilvl w:val="0"/>
                <w:numId w:val="19"/>
              </w:numPr>
              <w:tabs>
                <w:tab w:val="clear" w:pos="720"/>
                <w:tab w:val="num" w:pos="360"/>
              </w:tabs>
              <w:ind w:left="360"/>
              <w:rPr>
                <w:rFonts w:cs="Arial"/>
                <w:sz w:val="20"/>
              </w:rPr>
            </w:pPr>
            <w:r w:rsidRPr="00356C80">
              <w:rPr>
                <w:rFonts w:cs="Arial"/>
                <w:sz w:val="20"/>
              </w:rPr>
              <w:t>Program costing information</w:t>
            </w:r>
          </w:p>
          <w:p w:rsidR="006F46E4" w:rsidRPr="00356C80" w:rsidRDefault="006F46E4" w:rsidP="006F46E4">
            <w:pPr>
              <w:ind w:left="360"/>
              <w:rPr>
                <w:rFonts w:cs="Arial"/>
                <w:sz w:val="20"/>
              </w:rPr>
            </w:pPr>
          </w:p>
          <w:p w:rsidR="00EA4DDF" w:rsidRDefault="00EA4DDF" w:rsidP="00EA4DDF">
            <w:pPr>
              <w:numPr>
                <w:ilvl w:val="0"/>
                <w:numId w:val="19"/>
              </w:numPr>
              <w:tabs>
                <w:tab w:val="clear" w:pos="720"/>
                <w:tab w:val="num" w:pos="360"/>
              </w:tabs>
              <w:ind w:left="360"/>
              <w:rPr>
                <w:rFonts w:cs="Arial"/>
                <w:sz w:val="20"/>
              </w:rPr>
            </w:pPr>
            <w:r w:rsidRPr="00356C80">
              <w:rPr>
                <w:rFonts w:cs="Arial"/>
                <w:sz w:val="20"/>
              </w:rPr>
              <w:t>Scope of current program resources such as laboratory equipment, software, library holdings, or tools essential to or which enhance program delivery or student learning</w:t>
            </w:r>
          </w:p>
          <w:p w:rsidR="006F46E4" w:rsidRDefault="006F46E4" w:rsidP="006F46E4">
            <w:pPr>
              <w:pStyle w:val="ListParagraph"/>
              <w:rPr>
                <w:rFonts w:cs="Arial"/>
                <w:sz w:val="20"/>
              </w:rPr>
            </w:pPr>
          </w:p>
          <w:p w:rsidR="00EA4DDF" w:rsidRDefault="00EA4DDF" w:rsidP="00EA4DDF">
            <w:pPr>
              <w:numPr>
                <w:ilvl w:val="0"/>
                <w:numId w:val="19"/>
              </w:numPr>
              <w:tabs>
                <w:tab w:val="clear" w:pos="720"/>
                <w:tab w:val="num" w:pos="360"/>
              </w:tabs>
              <w:ind w:left="360"/>
              <w:rPr>
                <w:rFonts w:cs="Arial"/>
                <w:sz w:val="20"/>
              </w:rPr>
            </w:pPr>
            <w:r w:rsidRPr="00356C80">
              <w:rPr>
                <w:rFonts w:cs="Arial"/>
                <w:sz w:val="20"/>
              </w:rPr>
              <w:t>The adequacy of above resources in the context of program outcomes, program currency, and student numbers</w:t>
            </w:r>
          </w:p>
          <w:p w:rsidR="006F46E4" w:rsidRDefault="006F46E4" w:rsidP="006F46E4">
            <w:pPr>
              <w:pStyle w:val="ListParagraph"/>
              <w:rPr>
                <w:rFonts w:cs="Arial"/>
                <w:sz w:val="20"/>
              </w:rPr>
            </w:pPr>
          </w:p>
          <w:p w:rsidR="00EA4DDF" w:rsidRDefault="00EA4DDF" w:rsidP="00EA4DDF">
            <w:pPr>
              <w:numPr>
                <w:ilvl w:val="0"/>
                <w:numId w:val="19"/>
              </w:numPr>
              <w:tabs>
                <w:tab w:val="clear" w:pos="720"/>
                <w:tab w:val="num" w:pos="360"/>
              </w:tabs>
              <w:ind w:left="360"/>
              <w:rPr>
                <w:rFonts w:cs="Arial"/>
                <w:sz w:val="20"/>
              </w:rPr>
            </w:pPr>
            <w:r w:rsidRPr="00356C80">
              <w:rPr>
                <w:rFonts w:cs="Arial"/>
                <w:sz w:val="20"/>
              </w:rPr>
              <w:lastRenderedPageBreak/>
              <w:t>Program specific external revenue such as sponsorships, grants, donations or gifts-in-kind</w:t>
            </w:r>
          </w:p>
          <w:p w:rsidR="006F46E4" w:rsidRDefault="006F46E4" w:rsidP="006F46E4">
            <w:pPr>
              <w:pStyle w:val="ListParagraph"/>
              <w:rPr>
                <w:rFonts w:cs="Arial"/>
                <w:sz w:val="20"/>
              </w:rPr>
            </w:pPr>
          </w:p>
          <w:p w:rsidR="00EA4DDF" w:rsidRPr="00356C80" w:rsidRDefault="00EA4DDF" w:rsidP="00EA4DDF">
            <w:pPr>
              <w:numPr>
                <w:ilvl w:val="0"/>
                <w:numId w:val="19"/>
              </w:numPr>
              <w:tabs>
                <w:tab w:val="clear" w:pos="720"/>
                <w:tab w:val="left" w:pos="0"/>
                <w:tab w:val="num" w:pos="360"/>
              </w:tabs>
              <w:ind w:left="360"/>
              <w:rPr>
                <w:rFonts w:cs="Arial"/>
                <w:b/>
                <w:sz w:val="20"/>
              </w:rPr>
            </w:pPr>
            <w:r w:rsidRPr="00356C80">
              <w:rPr>
                <w:rFonts w:cs="Arial"/>
                <w:sz w:val="20"/>
              </w:rPr>
              <w:t>Other externally generated revenues, if applicable</w:t>
            </w:r>
          </w:p>
        </w:tc>
        <w:tc>
          <w:tcPr>
            <w:tcW w:w="6379" w:type="dxa"/>
            <w:gridSpan w:val="2"/>
            <w:shd w:val="clear" w:color="auto" w:fill="auto"/>
            <w:tcMar>
              <w:top w:w="113" w:type="dxa"/>
              <w:bottom w:w="113" w:type="dxa"/>
            </w:tcMar>
          </w:tcPr>
          <w:p w:rsidR="0042020B" w:rsidRDefault="0042020B" w:rsidP="0042020B">
            <w:pPr>
              <w:widowControl w:val="0"/>
              <w:tabs>
                <w:tab w:val="left" w:pos="220"/>
                <w:tab w:val="left" w:pos="720"/>
              </w:tabs>
              <w:autoSpaceDE w:val="0"/>
              <w:autoSpaceDN w:val="0"/>
              <w:adjustRightInd w:val="0"/>
              <w:spacing w:after="280"/>
              <w:rPr>
                <w:rFonts w:cs="Arial"/>
                <w:bCs/>
                <w:sz w:val="20"/>
              </w:rPr>
            </w:pPr>
            <w:r w:rsidRPr="0042020B">
              <w:rPr>
                <w:rFonts w:cs="Arial"/>
                <w:bCs/>
                <w:sz w:val="20"/>
              </w:rPr>
              <w:lastRenderedPageBreak/>
              <w:t>Based on a review of Contribution to Overhead (CTO) for existing programs (2010-11) the financial analysis is strong; i.e, CTO is greater than 35%. As of the 2010/11 Program Costing Analysis, the GHS Program’s CTO is 54.1%.</w:t>
            </w:r>
          </w:p>
          <w:p w:rsidR="0042020B" w:rsidRPr="0042020B" w:rsidRDefault="0042020B" w:rsidP="0042020B">
            <w:pPr>
              <w:widowControl w:val="0"/>
              <w:tabs>
                <w:tab w:val="left" w:pos="220"/>
                <w:tab w:val="left" w:pos="720"/>
              </w:tabs>
              <w:autoSpaceDE w:val="0"/>
              <w:autoSpaceDN w:val="0"/>
              <w:adjustRightInd w:val="0"/>
              <w:spacing w:after="280"/>
              <w:rPr>
                <w:rFonts w:cs="Arial"/>
                <w:bCs/>
                <w:sz w:val="20"/>
              </w:rPr>
            </w:pPr>
            <w:r>
              <w:rPr>
                <w:rFonts w:cs="Arial"/>
                <w:bCs/>
                <w:sz w:val="20"/>
              </w:rPr>
              <w:t>The physical science lab space is problematic as there are many other programs that are vying for a room where true scientific experiments in biology and chemistry can be conducted.  As such, classes for these two courses are sometimes scheduled at less than optimal times for students (i.e., beyond 5 or 6 pm).  Other curriculum delivery that requires seminar and/or computer lab space has been less of an issue.</w:t>
            </w:r>
          </w:p>
          <w:p w:rsidR="00EA4DDF" w:rsidRPr="00356C80" w:rsidRDefault="00EA4DDF" w:rsidP="00AB5A30">
            <w:pPr>
              <w:ind w:left="360" w:hanging="360"/>
              <w:rPr>
                <w:rFonts w:cs="Arial"/>
                <w:b/>
                <w:szCs w:val="22"/>
              </w:rPr>
            </w:pPr>
          </w:p>
        </w:tc>
      </w:tr>
    </w:tbl>
    <w:p w:rsidR="00EA4DDF" w:rsidRPr="00ED4E12" w:rsidRDefault="00EA4DDF" w:rsidP="00EA4DDF">
      <w:pPr>
        <w:rPr>
          <w:lang w:val="en-CA"/>
        </w:rPr>
      </w:pPr>
    </w:p>
    <w:p w:rsidR="00EA4DDF" w:rsidRPr="00360EEA" w:rsidRDefault="00360EEA" w:rsidP="00EA4DDF">
      <w:pPr>
        <w:pStyle w:val="Title"/>
        <w:jc w:val="left"/>
        <w:rPr>
          <w:rFonts w:ascii="Arial" w:hAnsi="Arial" w:cs="Arial"/>
          <w:b/>
          <w:sz w:val="22"/>
          <w:szCs w:val="22"/>
        </w:rPr>
      </w:pPr>
      <w:r w:rsidRPr="00360EEA">
        <w:rPr>
          <w:rFonts w:ascii="Arial" w:hAnsi="Arial" w:cs="Arial"/>
          <w:sz w:val="22"/>
          <w:szCs w:val="22"/>
        </w:rPr>
        <w:t xml:space="preserve">File </w:t>
      </w:r>
      <w:r>
        <w:rPr>
          <w:rFonts w:ascii="Arial" w:hAnsi="Arial" w:cs="Arial"/>
          <w:sz w:val="22"/>
          <w:szCs w:val="22"/>
        </w:rPr>
        <w:t xml:space="preserve">Program Review </w:t>
      </w:r>
      <w:r w:rsidRPr="00360EEA">
        <w:rPr>
          <w:rFonts w:ascii="Arial" w:hAnsi="Arial" w:cs="Arial"/>
          <w:sz w:val="22"/>
          <w:szCs w:val="22"/>
        </w:rPr>
        <w:t xml:space="preserve">report in: </w:t>
      </w:r>
      <w:r w:rsidRPr="00360EEA">
        <w:rPr>
          <w:rFonts w:ascii="Arial" w:hAnsi="Arial" w:cs="Arial"/>
          <w:b/>
          <w:sz w:val="22"/>
          <w:szCs w:val="22"/>
        </w:rPr>
        <w:t>S:\shared data\CLT\School Name\Program Name</w:t>
      </w:r>
    </w:p>
    <w:p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copies of existing and revised bench marks</w:t>
      </w:r>
    </w:p>
    <w:p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an updated Program Curriculum Map</w:t>
      </w:r>
    </w:p>
    <w:p w:rsidR="00EA4DDF" w:rsidRPr="00CA49A8" w:rsidRDefault="00EA4DDF" w:rsidP="00EA4DDF">
      <w:pPr>
        <w:rPr>
          <w:rFonts w:cs="Arial"/>
          <w:b/>
        </w:rPr>
        <w:sectPr w:rsidR="00EA4DDF" w:rsidRPr="00CA49A8" w:rsidSect="00EB4375">
          <w:headerReference w:type="default" r:id="rId9"/>
          <w:footerReference w:type="even" r:id="rId10"/>
          <w:footerReference w:type="default" r:id="rId11"/>
          <w:pgSz w:w="15840" w:h="12240" w:orient="landscape"/>
          <w:pgMar w:top="851" w:right="1440" w:bottom="851" w:left="1560" w:header="709" w:footer="709" w:gutter="0"/>
          <w:cols w:space="708"/>
          <w:docGrid w:linePitch="360"/>
        </w:sectPr>
      </w:pPr>
    </w:p>
    <w:p w:rsidR="00EA4DDF" w:rsidRDefault="00EA4DDF" w:rsidP="00EA4DDF">
      <w:pPr>
        <w:rPr>
          <w:rFonts w:cs="Arial"/>
          <w:b/>
        </w:rPr>
      </w:pPr>
      <w:r w:rsidRPr="00DC1597">
        <w:rPr>
          <w:rFonts w:cs="Arial"/>
          <w:b/>
        </w:rPr>
        <w:lastRenderedPageBreak/>
        <w:t>Based on a</w:t>
      </w:r>
      <w:r>
        <w:rPr>
          <w:rFonts w:cs="Arial"/>
          <w:b/>
        </w:rPr>
        <w:t>n analysis of your key findings,</w:t>
      </w:r>
      <w:r w:rsidRPr="00DC1597">
        <w:rPr>
          <w:rFonts w:cs="Arial"/>
          <w:b/>
        </w:rPr>
        <w:t xml:space="preserve"> identify areas that require attention. </w:t>
      </w:r>
    </w:p>
    <w:p w:rsidR="00EA4DDF" w:rsidRDefault="00EA4DDF" w:rsidP="00EA4DDF">
      <w:pPr>
        <w:rPr>
          <w:rFonts w:cs="Arial"/>
          <w:b/>
        </w:rPr>
      </w:pPr>
    </w:p>
    <w:p w:rsidR="00EA4DDF" w:rsidRPr="00DC1597" w:rsidRDefault="00EA4DDF" w:rsidP="00EA4DDF">
      <w:pPr>
        <w:rPr>
          <w:rFonts w:cs="Arial"/>
          <w:b/>
        </w:rPr>
      </w:pPr>
      <w:r>
        <w:rPr>
          <w:rFonts w:cs="Arial"/>
          <w:b/>
        </w:rPr>
        <w:t xml:space="preserve">Develop </w:t>
      </w:r>
      <w:r w:rsidRPr="00DC1597">
        <w:rPr>
          <w:rFonts w:cs="Arial"/>
          <w:b/>
        </w:rPr>
        <w:t>recommendations a</w:t>
      </w:r>
      <w:r w:rsidR="00C7200D">
        <w:rPr>
          <w:rFonts w:cs="Arial"/>
          <w:b/>
        </w:rPr>
        <w:t xml:space="preserve">nd an action plan that reflect </w:t>
      </w:r>
      <w:r w:rsidRPr="00DC1597">
        <w:rPr>
          <w:rFonts w:cs="Arial"/>
          <w:b/>
        </w:rPr>
        <w:t xml:space="preserve">the program’s priorities </w:t>
      </w:r>
      <w:r>
        <w:rPr>
          <w:rFonts w:cs="Arial"/>
          <w:b/>
        </w:rPr>
        <w:t xml:space="preserve">and </w:t>
      </w:r>
      <w:r w:rsidRPr="00DC1597">
        <w:rPr>
          <w:rFonts w:cs="Arial"/>
          <w:b/>
        </w:rPr>
        <w:t xml:space="preserve">its capacity to achieve them. </w:t>
      </w:r>
    </w:p>
    <w:p w:rsidR="00EA4DDF" w:rsidRPr="00DC1597" w:rsidRDefault="00EA4DDF" w:rsidP="00EA4DDF">
      <w:pPr>
        <w:rPr>
          <w:rFonts w:cs="Arial"/>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893"/>
        <w:gridCol w:w="1857"/>
        <w:gridCol w:w="1430"/>
      </w:tblGrid>
      <w:tr w:rsidR="00EA4DDF" w:rsidRPr="00356C80" w:rsidTr="00360EEA">
        <w:tc>
          <w:tcPr>
            <w:tcW w:w="5893"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p>
          <w:p w:rsidR="00EA4DDF" w:rsidRPr="00356C80" w:rsidRDefault="00EA4DDF" w:rsidP="00AB5A30">
            <w:pPr>
              <w:pStyle w:val="Title"/>
              <w:rPr>
                <w:rFonts w:ascii="Arial" w:hAnsi="Arial" w:cs="Arial"/>
                <w:b/>
                <w:szCs w:val="24"/>
              </w:rPr>
            </w:pPr>
            <w:r w:rsidRPr="00356C80">
              <w:rPr>
                <w:rFonts w:ascii="Arial" w:hAnsi="Arial" w:cs="Arial"/>
                <w:b/>
                <w:szCs w:val="24"/>
              </w:rPr>
              <w:t>Program Review Action Plan</w:t>
            </w:r>
          </w:p>
          <w:p w:rsidR="00EA4DDF" w:rsidRPr="00356C80" w:rsidRDefault="00EA4DDF" w:rsidP="00AB5A30">
            <w:pPr>
              <w:pStyle w:val="Title"/>
              <w:rPr>
                <w:rFonts w:ascii="Arial" w:hAnsi="Arial" w:cs="Arial"/>
                <w:b/>
                <w:sz w:val="22"/>
                <w:szCs w:val="22"/>
              </w:rPr>
            </w:pPr>
          </w:p>
        </w:tc>
        <w:tc>
          <w:tcPr>
            <w:tcW w:w="1857"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r w:rsidRPr="00356C80">
              <w:rPr>
                <w:rFonts w:ascii="Arial" w:hAnsi="Arial" w:cs="Arial"/>
                <w:b/>
                <w:szCs w:val="24"/>
              </w:rPr>
              <w:t>Responsibility</w:t>
            </w:r>
          </w:p>
        </w:tc>
        <w:tc>
          <w:tcPr>
            <w:tcW w:w="1430"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r w:rsidRPr="00356C80">
              <w:rPr>
                <w:rFonts w:ascii="Arial" w:hAnsi="Arial" w:cs="Arial"/>
                <w:b/>
                <w:szCs w:val="24"/>
              </w:rPr>
              <w:t>Timeframe</w:t>
            </w:r>
          </w:p>
        </w:tc>
      </w:tr>
      <w:tr w:rsidR="000715B2" w:rsidRPr="00356C80" w:rsidTr="00360EEA">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0715B2" w:rsidRPr="00360EEA" w:rsidRDefault="000715B2" w:rsidP="00AB5A30">
            <w:pPr>
              <w:pStyle w:val="Title"/>
              <w:jc w:val="left"/>
              <w:rPr>
                <w:rFonts w:ascii="Arial" w:hAnsi="Arial" w:cs="Arial"/>
                <w:b/>
                <w:sz w:val="20"/>
              </w:rPr>
            </w:pPr>
          </w:p>
          <w:p w:rsidR="000715B2" w:rsidRPr="00360EEA" w:rsidRDefault="000715B2" w:rsidP="00AB5A30">
            <w:pPr>
              <w:pStyle w:val="Title"/>
              <w:jc w:val="left"/>
              <w:rPr>
                <w:rFonts w:ascii="Arial" w:hAnsi="Arial" w:cs="Arial"/>
                <w:b/>
                <w:sz w:val="22"/>
                <w:szCs w:val="22"/>
              </w:rPr>
            </w:pPr>
            <w:r w:rsidRPr="00360EEA">
              <w:rPr>
                <w:rFonts w:ascii="Arial" w:hAnsi="Arial" w:cs="Arial"/>
                <w:b/>
                <w:szCs w:val="24"/>
              </w:rPr>
              <w:t>Recommendations:</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22109F" w:rsidRDefault="0022109F" w:rsidP="00AB5A30">
            <w:pPr>
              <w:pStyle w:val="Title"/>
              <w:numPr>
                <w:ilvl w:val="0"/>
                <w:numId w:val="48"/>
              </w:numPr>
              <w:jc w:val="left"/>
              <w:rPr>
                <w:rFonts w:ascii="Arial" w:hAnsi="Arial" w:cs="Arial"/>
                <w:b/>
                <w:sz w:val="20"/>
              </w:rPr>
            </w:pPr>
            <w:r w:rsidRPr="001E45AF">
              <w:rPr>
                <w:rFonts w:ascii="Arial" w:hAnsi="Arial" w:cs="Arial"/>
                <w:sz w:val="20"/>
              </w:rPr>
              <w:t>Further investigate use of online sources for SCIE148—Human Biology I</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Susan Hyndman</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Spring 2013</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Modify assessment plan to include 3 tests in SCIE148—Human Biology I</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Susan Hyndman</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2013</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Improve curriculum linkages between SOCI36—Introduction to Psychology, SCIE148—Human Biology I, SCIE150—Chemistry for College Health Science I and HLTH273—Professional Issues in Health Science</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GHS Team</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and Spring 2013</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Move feedback assignment from Week 5 to Week 6 in HLTH273—Professional Issues in Health Science</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F2047" w:rsidP="0022109F">
            <w:pPr>
              <w:rPr>
                <w:rFonts w:cs="Arial"/>
                <w:sz w:val="20"/>
              </w:rPr>
            </w:pPr>
            <w:r>
              <w:rPr>
                <w:rFonts w:cs="Arial"/>
                <w:sz w:val="20"/>
              </w:rPr>
              <w:t>Helen Bajorek-MacD</w:t>
            </w:r>
            <w:r w:rsidR="0022109F" w:rsidRPr="001E45AF">
              <w:rPr>
                <w:rFonts w:cs="Arial"/>
                <w:sz w:val="20"/>
              </w:rPr>
              <w:t>onald</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2013</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F2047">
            <w:pPr>
              <w:pStyle w:val="ListParagraph"/>
              <w:numPr>
                <w:ilvl w:val="0"/>
                <w:numId w:val="49"/>
              </w:numPr>
              <w:rPr>
                <w:rFonts w:cs="Arial"/>
                <w:sz w:val="20"/>
              </w:rPr>
            </w:pPr>
            <w:r w:rsidRPr="001E45AF">
              <w:rPr>
                <w:rFonts w:cs="Arial"/>
                <w:sz w:val="20"/>
              </w:rPr>
              <w:t>Investigate the use of a commercial dat</w:t>
            </w:r>
            <w:r w:rsidR="002F2047">
              <w:rPr>
                <w:rFonts w:cs="Arial"/>
                <w:sz w:val="20"/>
              </w:rPr>
              <w:t xml:space="preserve">abase, </w:t>
            </w:r>
            <w:r w:rsidR="002F2047" w:rsidRPr="001E45AF">
              <w:rPr>
                <w:rFonts w:cs="Arial"/>
                <w:sz w:val="20"/>
              </w:rPr>
              <w:t>such as Turnitin and SafeAssign</w:t>
            </w:r>
            <w:r w:rsidR="002F2047">
              <w:rPr>
                <w:rFonts w:cs="Arial"/>
                <w:sz w:val="20"/>
              </w:rPr>
              <w:t>, to check for plagiarism in</w:t>
            </w:r>
            <w:r w:rsidRPr="001E45AF">
              <w:rPr>
                <w:rFonts w:cs="Arial"/>
                <w:sz w:val="20"/>
              </w:rPr>
              <w:t xml:space="preserve"> major writing assignments in COMM79—College Communications for the Helpin</w:t>
            </w:r>
            <w:r w:rsidR="002F2047">
              <w:rPr>
                <w:rFonts w:cs="Arial"/>
                <w:sz w:val="20"/>
              </w:rPr>
              <w:t>g Professions</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Devon Code</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Spring 2013</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Divide instructional time between lab and classroom in SCIE150—Chemistry for College Health Science I</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Silvana Macdonald</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2013</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Remove the post-lab online discussions from SCIE150—Chemistry for College Health Science I</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Erin Chambers</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2013</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Begin assigning marks in lecture using “exit questions” in SCIE150—Chemistry for College Health Science I</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Erin Chambers</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2013</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Remove the culminating activity from Week 13 and replace with an assignment to be completed over Week 8 and submitted in Week 9 in SCIE150</w:t>
            </w:r>
            <w:r w:rsidR="002F2047">
              <w:rPr>
                <w:rFonts w:cs="Arial"/>
                <w:sz w:val="20"/>
              </w:rPr>
              <w:t>—Chemistry for College Health Science</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Erin Chambers</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2013</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Change lab evaluation from a rubric to a grading sheet in SCIE150</w:t>
            </w:r>
            <w:r w:rsidR="002F2047">
              <w:rPr>
                <w:rFonts w:cs="Arial"/>
                <w:sz w:val="20"/>
              </w:rPr>
              <w:t>—Chemistry for College Health Science</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Erin Chambers</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2013</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Provide an opportunity for more detailed exposure to health care options for students</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GHS Team</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and Spring 2013</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Investigate admission requirements for health programs at other colleges</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CLT/Librarian Research</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2013</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Improve marketing strategies for the GHS Program</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F2047" w:rsidP="0022109F">
            <w:pPr>
              <w:rPr>
                <w:rFonts w:cs="Arial"/>
                <w:sz w:val="20"/>
              </w:rPr>
            </w:pPr>
            <w:r>
              <w:rPr>
                <w:rFonts w:cs="Arial"/>
                <w:sz w:val="20"/>
              </w:rPr>
              <w:t>GHS and Marketing Team</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and Spring 2013</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Include overall program average information in the progress report emails sent to students in Weeks 4 and 7</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GHS Team</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2013 and ongoing</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Continue weekly teaching team meetings</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GHS Team</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2013 and ongoing</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t>Continue contact between the GHS program coordinator and other Health and Wellness coordinators</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Susan Hyndman</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2013 and ongoing</w:t>
            </w:r>
          </w:p>
        </w:tc>
      </w:tr>
      <w:tr w:rsidR="0022109F" w:rsidRPr="00356C80" w:rsidTr="00360EEA">
        <w:tc>
          <w:tcPr>
            <w:tcW w:w="5893"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pStyle w:val="ListParagraph"/>
              <w:numPr>
                <w:ilvl w:val="0"/>
                <w:numId w:val="49"/>
              </w:numPr>
              <w:rPr>
                <w:rFonts w:cs="Arial"/>
                <w:sz w:val="20"/>
              </w:rPr>
            </w:pPr>
            <w:r w:rsidRPr="001E45AF">
              <w:rPr>
                <w:rFonts w:cs="Arial"/>
                <w:sz w:val="20"/>
              </w:rPr>
              <w:lastRenderedPageBreak/>
              <w:t>Maintain program consistency by continuing to develop and refine a Program Standards / Expectations document re: deadlines, absence documentation, late e</w:t>
            </w:r>
            <w:r w:rsidR="002F2047">
              <w:rPr>
                <w:rFonts w:cs="Arial"/>
                <w:sz w:val="20"/>
              </w:rPr>
              <w:t xml:space="preserve">ntry to class, gradebook set up, </w:t>
            </w:r>
            <w:r w:rsidRPr="001E45AF">
              <w:rPr>
                <w:rFonts w:cs="Arial"/>
                <w:sz w:val="20"/>
              </w:rPr>
              <w:t>and team meeting frequency</w:t>
            </w:r>
          </w:p>
        </w:tc>
        <w:tc>
          <w:tcPr>
            <w:tcW w:w="1857"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GHS Team</w:t>
            </w:r>
          </w:p>
        </w:tc>
        <w:tc>
          <w:tcPr>
            <w:tcW w:w="1430" w:type="dxa"/>
            <w:tcBorders>
              <w:top w:val="single" w:sz="4" w:space="0" w:color="auto"/>
              <w:left w:val="single" w:sz="4" w:space="0" w:color="auto"/>
              <w:bottom w:val="single" w:sz="4" w:space="0" w:color="auto"/>
              <w:right w:val="single" w:sz="4" w:space="0" w:color="auto"/>
            </w:tcBorders>
          </w:tcPr>
          <w:p w:rsidR="0022109F" w:rsidRPr="001E45AF" w:rsidRDefault="0022109F" w:rsidP="0022109F">
            <w:pPr>
              <w:rPr>
                <w:rFonts w:cs="Arial"/>
                <w:sz w:val="20"/>
              </w:rPr>
            </w:pPr>
            <w:r w:rsidRPr="001E45AF">
              <w:rPr>
                <w:rFonts w:cs="Arial"/>
                <w:sz w:val="20"/>
              </w:rPr>
              <w:t>Winter 2013 and ongoing</w:t>
            </w:r>
          </w:p>
        </w:tc>
      </w:tr>
      <w:tr w:rsidR="00C7200D" w:rsidRPr="00356C80" w:rsidTr="00360EEA">
        <w:tc>
          <w:tcPr>
            <w:tcW w:w="5893"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pStyle w:val="ListParagraph"/>
              <w:numPr>
                <w:ilvl w:val="0"/>
                <w:numId w:val="49"/>
              </w:numPr>
              <w:rPr>
                <w:rFonts w:cs="Arial"/>
                <w:sz w:val="20"/>
              </w:rPr>
            </w:pPr>
            <w:r w:rsidRPr="001E45AF">
              <w:rPr>
                <w:rFonts w:cs="Arial"/>
                <w:sz w:val="20"/>
              </w:rPr>
              <w:t>Ensure the continued development of documentation that outlines the admission details for GHS students pursuing Fleming health programs</w:t>
            </w:r>
          </w:p>
        </w:tc>
        <w:tc>
          <w:tcPr>
            <w:tcW w:w="1857"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rPr>
                <w:rFonts w:cs="Arial"/>
                <w:sz w:val="20"/>
              </w:rPr>
            </w:pPr>
            <w:r w:rsidRPr="001E45AF">
              <w:rPr>
                <w:rFonts w:cs="Arial"/>
                <w:sz w:val="20"/>
              </w:rPr>
              <w:t>Susan Hyndman/ Darryl Papke</w:t>
            </w:r>
          </w:p>
        </w:tc>
        <w:tc>
          <w:tcPr>
            <w:tcW w:w="1430"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rPr>
                <w:rFonts w:cs="Arial"/>
                <w:sz w:val="20"/>
              </w:rPr>
            </w:pPr>
            <w:r w:rsidRPr="001E45AF">
              <w:rPr>
                <w:rFonts w:cs="Arial"/>
                <w:sz w:val="20"/>
              </w:rPr>
              <w:t xml:space="preserve">Winter 2013 </w:t>
            </w:r>
          </w:p>
        </w:tc>
      </w:tr>
      <w:tr w:rsidR="00C7200D" w:rsidRPr="00356C80" w:rsidTr="00360EEA">
        <w:tc>
          <w:tcPr>
            <w:tcW w:w="5893" w:type="dxa"/>
            <w:tcBorders>
              <w:top w:val="single" w:sz="4" w:space="0" w:color="auto"/>
              <w:left w:val="single" w:sz="4" w:space="0" w:color="auto"/>
              <w:bottom w:val="single" w:sz="4" w:space="0" w:color="auto"/>
              <w:right w:val="single" w:sz="4" w:space="0" w:color="auto"/>
            </w:tcBorders>
          </w:tcPr>
          <w:p w:rsidR="00C7200D" w:rsidRPr="001E45AF" w:rsidRDefault="006F3269" w:rsidP="00C7200D">
            <w:pPr>
              <w:pStyle w:val="ListParagraph"/>
              <w:numPr>
                <w:ilvl w:val="0"/>
                <w:numId w:val="49"/>
              </w:numPr>
              <w:rPr>
                <w:rFonts w:cs="Arial"/>
                <w:sz w:val="20"/>
              </w:rPr>
            </w:pPr>
            <w:r>
              <w:rPr>
                <w:rFonts w:cs="Arial"/>
                <w:sz w:val="20"/>
              </w:rPr>
              <w:t xml:space="preserve">Develop a tracking system </w:t>
            </w:r>
            <w:r w:rsidR="00C7200D" w:rsidRPr="001E45AF">
              <w:rPr>
                <w:rFonts w:cs="Arial"/>
                <w:sz w:val="20"/>
              </w:rPr>
              <w:t>to determine GHS pathways for graduates and those who do not c</w:t>
            </w:r>
            <w:r>
              <w:rPr>
                <w:rFonts w:cs="Arial"/>
                <w:sz w:val="20"/>
              </w:rPr>
              <w:t>omplete the program and compile findings in</w:t>
            </w:r>
            <w:r w:rsidR="00C7200D" w:rsidRPr="001E45AF">
              <w:rPr>
                <w:rFonts w:cs="Arial"/>
                <w:sz w:val="20"/>
              </w:rPr>
              <w:t xml:space="preserve"> an annual report </w:t>
            </w:r>
          </w:p>
        </w:tc>
        <w:tc>
          <w:tcPr>
            <w:tcW w:w="1857"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rPr>
                <w:rFonts w:cs="Arial"/>
                <w:sz w:val="20"/>
              </w:rPr>
            </w:pPr>
            <w:r w:rsidRPr="001E45AF">
              <w:rPr>
                <w:rFonts w:cs="Arial"/>
                <w:sz w:val="20"/>
              </w:rPr>
              <w:t>Susan Hyndman / FDR</w:t>
            </w:r>
          </w:p>
        </w:tc>
        <w:tc>
          <w:tcPr>
            <w:tcW w:w="1430"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rPr>
                <w:rFonts w:cs="Arial"/>
                <w:sz w:val="20"/>
              </w:rPr>
            </w:pPr>
            <w:r w:rsidRPr="001E45AF">
              <w:rPr>
                <w:rFonts w:cs="Arial"/>
                <w:sz w:val="20"/>
              </w:rPr>
              <w:t>Winter 2013 and ongoing</w:t>
            </w:r>
          </w:p>
        </w:tc>
      </w:tr>
      <w:tr w:rsidR="00C7200D" w:rsidRPr="00356C80" w:rsidTr="00360EEA">
        <w:tc>
          <w:tcPr>
            <w:tcW w:w="5893"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pStyle w:val="ListParagraph"/>
              <w:numPr>
                <w:ilvl w:val="0"/>
                <w:numId w:val="49"/>
              </w:numPr>
              <w:rPr>
                <w:rFonts w:cs="Arial"/>
                <w:sz w:val="20"/>
              </w:rPr>
            </w:pPr>
            <w:r w:rsidRPr="001E45AF">
              <w:rPr>
                <w:rFonts w:cs="Arial"/>
                <w:sz w:val="20"/>
              </w:rPr>
              <w:t>Improve student engagement with LSS for more timely access to course-specific tutoring</w:t>
            </w:r>
          </w:p>
        </w:tc>
        <w:tc>
          <w:tcPr>
            <w:tcW w:w="1857"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rPr>
                <w:rFonts w:cs="Arial"/>
                <w:sz w:val="20"/>
              </w:rPr>
            </w:pPr>
            <w:r w:rsidRPr="001E45AF">
              <w:rPr>
                <w:rFonts w:cs="Arial"/>
                <w:sz w:val="20"/>
              </w:rPr>
              <w:t>Susan Hyndman / LSS</w:t>
            </w:r>
          </w:p>
        </w:tc>
        <w:tc>
          <w:tcPr>
            <w:tcW w:w="1430"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rPr>
                <w:rFonts w:cs="Arial"/>
                <w:sz w:val="20"/>
              </w:rPr>
            </w:pPr>
            <w:r w:rsidRPr="001E45AF">
              <w:rPr>
                <w:rFonts w:cs="Arial"/>
                <w:sz w:val="20"/>
              </w:rPr>
              <w:t>Winter 2013 and ongoing</w:t>
            </w:r>
          </w:p>
        </w:tc>
      </w:tr>
      <w:tr w:rsidR="00C7200D" w:rsidRPr="00356C80" w:rsidTr="00360EEA">
        <w:tc>
          <w:tcPr>
            <w:tcW w:w="5893"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pStyle w:val="ListParagraph"/>
              <w:numPr>
                <w:ilvl w:val="0"/>
                <w:numId w:val="49"/>
              </w:numPr>
              <w:rPr>
                <w:rFonts w:cs="Arial"/>
                <w:sz w:val="20"/>
              </w:rPr>
            </w:pPr>
            <w:r w:rsidRPr="001E45AF">
              <w:rPr>
                <w:rFonts w:cs="Arial"/>
                <w:sz w:val="20"/>
              </w:rPr>
              <w:t>Continue to refine and implement student success strategies by maintaining linkages between courses in the program, improving time management and study skills, maintaining accessible office hours, improving instructional strategies, and providing useful and timely program information during orientation</w:t>
            </w:r>
          </w:p>
          <w:p w:rsidR="00C7200D" w:rsidRPr="001E45AF" w:rsidRDefault="006F3269" w:rsidP="002F1CD6">
            <w:pPr>
              <w:pStyle w:val="ListParagraph"/>
              <w:numPr>
                <w:ilvl w:val="0"/>
                <w:numId w:val="49"/>
              </w:numPr>
              <w:rPr>
                <w:rFonts w:cs="Arial"/>
                <w:b/>
                <w:sz w:val="20"/>
              </w:rPr>
            </w:pPr>
            <w:r>
              <w:rPr>
                <w:rFonts w:cs="Arial"/>
                <w:b/>
                <w:sz w:val="20"/>
              </w:rPr>
              <w:t xml:space="preserve">See Appendix </w:t>
            </w:r>
            <w:r w:rsidR="002F1CD6">
              <w:rPr>
                <w:rFonts w:cs="Arial"/>
                <w:b/>
                <w:sz w:val="20"/>
              </w:rPr>
              <w:t>L</w:t>
            </w:r>
            <w:r>
              <w:rPr>
                <w:rFonts w:cs="Arial"/>
                <w:b/>
                <w:sz w:val="20"/>
              </w:rPr>
              <w:t xml:space="preserve">: </w:t>
            </w:r>
            <w:r w:rsidR="00C7200D" w:rsidRPr="001E45AF">
              <w:rPr>
                <w:rFonts w:cs="Arial"/>
                <w:b/>
                <w:i/>
                <w:sz w:val="20"/>
              </w:rPr>
              <w:t>Success Strategies for GHS Programs Fall 2012</w:t>
            </w:r>
          </w:p>
        </w:tc>
        <w:tc>
          <w:tcPr>
            <w:tcW w:w="1857"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rPr>
                <w:rFonts w:cs="Arial"/>
                <w:sz w:val="20"/>
              </w:rPr>
            </w:pPr>
            <w:r w:rsidRPr="001E45AF">
              <w:rPr>
                <w:rFonts w:cs="Arial"/>
                <w:sz w:val="20"/>
              </w:rPr>
              <w:t>GHS Team</w:t>
            </w:r>
          </w:p>
        </w:tc>
        <w:tc>
          <w:tcPr>
            <w:tcW w:w="1430"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rPr>
                <w:rFonts w:cs="Arial"/>
                <w:sz w:val="20"/>
              </w:rPr>
            </w:pPr>
            <w:r w:rsidRPr="001E45AF">
              <w:rPr>
                <w:rFonts w:cs="Arial"/>
                <w:sz w:val="20"/>
              </w:rPr>
              <w:t>Implemented in Fall 2012 Ongoing for Winter 2013</w:t>
            </w:r>
          </w:p>
        </w:tc>
      </w:tr>
      <w:tr w:rsidR="00C7200D" w:rsidRPr="00356C80" w:rsidTr="00360EEA">
        <w:tc>
          <w:tcPr>
            <w:tcW w:w="5893"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pStyle w:val="ListParagraph"/>
              <w:numPr>
                <w:ilvl w:val="0"/>
                <w:numId w:val="49"/>
              </w:numPr>
              <w:rPr>
                <w:rFonts w:cs="Arial"/>
                <w:sz w:val="20"/>
              </w:rPr>
            </w:pPr>
            <w:r w:rsidRPr="001E45AF">
              <w:rPr>
                <w:rFonts w:cs="Arial"/>
                <w:sz w:val="20"/>
              </w:rPr>
              <w:t>Provide additional enrichment opportunities by establish</w:t>
            </w:r>
            <w:r w:rsidR="006F3269">
              <w:rPr>
                <w:rFonts w:cs="Arial"/>
                <w:sz w:val="20"/>
              </w:rPr>
              <w:t>ing</w:t>
            </w:r>
            <w:r w:rsidRPr="001E45AF">
              <w:rPr>
                <w:rFonts w:cs="Arial"/>
                <w:sz w:val="20"/>
              </w:rPr>
              <w:t xml:space="preserve"> a GHS Pr</w:t>
            </w:r>
            <w:r w:rsidR="006F3269">
              <w:rPr>
                <w:rFonts w:cs="Arial"/>
                <w:sz w:val="20"/>
              </w:rPr>
              <w:t>ogram Facebook account, initiating</w:t>
            </w:r>
            <w:r w:rsidRPr="001E45AF">
              <w:rPr>
                <w:rFonts w:cs="Arial"/>
                <w:sz w:val="20"/>
              </w:rPr>
              <w:t xml:space="preserve"> contact with students prior to the beg</w:t>
            </w:r>
            <w:r w:rsidR="006F3269">
              <w:rPr>
                <w:rFonts w:cs="Arial"/>
                <w:sz w:val="20"/>
              </w:rPr>
              <w:t>inning of the semester, organizing</w:t>
            </w:r>
            <w:r w:rsidRPr="001E45AF">
              <w:rPr>
                <w:rFonts w:cs="Arial"/>
                <w:sz w:val="20"/>
              </w:rPr>
              <w:t xml:space="preserve"> tours </w:t>
            </w:r>
            <w:r w:rsidR="006F3269">
              <w:rPr>
                <w:rFonts w:cs="Arial"/>
                <w:sz w:val="20"/>
              </w:rPr>
              <w:t>of employment facilities, inviting guest speakers, and communicating with and engaging</w:t>
            </w:r>
            <w:r w:rsidRPr="001E45AF">
              <w:rPr>
                <w:rFonts w:cs="Arial"/>
                <w:sz w:val="20"/>
              </w:rPr>
              <w:t xml:space="preserve"> program alumni as speakers and mentors</w:t>
            </w:r>
          </w:p>
          <w:p w:rsidR="00C7200D" w:rsidRPr="001E45AF" w:rsidRDefault="006F3269" w:rsidP="002F1CD6">
            <w:pPr>
              <w:pStyle w:val="ListParagraph"/>
              <w:numPr>
                <w:ilvl w:val="0"/>
                <w:numId w:val="49"/>
              </w:numPr>
              <w:rPr>
                <w:rFonts w:cs="Arial"/>
                <w:sz w:val="20"/>
              </w:rPr>
            </w:pPr>
            <w:r>
              <w:rPr>
                <w:rFonts w:cs="Arial"/>
                <w:b/>
                <w:sz w:val="20"/>
              </w:rPr>
              <w:t xml:space="preserve">See Appendix </w:t>
            </w:r>
            <w:r w:rsidR="002F1CD6">
              <w:rPr>
                <w:rFonts w:cs="Arial"/>
                <w:b/>
                <w:sz w:val="20"/>
              </w:rPr>
              <w:t>L</w:t>
            </w:r>
            <w:r>
              <w:rPr>
                <w:rFonts w:cs="Arial"/>
                <w:b/>
                <w:sz w:val="20"/>
              </w:rPr>
              <w:t xml:space="preserve">: </w:t>
            </w:r>
            <w:r w:rsidR="00C7200D" w:rsidRPr="001E45AF">
              <w:rPr>
                <w:rFonts w:cs="Arial"/>
                <w:b/>
                <w:i/>
                <w:sz w:val="20"/>
              </w:rPr>
              <w:t>Success Strategies for GHS Programs Fall 2012</w:t>
            </w:r>
          </w:p>
        </w:tc>
        <w:tc>
          <w:tcPr>
            <w:tcW w:w="1857"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rPr>
                <w:rFonts w:cs="Arial"/>
                <w:sz w:val="20"/>
              </w:rPr>
            </w:pPr>
            <w:r w:rsidRPr="001E45AF">
              <w:rPr>
                <w:rFonts w:cs="Arial"/>
                <w:sz w:val="20"/>
              </w:rPr>
              <w:t>GHS Team</w:t>
            </w:r>
          </w:p>
        </w:tc>
        <w:tc>
          <w:tcPr>
            <w:tcW w:w="1430"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rPr>
                <w:rFonts w:cs="Arial"/>
                <w:sz w:val="20"/>
              </w:rPr>
            </w:pPr>
            <w:r w:rsidRPr="001E45AF">
              <w:rPr>
                <w:rFonts w:cs="Arial"/>
                <w:sz w:val="20"/>
              </w:rPr>
              <w:t xml:space="preserve">Implementation in Fall 2012 and Winter 2013 Ongoing for Fall 2013 </w:t>
            </w:r>
          </w:p>
        </w:tc>
      </w:tr>
      <w:tr w:rsidR="00C7200D" w:rsidRPr="00356C80" w:rsidTr="00360EEA">
        <w:tc>
          <w:tcPr>
            <w:tcW w:w="5893"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pStyle w:val="ListParagraph"/>
              <w:numPr>
                <w:ilvl w:val="0"/>
                <w:numId w:val="49"/>
              </w:numPr>
              <w:rPr>
                <w:rFonts w:cs="Arial"/>
                <w:sz w:val="20"/>
              </w:rPr>
            </w:pPr>
            <w:r w:rsidRPr="001E45AF">
              <w:rPr>
                <w:rFonts w:cs="Arial"/>
                <w:sz w:val="20"/>
              </w:rPr>
              <w:t>Ensure that Human Growth and Development, ASL and French are offered as GENED electives in the GHS block</w:t>
            </w:r>
          </w:p>
        </w:tc>
        <w:tc>
          <w:tcPr>
            <w:tcW w:w="1857"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rPr>
                <w:rFonts w:cs="Arial"/>
                <w:sz w:val="20"/>
              </w:rPr>
            </w:pPr>
            <w:r w:rsidRPr="001E45AF">
              <w:rPr>
                <w:rFonts w:cs="Arial"/>
                <w:sz w:val="20"/>
              </w:rPr>
              <w:t>Silvana Macdonald</w:t>
            </w:r>
          </w:p>
        </w:tc>
        <w:tc>
          <w:tcPr>
            <w:tcW w:w="1430" w:type="dxa"/>
            <w:tcBorders>
              <w:top w:val="single" w:sz="4" w:space="0" w:color="auto"/>
              <w:left w:val="single" w:sz="4" w:space="0" w:color="auto"/>
              <w:bottom w:val="single" w:sz="4" w:space="0" w:color="auto"/>
              <w:right w:val="single" w:sz="4" w:space="0" w:color="auto"/>
            </w:tcBorders>
          </w:tcPr>
          <w:p w:rsidR="00C7200D" w:rsidRPr="001E45AF" w:rsidRDefault="00C7200D" w:rsidP="00C7200D">
            <w:pPr>
              <w:rPr>
                <w:rFonts w:cs="Arial"/>
                <w:sz w:val="20"/>
              </w:rPr>
            </w:pPr>
            <w:r w:rsidRPr="001E45AF">
              <w:rPr>
                <w:rFonts w:cs="Arial"/>
                <w:sz w:val="20"/>
              </w:rPr>
              <w:t>Winter 2013 and ongoing</w:t>
            </w:r>
          </w:p>
        </w:tc>
      </w:tr>
    </w:tbl>
    <w:p w:rsidR="0083589A" w:rsidRDefault="0083589A"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jc w:val="center"/>
        <w:outlineLvl w:val="0"/>
        <w:rPr>
          <w:rFonts w:cs="Arial"/>
          <w:b/>
        </w:rPr>
      </w:pPr>
    </w:p>
    <w:p w:rsidR="001F7FC3" w:rsidRDefault="001F7FC3" w:rsidP="001F7FC3">
      <w:pPr>
        <w:outlineLvl w:val="0"/>
        <w:rPr>
          <w:rFonts w:cs="Arial"/>
        </w:rPr>
      </w:pPr>
      <w:r w:rsidRPr="001F7FC3">
        <w:rPr>
          <w:rFonts w:cs="Arial"/>
        </w:rPr>
        <w:lastRenderedPageBreak/>
        <w:t>Appendix A: Key Research Findings: College Health Science Option (44700) (p.1)</w:t>
      </w:r>
    </w:p>
    <w:p w:rsidR="001F7FC3" w:rsidRDefault="001F7FC3" w:rsidP="001F7FC3">
      <w:pPr>
        <w:outlineLvl w:val="0"/>
        <w:rPr>
          <w:rFonts w:cs="Arial"/>
        </w:rPr>
      </w:pPr>
    </w:p>
    <w:p w:rsidR="001F7FC3" w:rsidRDefault="001F7FC3" w:rsidP="001F7FC3">
      <w:pPr>
        <w:outlineLvl w:val="0"/>
        <w:rPr>
          <w:rFonts w:cs="Arial"/>
        </w:rPr>
      </w:pPr>
      <w:r>
        <w:rPr>
          <w:rFonts w:cs="Arial"/>
        </w:rPr>
        <w:t>Appendix B: GHS Program Norms (p. 4)</w:t>
      </w:r>
    </w:p>
    <w:p w:rsidR="001F7FC3" w:rsidRDefault="001F7FC3" w:rsidP="001F7FC3">
      <w:pPr>
        <w:outlineLvl w:val="0"/>
        <w:rPr>
          <w:rFonts w:cs="Arial"/>
        </w:rPr>
      </w:pPr>
    </w:p>
    <w:p w:rsidR="001F7FC3" w:rsidRDefault="00C645FE" w:rsidP="001F7FC3">
      <w:pPr>
        <w:outlineLvl w:val="0"/>
        <w:rPr>
          <w:rFonts w:cs="Arial"/>
        </w:rPr>
      </w:pPr>
      <w:r>
        <w:rPr>
          <w:rFonts w:cs="Arial"/>
        </w:rPr>
        <w:t>Appendix C: Sample GHS Progress</w:t>
      </w:r>
      <w:r w:rsidR="001F7FC3">
        <w:rPr>
          <w:rFonts w:cs="Arial"/>
        </w:rPr>
        <w:t xml:space="preserve"> Report (p. 4)</w:t>
      </w:r>
    </w:p>
    <w:p w:rsidR="001F7FC3" w:rsidRDefault="001F7FC3" w:rsidP="001F7FC3">
      <w:pPr>
        <w:outlineLvl w:val="0"/>
        <w:rPr>
          <w:rFonts w:cs="Arial"/>
        </w:rPr>
      </w:pPr>
    </w:p>
    <w:p w:rsidR="001F7FC3" w:rsidRDefault="001F7FC3" w:rsidP="001F7FC3">
      <w:pPr>
        <w:outlineLvl w:val="0"/>
        <w:rPr>
          <w:rFonts w:cs="Arial"/>
        </w:rPr>
      </w:pPr>
      <w:r>
        <w:rPr>
          <w:rFonts w:cs="Arial"/>
        </w:rPr>
        <w:t>Appendix D: GHS Curriculum Renewal for September 2012 (p. 5)</w:t>
      </w:r>
    </w:p>
    <w:p w:rsidR="001F7FC3" w:rsidRDefault="001F7FC3" w:rsidP="001F7FC3">
      <w:pPr>
        <w:outlineLvl w:val="0"/>
        <w:rPr>
          <w:rFonts w:cs="Arial"/>
        </w:rPr>
      </w:pPr>
    </w:p>
    <w:p w:rsidR="001F7FC3" w:rsidRDefault="001F7FC3" w:rsidP="001F7FC3">
      <w:pPr>
        <w:outlineLvl w:val="0"/>
        <w:rPr>
          <w:rFonts w:cs="Arial"/>
        </w:rPr>
      </w:pPr>
      <w:r>
        <w:rPr>
          <w:rFonts w:cs="Arial"/>
        </w:rPr>
        <w:t xml:space="preserve">Appendix E: </w:t>
      </w:r>
      <w:r w:rsidR="003877F9">
        <w:rPr>
          <w:rFonts w:cs="Arial"/>
        </w:rPr>
        <w:t xml:space="preserve">GHS Curriculum Map 2013 (p. </w:t>
      </w:r>
      <w:r w:rsidR="002F1CD6">
        <w:rPr>
          <w:rFonts w:cs="Arial"/>
        </w:rPr>
        <w:t>9</w:t>
      </w:r>
      <w:r w:rsidR="003877F9">
        <w:rPr>
          <w:rFonts w:cs="Arial"/>
        </w:rPr>
        <w:t>)</w:t>
      </w:r>
    </w:p>
    <w:p w:rsidR="003877F9" w:rsidRDefault="003877F9" w:rsidP="001F7FC3">
      <w:pPr>
        <w:outlineLvl w:val="0"/>
        <w:rPr>
          <w:rFonts w:cs="Arial"/>
        </w:rPr>
      </w:pPr>
    </w:p>
    <w:p w:rsidR="003877F9" w:rsidRDefault="003877F9" w:rsidP="001F7FC3">
      <w:pPr>
        <w:outlineLvl w:val="0"/>
        <w:rPr>
          <w:rFonts w:cs="Arial"/>
        </w:rPr>
      </w:pPr>
      <w:r>
        <w:rPr>
          <w:rFonts w:cs="Arial"/>
        </w:rPr>
        <w:t>Appendix F: GHS Course Outlines (p. 11)</w:t>
      </w:r>
    </w:p>
    <w:p w:rsidR="003877F9" w:rsidRDefault="003877F9" w:rsidP="001F7FC3">
      <w:pPr>
        <w:outlineLvl w:val="0"/>
        <w:rPr>
          <w:rFonts w:cs="Arial"/>
        </w:rPr>
      </w:pPr>
    </w:p>
    <w:p w:rsidR="003877F9" w:rsidRDefault="003877F9" w:rsidP="001F7FC3">
      <w:pPr>
        <w:outlineLvl w:val="0"/>
        <w:rPr>
          <w:rFonts w:cs="Arial"/>
        </w:rPr>
      </w:pPr>
      <w:r>
        <w:rPr>
          <w:rFonts w:cs="Arial"/>
        </w:rPr>
        <w:t>Appendix G: GHS Assessments (p. 11)</w:t>
      </w:r>
    </w:p>
    <w:p w:rsidR="003877F9" w:rsidRDefault="003877F9" w:rsidP="001F7FC3">
      <w:pPr>
        <w:outlineLvl w:val="0"/>
        <w:rPr>
          <w:rFonts w:cs="Arial"/>
        </w:rPr>
      </w:pPr>
    </w:p>
    <w:p w:rsidR="003877F9" w:rsidRDefault="003877F9" w:rsidP="001F7FC3">
      <w:pPr>
        <w:outlineLvl w:val="0"/>
        <w:rPr>
          <w:rFonts w:cs="Arial"/>
        </w:rPr>
      </w:pPr>
      <w:r>
        <w:rPr>
          <w:rFonts w:cs="Arial"/>
        </w:rPr>
        <w:t>Appendix H: Complete GHS KPI Results 2010-2011 (p. 1</w:t>
      </w:r>
      <w:r w:rsidR="002F1CD6">
        <w:rPr>
          <w:rFonts w:cs="Arial"/>
        </w:rPr>
        <w:t>4</w:t>
      </w:r>
      <w:r>
        <w:rPr>
          <w:rFonts w:cs="Arial"/>
        </w:rPr>
        <w:t>)</w:t>
      </w:r>
    </w:p>
    <w:p w:rsidR="003877F9" w:rsidRDefault="003877F9" w:rsidP="001F7FC3">
      <w:pPr>
        <w:outlineLvl w:val="0"/>
        <w:rPr>
          <w:rFonts w:cs="Arial"/>
        </w:rPr>
      </w:pPr>
    </w:p>
    <w:p w:rsidR="003877F9" w:rsidRDefault="003877F9" w:rsidP="001F7FC3">
      <w:pPr>
        <w:outlineLvl w:val="0"/>
        <w:rPr>
          <w:rFonts w:cs="Arial"/>
        </w:rPr>
      </w:pPr>
      <w:r>
        <w:rPr>
          <w:rFonts w:cs="Arial"/>
        </w:rPr>
        <w:t>Appendix I: GHS Student Advising (p. 1</w:t>
      </w:r>
      <w:r w:rsidR="002F1CD6">
        <w:rPr>
          <w:rFonts w:cs="Arial"/>
        </w:rPr>
        <w:t>7</w:t>
      </w:r>
      <w:r>
        <w:rPr>
          <w:rFonts w:cs="Arial"/>
        </w:rPr>
        <w:t>)</w:t>
      </w:r>
    </w:p>
    <w:p w:rsidR="003877F9" w:rsidRDefault="003877F9" w:rsidP="001F7FC3">
      <w:pPr>
        <w:outlineLvl w:val="0"/>
        <w:rPr>
          <w:rFonts w:cs="Arial"/>
        </w:rPr>
      </w:pPr>
    </w:p>
    <w:p w:rsidR="003877F9" w:rsidRDefault="003877F9" w:rsidP="001F7FC3">
      <w:pPr>
        <w:outlineLvl w:val="0"/>
        <w:rPr>
          <w:rFonts w:cs="Arial"/>
        </w:rPr>
      </w:pPr>
      <w:r>
        <w:rPr>
          <w:rFonts w:cs="Arial"/>
        </w:rPr>
        <w:t xml:space="preserve">Appendix J: </w:t>
      </w:r>
      <w:r w:rsidR="002F1CD6">
        <w:rPr>
          <w:rFonts w:cs="Arial"/>
        </w:rPr>
        <w:t>Graduate Employment Rates</w:t>
      </w:r>
      <w:r>
        <w:rPr>
          <w:rFonts w:cs="Arial"/>
        </w:rPr>
        <w:t xml:space="preserve"> (p. 1</w:t>
      </w:r>
      <w:r w:rsidR="002F1CD6">
        <w:rPr>
          <w:rFonts w:cs="Arial"/>
        </w:rPr>
        <w:t>7</w:t>
      </w:r>
      <w:r>
        <w:rPr>
          <w:rFonts w:cs="Arial"/>
        </w:rPr>
        <w:t>)</w:t>
      </w:r>
    </w:p>
    <w:p w:rsidR="003877F9" w:rsidRDefault="003877F9" w:rsidP="001F7FC3">
      <w:pPr>
        <w:outlineLvl w:val="0"/>
        <w:rPr>
          <w:rFonts w:cs="Arial"/>
        </w:rPr>
      </w:pPr>
    </w:p>
    <w:p w:rsidR="003877F9" w:rsidRDefault="003877F9" w:rsidP="001F7FC3">
      <w:pPr>
        <w:outlineLvl w:val="0"/>
        <w:rPr>
          <w:rFonts w:cs="Arial"/>
        </w:rPr>
      </w:pPr>
      <w:r>
        <w:rPr>
          <w:rFonts w:cs="Arial"/>
        </w:rPr>
        <w:t xml:space="preserve">Appendix K: </w:t>
      </w:r>
      <w:r w:rsidR="002F1CD6">
        <w:rPr>
          <w:rFonts w:cs="Arial"/>
        </w:rPr>
        <w:t>GHS Pathways (p. 18</w:t>
      </w:r>
      <w:r>
        <w:rPr>
          <w:rFonts w:cs="Arial"/>
        </w:rPr>
        <w:t>)</w:t>
      </w:r>
    </w:p>
    <w:p w:rsidR="003877F9" w:rsidRDefault="003877F9" w:rsidP="001F7FC3">
      <w:pPr>
        <w:outlineLvl w:val="0"/>
        <w:rPr>
          <w:rFonts w:cs="Arial"/>
        </w:rPr>
      </w:pPr>
    </w:p>
    <w:p w:rsidR="003877F9" w:rsidRDefault="003877F9" w:rsidP="001F7FC3">
      <w:pPr>
        <w:outlineLvl w:val="0"/>
        <w:rPr>
          <w:rFonts w:cs="Arial"/>
        </w:rPr>
      </w:pPr>
      <w:r>
        <w:rPr>
          <w:rFonts w:cs="Arial"/>
        </w:rPr>
        <w:t xml:space="preserve">Appendix L: </w:t>
      </w:r>
      <w:r w:rsidR="002F1CD6">
        <w:rPr>
          <w:rFonts w:cs="Arial"/>
        </w:rPr>
        <w:t>Success Strategies for GHS – Fall 2012 (p. 20</w:t>
      </w:r>
      <w:r>
        <w:rPr>
          <w:rFonts w:cs="Arial"/>
        </w:rPr>
        <w:t>)</w:t>
      </w:r>
    </w:p>
    <w:p w:rsidR="003877F9" w:rsidRDefault="003877F9" w:rsidP="001F7FC3">
      <w:pPr>
        <w:outlineLvl w:val="0"/>
        <w:rPr>
          <w:rFonts w:cs="Arial"/>
        </w:rPr>
      </w:pPr>
    </w:p>
    <w:p w:rsidR="003877F9" w:rsidRDefault="003877F9" w:rsidP="001F7FC3">
      <w:pPr>
        <w:outlineLvl w:val="0"/>
        <w:rPr>
          <w:rFonts w:cs="Arial"/>
        </w:rPr>
      </w:pPr>
      <w:r>
        <w:rPr>
          <w:rFonts w:cs="Arial"/>
        </w:rPr>
        <w:t xml:space="preserve">Appendix M: </w:t>
      </w:r>
      <w:r w:rsidR="002F1CD6">
        <w:rPr>
          <w:rFonts w:cs="Arial"/>
        </w:rPr>
        <w:t>Confirmation &amp; Applications</w:t>
      </w:r>
      <w:r>
        <w:rPr>
          <w:rFonts w:cs="Arial"/>
        </w:rPr>
        <w:t xml:space="preserve"> (p. 23)</w:t>
      </w:r>
    </w:p>
    <w:p w:rsidR="003877F9" w:rsidRDefault="003877F9" w:rsidP="001F7FC3">
      <w:pPr>
        <w:outlineLvl w:val="0"/>
        <w:rPr>
          <w:rFonts w:cs="Arial"/>
        </w:rPr>
      </w:pPr>
    </w:p>
    <w:p w:rsidR="003877F9" w:rsidRPr="001F7FC3" w:rsidRDefault="003877F9" w:rsidP="001F7FC3">
      <w:pPr>
        <w:outlineLvl w:val="0"/>
        <w:rPr>
          <w:rFonts w:cs="Arial"/>
        </w:rPr>
      </w:pPr>
      <w:r>
        <w:rPr>
          <w:rFonts w:cs="Arial"/>
        </w:rPr>
        <w:t>Appendix N: GAS PAC Meeting Minutes (p. 2</w:t>
      </w:r>
      <w:r w:rsidR="00545032">
        <w:rPr>
          <w:rFonts w:cs="Arial"/>
        </w:rPr>
        <w:t>6</w:t>
      </w:r>
      <w:r>
        <w:rPr>
          <w:rFonts w:cs="Arial"/>
        </w:rPr>
        <w:t>)</w:t>
      </w:r>
    </w:p>
    <w:p w:rsidR="001F7FC3" w:rsidRDefault="001F7FC3" w:rsidP="001F7FC3">
      <w:pPr>
        <w:outlineLvl w:val="0"/>
      </w:pPr>
    </w:p>
    <w:sectPr w:rsidR="001F7FC3" w:rsidSect="00AB5A30">
      <w:pgSz w:w="12240" w:h="15840"/>
      <w:pgMar w:top="1440" w:right="1440" w:bottom="1440" w:left="197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CD6" w:rsidRDefault="002F1CD6" w:rsidP="00EA4DDF">
      <w:r>
        <w:separator/>
      </w:r>
    </w:p>
  </w:endnote>
  <w:endnote w:type="continuationSeparator" w:id="0">
    <w:p w:rsidR="002F1CD6" w:rsidRDefault="002F1CD6"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CD6" w:rsidRDefault="002F1CD6"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1CD6" w:rsidRDefault="002F1CD6"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CD6" w:rsidRPr="007818D9" w:rsidRDefault="002F1CD6"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7B6227">
      <w:rPr>
        <w:rStyle w:val="PageNumber"/>
        <w:rFonts w:ascii="Verdana" w:hAnsi="Verdana"/>
        <w:noProof/>
        <w:sz w:val="18"/>
        <w:szCs w:val="18"/>
      </w:rPr>
      <w:t>1</w:t>
    </w:r>
    <w:r w:rsidRPr="007818D9">
      <w:rPr>
        <w:rStyle w:val="PageNumber"/>
        <w:rFonts w:ascii="Verdana" w:hAnsi="Verdana"/>
        <w:sz w:val="18"/>
        <w:szCs w:val="18"/>
      </w:rPr>
      <w:fldChar w:fldCharType="end"/>
    </w:r>
  </w:p>
  <w:p w:rsidR="002F1CD6" w:rsidRDefault="002F1CD6"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Quality Assurance Process Centre for Learning and Teaching, </w:t>
    </w:r>
  </w:p>
  <w:p w:rsidR="002F1CD6" w:rsidRPr="007818D9" w:rsidRDefault="002F1CD6"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 May 2012</w:t>
    </w:r>
  </w:p>
  <w:p w:rsidR="002F1CD6" w:rsidRPr="007B4CD3" w:rsidRDefault="002F1CD6"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CD6" w:rsidRDefault="002F1CD6" w:rsidP="00EA4DDF">
      <w:r>
        <w:separator/>
      </w:r>
    </w:p>
  </w:footnote>
  <w:footnote w:type="continuationSeparator" w:id="0">
    <w:p w:rsidR="002F1CD6" w:rsidRDefault="002F1CD6"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CD6" w:rsidRDefault="002F1CD6" w:rsidP="00AB5A3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9ED"/>
    <w:multiLevelType w:val="hybridMultilevel"/>
    <w:tmpl w:val="94425436"/>
    <w:lvl w:ilvl="0" w:tplc="10090001">
      <w:start w:val="1"/>
      <w:numFmt w:val="bullet"/>
      <w:lvlText w:val=""/>
      <w:lvlJc w:val="left"/>
      <w:pPr>
        <w:ind w:left="720" w:hanging="360"/>
      </w:pPr>
      <w:rPr>
        <w:rFonts w:ascii="Symbol" w:hAnsi="Symbol" w:hint="default"/>
      </w:rPr>
    </w:lvl>
    <w:lvl w:ilvl="1" w:tplc="D7D229A8">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5221090"/>
    <w:multiLevelType w:val="hybridMultilevel"/>
    <w:tmpl w:val="0F28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93481"/>
    <w:multiLevelType w:val="hybridMultilevel"/>
    <w:tmpl w:val="EFECB480"/>
    <w:lvl w:ilvl="0" w:tplc="10090001">
      <w:start w:val="1"/>
      <w:numFmt w:val="bullet"/>
      <w:lvlText w:val=""/>
      <w:lvlJc w:val="left"/>
      <w:pPr>
        <w:ind w:left="1216" w:hanging="360"/>
      </w:pPr>
      <w:rPr>
        <w:rFonts w:ascii="Symbol" w:hAnsi="Symbol" w:hint="default"/>
      </w:rPr>
    </w:lvl>
    <w:lvl w:ilvl="1" w:tplc="10090003" w:tentative="1">
      <w:start w:val="1"/>
      <w:numFmt w:val="bullet"/>
      <w:lvlText w:val="o"/>
      <w:lvlJc w:val="left"/>
      <w:pPr>
        <w:ind w:left="1936" w:hanging="360"/>
      </w:pPr>
      <w:rPr>
        <w:rFonts w:ascii="Courier New" w:hAnsi="Courier New" w:cs="Courier New" w:hint="default"/>
      </w:rPr>
    </w:lvl>
    <w:lvl w:ilvl="2" w:tplc="10090005" w:tentative="1">
      <w:start w:val="1"/>
      <w:numFmt w:val="bullet"/>
      <w:lvlText w:val=""/>
      <w:lvlJc w:val="left"/>
      <w:pPr>
        <w:ind w:left="2656" w:hanging="360"/>
      </w:pPr>
      <w:rPr>
        <w:rFonts w:ascii="Wingdings" w:hAnsi="Wingdings" w:hint="default"/>
      </w:rPr>
    </w:lvl>
    <w:lvl w:ilvl="3" w:tplc="10090001" w:tentative="1">
      <w:start w:val="1"/>
      <w:numFmt w:val="bullet"/>
      <w:lvlText w:val=""/>
      <w:lvlJc w:val="left"/>
      <w:pPr>
        <w:ind w:left="3376" w:hanging="360"/>
      </w:pPr>
      <w:rPr>
        <w:rFonts w:ascii="Symbol" w:hAnsi="Symbol" w:hint="default"/>
      </w:rPr>
    </w:lvl>
    <w:lvl w:ilvl="4" w:tplc="10090003" w:tentative="1">
      <w:start w:val="1"/>
      <w:numFmt w:val="bullet"/>
      <w:lvlText w:val="o"/>
      <w:lvlJc w:val="left"/>
      <w:pPr>
        <w:ind w:left="4096" w:hanging="360"/>
      </w:pPr>
      <w:rPr>
        <w:rFonts w:ascii="Courier New" w:hAnsi="Courier New" w:cs="Courier New" w:hint="default"/>
      </w:rPr>
    </w:lvl>
    <w:lvl w:ilvl="5" w:tplc="10090005" w:tentative="1">
      <w:start w:val="1"/>
      <w:numFmt w:val="bullet"/>
      <w:lvlText w:val=""/>
      <w:lvlJc w:val="left"/>
      <w:pPr>
        <w:ind w:left="4816" w:hanging="360"/>
      </w:pPr>
      <w:rPr>
        <w:rFonts w:ascii="Wingdings" w:hAnsi="Wingdings" w:hint="default"/>
      </w:rPr>
    </w:lvl>
    <w:lvl w:ilvl="6" w:tplc="10090001" w:tentative="1">
      <w:start w:val="1"/>
      <w:numFmt w:val="bullet"/>
      <w:lvlText w:val=""/>
      <w:lvlJc w:val="left"/>
      <w:pPr>
        <w:ind w:left="5536" w:hanging="360"/>
      </w:pPr>
      <w:rPr>
        <w:rFonts w:ascii="Symbol" w:hAnsi="Symbol" w:hint="default"/>
      </w:rPr>
    </w:lvl>
    <w:lvl w:ilvl="7" w:tplc="10090003" w:tentative="1">
      <w:start w:val="1"/>
      <w:numFmt w:val="bullet"/>
      <w:lvlText w:val="o"/>
      <w:lvlJc w:val="left"/>
      <w:pPr>
        <w:ind w:left="6256" w:hanging="360"/>
      </w:pPr>
      <w:rPr>
        <w:rFonts w:ascii="Courier New" w:hAnsi="Courier New" w:cs="Courier New" w:hint="default"/>
      </w:rPr>
    </w:lvl>
    <w:lvl w:ilvl="8" w:tplc="10090005" w:tentative="1">
      <w:start w:val="1"/>
      <w:numFmt w:val="bullet"/>
      <w:lvlText w:val=""/>
      <w:lvlJc w:val="left"/>
      <w:pPr>
        <w:ind w:left="6976" w:hanging="360"/>
      </w:pPr>
      <w:rPr>
        <w:rFonts w:ascii="Wingdings" w:hAnsi="Wingdings" w:hint="default"/>
      </w:rPr>
    </w:lvl>
  </w:abstractNum>
  <w:abstractNum w:abstractNumId="4">
    <w:nsid w:val="08154E61"/>
    <w:multiLevelType w:val="hybridMultilevel"/>
    <w:tmpl w:val="58A07744"/>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4C3486"/>
    <w:multiLevelType w:val="hybridMultilevel"/>
    <w:tmpl w:val="1EACF1BE"/>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7">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0C9C5D02"/>
    <w:multiLevelType w:val="hybridMultilevel"/>
    <w:tmpl w:val="09E26898"/>
    <w:lvl w:ilvl="0" w:tplc="58205F0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7570AA"/>
    <w:multiLevelType w:val="hybridMultilevel"/>
    <w:tmpl w:val="F3627DFE"/>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0">
    <w:nsid w:val="162F3DD1"/>
    <w:multiLevelType w:val="hybridMultilevel"/>
    <w:tmpl w:val="B8449304"/>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18EE1302"/>
    <w:multiLevelType w:val="hybridMultilevel"/>
    <w:tmpl w:val="EB9445B2"/>
    <w:lvl w:ilvl="0" w:tplc="D7D229A8">
      <w:numFmt w:val="bullet"/>
      <w:lvlText w:val="-"/>
      <w:lvlJc w:val="left"/>
      <w:pPr>
        <w:ind w:left="1440" w:hanging="360"/>
      </w:pPr>
      <w:rPr>
        <w:rFonts w:ascii="Calibri" w:eastAsiaTheme="minorHAnsi" w:hAnsi="Calibri" w:cs="Calibri" w:hint="default"/>
      </w:rPr>
    </w:lvl>
    <w:lvl w:ilvl="1" w:tplc="D7D229A8">
      <w:numFmt w:val="bullet"/>
      <w:lvlText w:val="-"/>
      <w:lvlJc w:val="left"/>
      <w:pPr>
        <w:ind w:left="2160" w:hanging="360"/>
      </w:pPr>
      <w:rPr>
        <w:rFonts w:ascii="Calibri" w:eastAsiaTheme="minorHAnsi" w:hAnsi="Calibri" w:cs="Calibri"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nsid w:val="1F2C0EEF"/>
    <w:multiLevelType w:val="hybridMultilevel"/>
    <w:tmpl w:val="E912EFAE"/>
    <w:lvl w:ilvl="0" w:tplc="D7D229A8">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2172574D"/>
    <w:multiLevelType w:val="hybridMultilevel"/>
    <w:tmpl w:val="A00A23E4"/>
    <w:lvl w:ilvl="0" w:tplc="88F0CC34">
      <w:start w:val="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1E6237"/>
    <w:multiLevelType w:val="hybridMultilevel"/>
    <w:tmpl w:val="2E142E48"/>
    <w:lvl w:ilvl="0" w:tplc="D7D229A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90024AE"/>
    <w:multiLevelType w:val="hybridMultilevel"/>
    <w:tmpl w:val="E6CA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1A1293"/>
    <w:multiLevelType w:val="hybridMultilevel"/>
    <w:tmpl w:val="0A18ABC6"/>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29346176"/>
    <w:multiLevelType w:val="hybridMultilevel"/>
    <w:tmpl w:val="2FC6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2F6A2C34"/>
    <w:multiLevelType w:val="hybridMultilevel"/>
    <w:tmpl w:val="11B2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34195FD8"/>
    <w:multiLevelType w:val="hybridMultilevel"/>
    <w:tmpl w:val="434A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104B77"/>
    <w:multiLevelType w:val="hybridMultilevel"/>
    <w:tmpl w:val="EFBCC7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380E30E5"/>
    <w:multiLevelType w:val="hybridMultilevel"/>
    <w:tmpl w:val="D660C848"/>
    <w:lvl w:ilvl="0" w:tplc="10090017">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nsid w:val="3EFC0509"/>
    <w:multiLevelType w:val="hybridMultilevel"/>
    <w:tmpl w:val="4176C046"/>
    <w:lvl w:ilvl="0" w:tplc="9E1AB9CC">
      <w:start w:val="1"/>
      <w:numFmt w:val="decimal"/>
      <w:lvlText w:val="%1."/>
      <w:lvlJc w:val="left"/>
      <w:pPr>
        <w:tabs>
          <w:tab w:val="num" w:pos="780"/>
        </w:tabs>
        <w:ind w:left="780" w:hanging="360"/>
      </w:pPr>
      <w:rPr>
        <w:b/>
      </w:rPr>
    </w:lvl>
    <w:lvl w:ilvl="1" w:tplc="10090001">
      <w:start w:val="1"/>
      <w:numFmt w:val="bullet"/>
      <w:lvlText w:val=""/>
      <w:lvlJc w:val="left"/>
      <w:pPr>
        <w:tabs>
          <w:tab w:val="num" w:pos="360"/>
        </w:tabs>
        <w:ind w:left="360" w:hanging="360"/>
      </w:pPr>
      <w:rPr>
        <w:rFonts w:ascii="Symbol" w:hAnsi="Symbol" w:hint="default"/>
        <w:b/>
      </w:r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30">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43A424C8"/>
    <w:multiLevelType w:val="hybridMultilevel"/>
    <w:tmpl w:val="4E2A0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45F62DEE"/>
    <w:multiLevelType w:val="hybridMultilevel"/>
    <w:tmpl w:val="43E2AE70"/>
    <w:lvl w:ilvl="0" w:tplc="A904943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2542109"/>
    <w:multiLevelType w:val="hybridMultilevel"/>
    <w:tmpl w:val="CDBA05C2"/>
    <w:lvl w:ilvl="0" w:tplc="64B29EF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6">
    <w:nsid w:val="535D509D"/>
    <w:multiLevelType w:val="hybridMultilevel"/>
    <w:tmpl w:val="9A2A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CF01A2"/>
    <w:multiLevelType w:val="hybridMultilevel"/>
    <w:tmpl w:val="48F2CFE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5BE93E1C"/>
    <w:multiLevelType w:val="hybridMultilevel"/>
    <w:tmpl w:val="FFA63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4F0120C"/>
    <w:multiLevelType w:val="hybridMultilevel"/>
    <w:tmpl w:val="2C0625F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43">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6">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7">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8">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34"/>
  </w:num>
  <w:num w:numId="4">
    <w:abstractNumId w:val="4"/>
  </w:num>
  <w:num w:numId="5">
    <w:abstractNumId w:val="23"/>
  </w:num>
  <w:num w:numId="6">
    <w:abstractNumId w:val="33"/>
  </w:num>
  <w:num w:numId="7">
    <w:abstractNumId w:val="42"/>
  </w:num>
  <w:num w:numId="8">
    <w:abstractNumId w:val="45"/>
  </w:num>
  <w:num w:numId="9">
    <w:abstractNumId w:val="30"/>
  </w:num>
  <w:num w:numId="10">
    <w:abstractNumId w:val="20"/>
  </w:num>
  <w:num w:numId="11">
    <w:abstractNumId w:val="16"/>
  </w:num>
  <w:num w:numId="12">
    <w:abstractNumId w:val="7"/>
  </w:num>
  <w:num w:numId="13">
    <w:abstractNumId w:val="38"/>
  </w:num>
  <w:num w:numId="14">
    <w:abstractNumId w:val="12"/>
  </w:num>
  <w:num w:numId="15">
    <w:abstractNumId w:val="46"/>
  </w:num>
  <w:num w:numId="16">
    <w:abstractNumId w:val="27"/>
  </w:num>
  <w:num w:numId="17">
    <w:abstractNumId w:val="48"/>
  </w:num>
  <w:num w:numId="18">
    <w:abstractNumId w:val="6"/>
  </w:num>
  <w:num w:numId="19">
    <w:abstractNumId w:val="44"/>
  </w:num>
  <w:num w:numId="20">
    <w:abstractNumId w:val="47"/>
  </w:num>
  <w:num w:numId="21">
    <w:abstractNumId w:val="15"/>
  </w:num>
  <w:num w:numId="22">
    <w:abstractNumId w:val="24"/>
  </w:num>
  <w:num w:numId="23">
    <w:abstractNumId w:val="43"/>
  </w:num>
  <w:num w:numId="24">
    <w:abstractNumId w:val="31"/>
  </w:num>
  <w:num w:numId="25">
    <w:abstractNumId w:val="1"/>
  </w:num>
  <w:num w:numId="26">
    <w:abstractNumId w:val="41"/>
  </w:num>
  <w:num w:numId="27">
    <w:abstractNumId w:val="22"/>
  </w:num>
  <w:num w:numId="28">
    <w:abstractNumId w:val="35"/>
  </w:num>
  <w:num w:numId="29">
    <w:abstractNumId w:val="26"/>
  </w:num>
  <w:num w:numId="30">
    <w:abstractNumId w:val="8"/>
  </w:num>
  <w:num w:numId="31">
    <w:abstractNumId w:val="37"/>
  </w:num>
  <w:num w:numId="32">
    <w:abstractNumId w:val="9"/>
  </w:num>
  <w:num w:numId="33">
    <w:abstractNumId w:val="3"/>
  </w:num>
  <w:num w:numId="34">
    <w:abstractNumId w:val="0"/>
  </w:num>
  <w:num w:numId="35">
    <w:abstractNumId w:val="14"/>
  </w:num>
  <w:num w:numId="36">
    <w:abstractNumId w:val="11"/>
  </w:num>
  <w:num w:numId="37">
    <w:abstractNumId w:val="39"/>
  </w:num>
  <w:num w:numId="38">
    <w:abstractNumId w:val="17"/>
  </w:num>
  <w:num w:numId="39">
    <w:abstractNumId w:val="18"/>
  </w:num>
  <w:num w:numId="40">
    <w:abstractNumId w:val="40"/>
  </w:num>
  <w:num w:numId="41">
    <w:abstractNumId w:val="25"/>
  </w:num>
  <w:num w:numId="42">
    <w:abstractNumId w:val="36"/>
  </w:num>
  <w:num w:numId="43">
    <w:abstractNumId w:val="32"/>
  </w:num>
  <w:num w:numId="44">
    <w:abstractNumId w:val="10"/>
  </w:num>
  <w:num w:numId="45">
    <w:abstractNumId w:val="5"/>
  </w:num>
  <w:num w:numId="46">
    <w:abstractNumId w:val="28"/>
  </w:num>
  <w:num w:numId="47">
    <w:abstractNumId w:val="2"/>
  </w:num>
  <w:num w:numId="48">
    <w:abstractNumId w:val="19"/>
  </w:num>
  <w:num w:numId="4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DF"/>
    <w:rsid w:val="00003C66"/>
    <w:rsid w:val="00005971"/>
    <w:rsid w:val="00007700"/>
    <w:rsid w:val="00010613"/>
    <w:rsid w:val="000117F3"/>
    <w:rsid w:val="000138AB"/>
    <w:rsid w:val="000140FF"/>
    <w:rsid w:val="0001605F"/>
    <w:rsid w:val="00020D7E"/>
    <w:rsid w:val="00021BF5"/>
    <w:rsid w:val="000231C1"/>
    <w:rsid w:val="00025EAB"/>
    <w:rsid w:val="00026BC0"/>
    <w:rsid w:val="000411BE"/>
    <w:rsid w:val="00041FFE"/>
    <w:rsid w:val="00043CB8"/>
    <w:rsid w:val="00043D2B"/>
    <w:rsid w:val="00044988"/>
    <w:rsid w:val="00045E73"/>
    <w:rsid w:val="00047436"/>
    <w:rsid w:val="000533DE"/>
    <w:rsid w:val="00057029"/>
    <w:rsid w:val="0006516C"/>
    <w:rsid w:val="000654B2"/>
    <w:rsid w:val="00070197"/>
    <w:rsid w:val="00070524"/>
    <w:rsid w:val="000715B2"/>
    <w:rsid w:val="0007213A"/>
    <w:rsid w:val="00073721"/>
    <w:rsid w:val="00082E33"/>
    <w:rsid w:val="00084F95"/>
    <w:rsid w:val="00086C9A"/>
    <w:rsid w:val="00087434"/>
    <w:rsid w:val="000923F3"/>
    <w:rsid w:val="00094768"/>
    <w:rsid w:val="000A1C97"/>
    <w:rsid w:val="000A755C"/>
    <w:rsid w:val="000A7795"/>
    <w:rsid w:val="000B344C"/>
    <w:rsid w:val="000B4CDA"/>
    <w:rsid w:val="000B766F"/>
    <w:rsid w:val="000B792C"/>
    <w:rsid w:val="000B7D38"/>
    <w:rsid w:val="000C1B9B"/>
    <w:rsid w:val="000C27E7"/>
    <w:rsid w:val="000D1167"/>
    <w:rsid w:val="000D347A"/>
    <w:rsid w:val="000D5D55"/>
    <w:rsid w:val="000D5F41"/>
    <w:rsid w:val="000E2222"/>
    <w:rsid w:val="000E276E"/>
    <w:rsid w:val="000E32E2"/>
    <w:rsid w:val="000E3D8E"/>
    <w:rsid w:val="000E4067"/>
    <w:rsid w:val="000E55CB"/>
    <w:rsid w:val="000E5C92"/>
    <w:rsid w:val="000E5F14"/>
    <w:rsid w:val="000E70F8"/>
    <w:rsid w:val="000F34C5"/>
    <w:rsid w:val="000F4401"/>
    <w:rsid w:val="000F4CBF"/>
    <w:rsid w:val="000F7C83"/>
    <w:rsid w:val="00105FBF"/>
    <w:rsid w:val="0010663D"/>
    <w:rsid w:val="00106912"/>
    <w:rsid w:val="0010704A"/>
    <w:rsid w:val="00107314"/>
    <w:rsid w:val="00111574"/>
    <w:rsid w:val="00111BE3"/>
    <w:rsid w:val="00112586"/>
    <w:rsid w:val="001126F6"/>
    <w:rsid w:val="00115864"/>
    <w:rsid w:val="00116397"/>
    <w:rsid w:val="00116BEE"/>
    <w:rsid w:val="0012077C"/>
    <w:rsid w:val="00120C72"/>
    <w:rsid w:val="001253C7"/>
    <w:rsid w:val="00127772"/>
    <w:rsid w:val="001303C7"/>
    <w:rsid w:val="00131107"/>
    <w:rsid w:val="00131165"/>
    <w:rsid w:val="001330D0"/>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820C1"/>
    <w:rsid w:val="00182916"/>
    <w:rsid w:val="001901C1"/>
    <w:rsid w:val="00192911"/>
    <w:rsid w:val="00192E75"/>
    <w:rsid w:val="001952CE"/>
    <w:rsid w:val="001973E1"/>
    <w:rsid w:val="001A441B"/>
    <w:rsid w:val="001A61BA"/>
    <w:rsid w:val="001B1B83"/>
    <w:rsid w:val="001C0FE4"/>
    <w:rsid w:val="001C1951"/>
    <w:rsid w:val="001C3B00"/>
    <w:rsid w:val="001C5A69"/>
    <w:rsid w:val="001C7E64"/>
    <w:rsid w:val="001D2C83"/>
    <w:rsid w:val="001D2E90"/>
    <w:rsid w:val="001D78B3"/>
    <w:rsid w:val="001E32A0"/>
    <w:rsid w:val="001E39E1"/>
    <w:rsid w:val="001E5669"/>
    <w:rsid w:val="001E79ED"/>
    <w:rsid w:val="001E7D67"/>
    <w:rsid w:val="001F1868"/>
    <w:rsid w:val="001F2770"/>
    <w:rsid w:val="001F343D"/>
    <w:rsid w:val="001F38E6"/>
    <w:rsid w:val="001F4612"/>
    <w:rsid w:val="001F6088"/>
    <w:rsid w:val="001F7FC3"/>
    <w:rsid w:val="00202DB2"/>
    <w:rsid w:val="002036B3"/>
    <w:rsid w:val="002061B2"/>
    <w:rsid w:val="0020655B"/>
    <w:rsid w:val="002074DA"/>
    <w:rsid w:val="002078C9"/>
    <w:rsid w:val="002116CE"/>
    <w:rsid w:val="00213B02"/>
    <w:rsid w:val="00216C21"/>
    <w:rsid w:val="0022063D"/>
    <w:rsid w:val="0022109F"/>
    <w:rsid w:val="0022315D"/>
    <w:rsid w:val="00224321"/>
    <w:rsid w:val="00231B02"/>
    <w:rsid w:val="002349D2"/>
    <w:rsid w:val="00235390"/>
    <w:rsid w:val="00235E6C"/>
    <w:rsid w:val="0023644D"/>
    <w:rsid w:val="00237332"/>
    <w:rsid w:val="00240975"/>
    <w:rsid w:val="002419F7"/>
    <w:rsid w:val="00244F6F"/>
    <w:rsid w:val="00245C6B"/>
    <w:rsid w:val="00250439"/>
    <w:rsid w:val="002536A1"/>
    <w:rsid w:val="00255696"/>
    <w:rsid w:val="00255933"/>
    <w:rsid w:val="0025707D"/>
    <w:rsid w:val="00262169"/>
    <w:rsid w:val="00263AEE"/>
    <w:rsid w:val="00264990"/>
    <w:rsid w:val="00264A42"/>
    <w:rsid w:val="0026658D"/>
    <w:rsid w:val="002674A2"/>
    <w:rsid w:val="002725ED"/>
    <w:rsid w:val="00272678"/>
    <w:rsid w:val="00274BB5"/>
    <w:rsid w:val="00274D86"/>
    <w:rsid w:val="00276091"/>
    <w:rsid w:val="002777E7"/>
    <w:rsid w:val="00282785"/>
    <w:rsid w:val="002838EE"/>
    <w:rsid w:val="00283F62"/>
    <w:rsid w:val="00291638"/>
    <w:rsid w:val="00292F13"/>
    <w:rsid w:val="002954E8"/>
    <w:rsid w:val="00296E8E"/>
    <w:rsid w:val="00296ED6"/>
    <w:rsid w:val="00297BC7"/>
    <w:rsid w:val="002A213B"/>
    <w:rsid w:val="002A5775"/>
    <w:rsid w:val="002B0244"/>
    <w:rsid w:val="002B162E"/>
    <w:rsid w:val="002B2105"/>
    <w:rsid w:val="002B3973"/>
    <w:rsid w:val="002C0BF6"/>
    <w:rsid w:val="002C1825"/>
    <w:rsid w:val="002C2373"/>
    <w:rsid w:val="002C40A0"/>
    <w:rsid w:val="002D003B"/>
    <w:rsid w:val="002D058D"/>
    <w:rsid w:val="002D0A37"/>
    <w:rsid w:val="002D38D3"/>
    <w:rsid w:val="002D4A6D"/>
    <w:rsid w:val="002D5727"/>
    <w:rsid w:val="002D668D"/>
    <w:rsid w:val="002E36FD"/>
    <w:rsid w:val="002E5265"/>
    <w:rsid w:val="002F1CD6"/>
    <w:rsid w:val="002F2047"/>
    <w:rsid w:val="002F356E"/>
    <w:rsid w:val="002F438A"/>
    <w:rsid w:val="002F5CC1"/>
    <w:rsid w:val="00301957"/>
    <w:rsid w:val="00302D5B"/>
    <w:rsid w:val="003059CA"/>
    <w:rsid w:val="0031210A"/>
    <w:rsid w:val="00314C05"/>
    <w:rsid w:val="00315632"/>
    <w:rsid w:val="0031718A"/>
    <w:rsid w:val="003214CF"/>
    <w:rsid w:val="003235C5"/>
    <w:rsid w:val="0032707E"/>
    <w:rsid w:val="003300EB"/>
    <w:rsid w:val="00330E6C"/>
    <w:rsid w:val="00331ECC"/>
    <w:rsid w:val="00332F6D"/>
    <w:rsid w:val="00333AAD"/>
    <w:rsid w:val="00337F9A"/>
    <w:rsid w:val="00342A0D"/>
    <w:rsid w:val="00343283"/>
    <w:rsid w:val="00343657"/>
    <w:rsid w:val="003458C5"/>
    <w:rsid w:val="003471F4"/>
    <w:rsid w:val="00350AFB"/>
    <w:rsid w:val="00350B36"/>
    <w:rsid w:val="00351839"/>
    <w:rsid w:val="003519B0"/>
    <w:rsid w:val="00354E08"/>
    <w:rsid w:val="0035538A"/>
    <w:rsid w:val="00356F7A"/>
    <w:rsid w:val="00360551"/>
    <w:rsid w:val="00360C63"/>
    <w:rsid w:val="00360EEA"/>
    <w:rsid w:val="0036350B"/>
    <w:rsid w:val="0036353B"/>
    <w:rsid w:val="0036650F"/>
    <w:rsid w:val="00370566"/>
    <w:rsid w:val="003713E2"/>
    <w:rsid w:val="00371990"/>
    <w:rsid w:val="00374457"/>
    <w:rsid w:val="003757DF"/>
    <w:rsid w:val="00376314"/>
    <w:rsid w:val="00382292"/>
    <w:rsid w:val="003877F9"/>
    <w:rsid w:val="00395262"/>
    <w:rsid w:val="00395B3C"/>
    <w:rsid w:val="003965C2"/>
    <w:rsid w:val="0039712E"/>
    <w:rsid w:val="003974A1"/>
    <w:rsid w:val="003A727B"/>
    <w:rsid w:val="003B031F"/>
    <w:rsid w:val="003B0746"/>
    <w:rsid w:val="003B2A32"/>
    <w:rsid w:val="003B45B1"/>
    <w:rsid w:val="003B4A15"/>
    <w:rsid w:val="003B715D"/>
    <w:rsid w:val="003C121F"/>
    <w:rsid w:val="003C3EDA"/>
    <w:rsid w:val="003C46D6"/>
    <w:rsid w:val="003D17FD"/>
    <w:rsid w:val="003D24CF"/>
    <w:rsid w:val="003D2926"/>
    <w:rsid w:val="003D4388"/>
    <w:rsid w:val="003E0796"/>
    <w:rsid w:val="003E0D78"/>
    <w:rsid w:val="003E5102"/>
    <w:rsid w:val="003E5D38"/>
    <w:rsid w:val="003E65BE"/>
    <w:rsid w:val="003E6777"/>
    <w:rsid w:val="003E6C7F"/>
    <w:rsid w:val="003F0743"/>
    <w:rsid w:val="003F0D45"/>
    <w:rsid w:val="003F2876"/>
    <w:rsid w:val="003F375F"/>
    <w:rsid w:val="0040084F"/>
    <w:rsid w:val="00403F58"/>
    <w:rsid w:val="0040599D"/>
    <w:rsid w:val="00406984"/>
    <w:rsid w:val="00410345"/>
    <w:rsid w:val="00412AB9"/>
    <w:rsid w:val="004142B2"/>
    <w:rsid w:val="00414AAA"/>
    <w:rsid w:val="00415A77"/>
    <w:rsid w:val="004178AC"/>
    <w:rsid w:val="00417AD4"/>
    <w:rsid w:val="0042020B"/>
    <w:rsid w:val="004204C6"/>
    <w:rsid w:val="00421CB0"/>
    <w:rsid w:val="00422494"/>
    <w:rsid w:val="00422D71"/>
    <w:rsid w:val="00423FDA"/>
    <w:rsid w:val="00424CE6"/>
    <w:rsid w:val="00425418"/>
    <w:rsid w:val="00425AAF"/>
    <w:rsid w:val="0042649A"/>
    <w:rsid w:val="004268B5"/>
    <w:rsid w:val="00430E0D"/>
    <w:rsid w:val="004319E7"/>
    <w:rsid w:val="00431C2C"/>
    <w:rsid w:val="00433331"/>
    <w:rsid w:val="004333AB"/>
    <w:rsid w:val="004347C6"/>
    <w:rsid w:val="00435A48"/>
    <w:rsid w:val="0043795E"/>
    <w:rsid w:val="00442CDD"/>
    <w:rsid w:val="00442EC3"/>
    <w:rsid w:val="00450AA8"/>
    <w:rsid w:val="00451AB0"/>
    <w:rsid w:val="00451F82"/>
    <w:rsid w:val="00452AA1"/>
    <w:rsid w:val="00454D7C"/>
    <w:rsid w:val="00456B7D"/>
    <w:rsid w:val="00460037"/>
    <w:rsid w:val="004617D5"/>
    <w:rsid w:val="00464223"/>
    <w:rsid w:val="00464A85"/>
    <w:rsid w:val="004660B4"/>
    <w:rsid w:val="00466960"/>
    <w:rsid w:val="00467C55"/>
    <w:rsid w:val="004723F6"/>
    <w:rsid w:val="004740E8"/>
    <w:rsid w:val="004854F7"/>
    <w:rsid w:val="00486323"/>
    <w:rsid w:val="00486761"/>
    <w:rsid w:val="00491F5D"/>
    <w:rsid w:val="00495FD3"/>
    <w:rsid w:val="004A0EE7"/>
    <w:rsid w:val="004A2D0C"/>
    <w:rsid w:val="004A4E50"/>
    <w:rsid w:val="004A5368"/>
    <w:rsid w:val="004A5A58"/>
    <w:rsid w:val="004A77A5"/>
    <w:rsid w:val="004B1A19"/>
    <w:rsid w:val="004B1FD9"/>
    <w:rsid w:val="004B283B"/>
    <w:rsid w:val="004B2B20"/>
    <w:rsid w:val="004B3226"/>
    <w:rsid w:val="004B7474"/>
    <w:rsid w:val="004C0E59"/>
    <w:rsid w:val="004C6A2C"/>
    <w:rsid w:val="004D208F"/>
    <w:rsid w:val="004D29D6"/>
    <w:rsid w:val="004D3A6B"/>
    <w:rsid w:val="004D5AA4"/>
    <w:rsid w:val="004D6529"/>
    <w:rsid w:val="004D79E0"/>
    <w:rsid w:val="004E2FFA"/>
    <w:rsid w:val="004E380A"/>
    <w:rsid w:val="004E49D1"/>
    <w:rsid w:val="004E6E37"/>
    <w:rsid w:val="004F206E"/>
    <w:rsid w:val="004F28F1"/>
    <w:rsid w:val="004F3292"/>
    <w:rsid w:val="004F3915"/>
    <w:rsid w:val="004F559B"/>
    <w:rsid w:val="004F5EED"/>
    <w:rsid w:val="004F7014"/>
    <w:rsid w:val="00501AAA"/>
    <w:rsid w:val="0050428F"/>
    <w:rsid w:val="00506BBB"/>
    <w:rsid w:val="00506FDA"/>
    <w:rsid w:val="00512644"/>
    <w:rsid w:val="005249B1"/>
    <w:rsid w:val="00524AC3"/>
    <w:rsid w:val="00530735"/>
    <w:rsid w:val="005339E9"/>
    <w:rsid w:val="00533EA8"/>
    <w:rsid w:val="00534581"/>
    <w:rsid w:val="005351BB"/>
    <w:rsid w:val="005354F1"/>
    <w:rsid w:val="00542A9C"/>
    <w:rsid w:val="00543274"/>
    <w:rsid w:val="00544556"/>
    <w:rsid w:val="00544F83"/>
    <w:rsid w:val="00545032"/>
    <w:rsid w:val="005454D5"/>
    <w:rsid w:val="005478A3"/>
    <w:rsid w:val="00551FDB"/>
    <w:rsid w:val="0055615C"/>
    <w:rsid w:val="00556F4F"/>
    <w:rsid w:val="005572D9"/>
    <w:rsid w:val="005578A4"/>
    <w:rsid w:val="0056071D"/>
    <w:rsid w:val="0056082A"/>
    <w:rsid w:val="0056235D"/>
    <w:rsid w:val="00563336"/>
    <w:rsid w:val="005638A2"/>
    <w:rsid w:val="00563CF4"/>
    <w:rsid w:val="00564298"/>
    <w:rsid w:val="00567873"/>
    <w:rsid w:val="005806C1"/>
    <w:rsid w:val="005808FB"/>
    <w:rsid w:val="00580AAC"/>
    <w:rsid w:val="00582F1E"/>
    <w:rsid w:val="00583F00"/>
    <w:rsid w:val="0058588B"/>
    <w:rsid w:val="005877C2"/>
    <w:rsid w:val="00592230"/>
    <w:rsid w:val="005945E0"/>
    <w:rsid w:val="00596463"/>
    <w:rsid w:val="00597F45"/>
    <w:rsid w:val="005A7D50"/>
    <w:rsid w:val="005B0C56"/>
    <w:rsid w:val="005B2494"/>
    <w:rsid w:val="005B25DF"/>
    <w:rsid w:val="005B6016"/>
    <w:rsid w:val="005B6A0B"/>
    <w:rsid w:val="005C79FE"/>
    <w:rsid w:val="005D01B1"/>
    <w:rsid w:val="005D4D47"/>
    <w:rsid w:val="005D5C77"/>
    <w:rsid w:val="005D66C4"/>
    <w:rsid w:val="005E17D8"/>
    <w:rsid w:val="005E4B36"/>
    <w:rsid w:val="005E5AB1"/>
    <w:rsid w:val="005E7498"/>
    <w:rsid w:val="005E7999"/>
    <w:rsid w:val="005F0193"/>
    <w:rsid w:val="005F60E6"/>
    <w:rsid w:val="00600F2D"/>
    <w:rsid w:val="00603F88"/>
    <w:rsid w:val="00604D83"/>
    <w:rsid w:val="00625F6B"/>
    <w:rsid w:val="00626104"/>
    <w:rsid w:val="00631632"/>
    <w:rsid w:val="00635137"/>
    <w:rsid w:val="006355F5"/>
    <w:rsid w:val="00635D31"/>
    <w:rsid w:val="00636792"/>
    <w:rsid w:val="00637559"/>
    <w:rsid w:val="00637E5B"/>
    <w:rsid w:val="00641851"/>
    <w:rsid w:val="00643B79"/>
    <w:rsid w:val="00644A10"/>
    <w:rsid w:val="00645E5F"/>
    <w:rsid w:val="006468CF"/>
    <w:rsid w:val="00650C06"/>
    <w:rsid w:val="00651AAB"/>
    <w:rsid w:val="0066278E"/>
    <w:rsid w:val="00666D7C"/>
    <w:rsid w:val="006718E5"/>
    <w:rsid w:val="00671B01"/>
    <w:rsid w:val="00674443"/>
    <w:rsid w:val="00680844"/>
    <w:rsid w:val="006832EB"/>
    <w:rsid w:val="0068378E"/>
    <w:rsid w:val="006837B6"/>
    <w:rsid w:val="006837E4"/>
    <w:rsid w:val="00685F47"/>
    <w:rsid w:val="00687C9A"/>
    <w:rsid w:val="006956DA"/>
    <w:rsid w:val="006962F8"/>
    <w:rsid w:val="006B0E47"/>
    <w:rsid w:val="006B119F"/>
    <w:rsid w:val="006B5A46"/>
    <w:rsid w:val="006C01A4"/>
    <w:rsid w:val="006C41D6"/>
    <w:rsid w:val="006C5FE3"/>
    <w:rsid w:val="006D1EC2"/>
    <w:rsid w:val="006D434E"/>
    <w:rsid w:val="006E0AE9"/>
    <w:rsid w:val="006E13CB"/>
    <w:rsid w:val="006E51B6"/>
    <w:rsid w:val="006E54F9"/>
    <w:rsid w:val="006E75AE"/>
    <w:rsid w:val="006F06D3"/>
    <w:rsid w:val="006F3215"/>
    <w:rsid w:val="006F3269"/>
    <w:rsid w:val="006F46E4"/>
    <w:rsid w:val="006F502A"/>
    <w:rsid w:val="00700E81"/>
    <w:rsid w:val="007058A3"/>
    <w:rsid w:val="00705B95"/>
    <w:rsid w:val="00713E69"/>
    <w:rsid w:val="00716986"/>
    <w:rsid w:val="00722119"/>
    <w:rsid w:val="00724197"/>
    <w:rsid w:val="00727CA0"/>
    <w:rsid w:val="00730BAA"/>
    <w:rsid w:val="00736100"/>
    <w:rsid w:val="00741727"/>
    <w:rsid w:val="00742E7C"/>
    <w:rsid w:val="00743362"/>
    <w:rsid w:val="00743B23"/>
    <w:rsid w:val="00744C99"/>
    <w:rsid w:val="007471AB"/>
    <w:rsid w:val="00750D2D"/>
    <w:rsid w:val="00751099"/>
    <w:rsid w:val="00752C51"/>
    <w:rsid w:val="007530FF"/>
    <w:rsid w:val="00753822"/>
    <w:rsid w:val="00760DB2"/>
    <w:rsid w:val="00761823"/>
    <w:rsid w:val="007621B3"/>
    <w:rsid w:val="00762862"/>
    <w:rsid w:val="00765E65"/>
    <w:rsid w:val="007672E6"/>
    <w:rsid w:val="007675C4"/>
    <w:rsid w:val="00770B06"/>
    <w:rsid w:val="007725E2"/>
    <w:rsid w:val="00772C31"/>
    <w:rsid w:val="007743CD"/>
    <w:rsid w:val="007818D9"/>
    <w:rsid w:val="00781B1A"/>
    <w:rsid w:val="00782D2E"/>
    <w:rsid w:val="0078632D"/>
    <w:rsid w:val="00792ADC"/>
    <w:rsid w:val="007933A7"/>
    <w:rsid w:val="00796008"/>
    <w:rsid w:val="0079656D"/>
    <w:rsid w:val="007A0143"/>
    <w:rsid w:val="007A16E8"/>
    <w:rsid w:val="007A1B5C"/>
    <w:rsid w:val="007A1B5D"/>
    <w:rsid w:val="007A1BBC"/>
    <w:rsid w:val="007A29F2"/>
    <w:rsid w:val="007A6391"/>
    <w:rsid w:val="007A7013"/>
    <w:rsid w:val="007B5A1F"/>
    <w:rsid w:val="007B6227"/>
    <w:rsid w:val="007B6400"/>
    <w:rsid w:val="007C497F"/>
    <w:rsid w:val="007D3937"/>
    <w:rsid w:val="007D3A14"/>
    <w:rsid w:val="007D3D53"/>
    <w:rsid w:val="007D530A"/>
    <w:rsid w:val="007E260A"/>
    <w:rsid w:val="007E280C"/>
    <w:rsid w:val="007E367B"/>
    <w:rsid w:val="007E4139"/>
    <w:rsid w:val="007E6A1C"/>
    <w:rsid w:val="007F0489"/>
    <w:rsid w:val="007F2BD6"/>
    <w:rsid w:val="007F3D2D"/>
    <w:rsid w:val="007F40A4"/>
    <w:rsid w:val="008008A5"/>
    <w:rsid w:val="00800CF2"/>
    <w:rsid w:val="008015F0"/>
    <w:rsid w:val="00804625"/>
    <w:rsid w:val="00805D15"/>
    <w:rsid w:val="00807113"/>
    <w:rsid w:val="00814578"/>
    <w:rsid w:val="00820F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69F2"/>
    <w:rsid w:val="00857DFE"/>
    <w:rsid w:val="00862E4C"/>
    <w:rsid w:val="008640AC"/>
    <w:rsid w:val="0086589C"/>
    <w:rsid w:val="008667D6"/>
    <w:rsid w:val="008678A0"/>
    <w:rsid w:val="0087177C"/>
    <w:rsid w:val="008721AD"/>
    <w:rsid w:val="0087306B"/>
    <w:rsid w:val="0087445F"/>
    <w:rsid w:val="00877342"/>
    <w:rsid w:val="00881E5B"/>
    <w:rsid w:val="008850BC"/>
    <w:rsid w:val="00886E55"/>
    <w:rsid w:val="008924FD"/>
    <w:rsid w:val="008971C2"/>
    <w:rsid w:val="008A25A0"/>
    <w:rsid w:val="008A39A5"/>
    <w:rsid w:val="008A4930"/>
    <w:rsid w:val="008A51F3"/>
    <w:rsid w:val="008A5B02"/>
    <w:rsid w:val="008B1775"/>
    <w:rsid w:val="008B2A3C"/>
    <w:rsid w:val="008B2B3C"/>
    <w:rsid w:val="008B4697"/>
    <w:rsid w:val="008B56BC"/>
    <w:rsid w:val="008B588C"/>
    <w:rsid w:val="008C09BF"/>
    <w:rsid w:val="008C1578"/>
    <w:rsid w:val="008C252A"/>
    <w:rsid w:val="008C3267"/>
    <w:rsid w:val="008C7BF5"/>
    <w:rsid w:val="008D1696"/>
    <w:rsid w:val="008D5A85"/>
    <w:rsid w:val="008D5E95"/>
    <w:rsid w:val="008E0C1F"/>
    <w:rsid w:val="008E0DF0"/>
    <w:rsid w:val="008E1062"/>
    <w:rsid w:val="008E1E0F"/>
    <w:rsid w:val="008E3E97"/>
    <w:rsid w:val="008E492C"/>
    <w:rsid w:val="008E74BE"/>
    <w:rsid w:val="008F0255"/>
    <w:rsid w:val="008F066A"/>
    <w:rsid w:val="008F4407"/>
    <w:rsid w:val="008F7287"/>
    <w:rsid w:val="00902321"/>
    <w:rsid w:val="00904060"/>
    <w:rsid w:val="00905B00"/>
    <w:rsid w:val="0090713A"/>
    <w:rsid w:val="00907A2A"/>
    <w:rsid w:val="00907CE8"/>
    <w:rsid w:val="00910B6C"/>
    <w:rsid w:val="0091656B"/>
    <w:rsid w:val="00917252"/>
    <w:rsid w:val="00920225"/>
    <w:rsid w:val="00920DFD"/>
    <w:rsid w:val="00921988"/>
    <w:rsid w:val="00921FDB"/>
    <w:rsid w:val="00925842"/>
    <w:rsid w:val="009265C5"/>
    <w:rsid w:val="00927D31"/>
    <w:rsid w:val="0093193B"/>
    <w:rsid w:val="00932F8F"/>
    <w:rsid w:val="009337B2"/>
    <w:rsid w:val="00933ABA"/>
    <w:rsid w:val="00941740"/>
    <w:rsid w:val="00946BA0"/>
    <w:rsid w:val="00947016"/>
    <w:rsid w:val="009472B1"/>
    <w:rsid w:val="0095046F"/>
    <w:rsid w:val="009513BF"/>
    <w:rsid w:val="00951A13"/>
    <w:rsid w:val="00951ED4"/>
    <w:rsid w:val="00952EA6"/>
    <w:rsid w:val="00962411"/>
    <w:rsid w:val="0096250D"/>
    <w:rsid w:val="00962681"/>
    <w:rsid w:val="00963735"/>
    <w:rsid w:val="00966777"/>
    <w:rsid w:val="009668DC"/>
    <w:rsid w:val="0097556A"/>
    <w:rsid w:val="00975B80"/>
    <w:rsid w:val="0097649F"/>
    <w:rsid w:val="0097774A"/>
    <w:rsid w:val="00977ED1"/>
    <w:rsid w:val="009809AE"/>
    <w:rsid w:val="009810ED"/>
    <w:rsid w:val="00982913"/>
    <w:rsid w:val="00982F89"/>
    <w:rsid w:val="0098340C"/>
    <w:rsid w:val="009836DB"/>
    <w:rsid w:val="009842E6"/>
    <w:rsid w:val="00984FC6"/>
    <w:rsid w:val="0098778A"/>
    <w:rsid w:val="00990C00"/>
    <w:rsid w:val="00993B18"/>
    <w:rsid w:val="009940A6"/>
    <w:rsid w:val="009A17E5"/>
    <w:rsid w:val="009A2E1E"/>
    <w:rsid w:val="009A2E5D"/>
    <w:rsid w:val="009A3581"/>
    <w:rsid w:val="009A4158"/>
    <w:rsid w:val="009A634C"/>
    <w:rsid w:val="009A73DD"/>
    <w:rsid w:val="009A7611"/>
    <w:rsid w:val="009B4F53"/>
    <w:rsid w:val="009B545E"/>
    <w:rsid w:val="009B669D"/>
    <w:rsid w:val="009B6C56"/>
    <w:rsid w:val="009C26E4"/>
    <w:rsid w:val="009C274C"/>
    <w:rsid w:val="009C4B3C"/>
    <w:rsid w:val="009D12C2"/>
    <w:rsid w:val="009D2516"/>
    <w:rsid w:val="009D2C0F"/>
    <w:rsid w:val="009D38E1"/>
    <w:rsid w:val="009D4425"/>
    <w:rsid w:val="009D59A7"/>
    <w:rsid w:val="009D5B62"/>
    <w:rsid w:val="009E21B0"/>
    <w:rsid w:val="009E2AA4"/>
    <w:rsid w:val="009E3637"/>
    <w:rsid w:val="009F0627"/>
    <w:rsid w:val="009F0662"/>
    <w:rsid w:val="009F0749"/>
    <w:rsid w:val="009F11EB"/>
    <w:rsid w:val="009F1E7D"/>
    <w:rsid w:val="009F361E"/>
    <w:rsid w:val="009F3E60"/>
    <w:rsid w:val="009F5C2B"/>
    <w:rsid w:val="009F5C36"/>
    <w:rsid w:val="009F6113"/>
    <w:rsid w:val="00A00E3F"/>
    <w:rsid w:val="00A0142F"/>
    <w:rsid w:val="00A02F32"/>
    <w:rsid w:val="00A030C0"/>
    <w:rsid w:val="00A06B10"/>
    <w:rsid w:val="00A06F7F"/>
    <w:rsid w:val="00A070EE"/>
    <w:rsid w:val="00A135F0"/>
    <w:rsid w:val="00A15360"/>
    <w:rsid w:val="00A175AD"/>
    <w:rsid w:val="00A22686"/>
    <w:rsid w:val="00A238D4"/>
    <w:rsid w:val="00A25EE7"/>
    <w:rsid w:val="00A27D06"/>
    <w:rsid w:val="00A30A54"/>
    <w:rsid w:val="00A31526"/>
    <w:rsid w:val="00A31E92"/>
    <w:rsid w:val="00A347A0"/>
    <w:rsid w:val="00A35A28"/>
    <w:rsid w:val="00A35F2E"/>
    <w:rsid w:val="00A37FCB"/>
    <w:rsid w:val="00A40186"/>
    <w:rsid w:val="00A47838"/>
    <w:rsid w:val="00A5218E"/>
    <w:rsid w:val="00A52A01"/>
    <w:rsid w:val="00A53A32"/>
    <w:rsid w:val="00A53DE9"/>
    <w:rsid w:val="00A53DF1"/>
    <w:rsid w:val="00A53F17"/>
    <w:rsid w:val="00A544B3"/>
    <w:rsid w:val="00A54D35"/>
    <w:rsid w:val="00A61816"/>
    <w:rsid w:val="00A63172"/>
    <w:rsid w:val="00A64030"/>
    <w:rsid w:val="00A751DD"/>
    <w:rsid w:val="00A75886"/>
    <w:rsid w:val="00A774ED"/>
    <w:rsid w:val="00A8370E"/>
    <w:rsid w:val="00A9182C"/>
    <w:rsid w:val="00A96D83"/>
    <w:rsid w:val="00AA0E8F"/>
    <w:rsid w:val="00AA2A87"/>
    <w:rsid w:val="00AA3338"/>
    <w:rsid w:val="00AA3AD1"/>
    <w:rsid w:val="00AB399A"/>
    <w:rsid w:val="00AB3D9E"/>
    <w:rsid w:val="00AB5A30"/>
    <w:rsid w:val="00AB635A"/>
    <w:rsid w:val="00AB67FD"/>
    <w:rsid w:val="00AC1518"/>
    <w:rsid w:val="00AC470B"/>
    <w:rsid w:val="00AC4789"/>
    <w:rsid w:val="00AC523B"/>
    <w:rsid w:val="00AD105B"/>
    <w:rsid w:val="00AD26F5"/>
    <w:rsid w:val="00AD341D"/>
    <w:rsid w:val="00AD41CE"/>
    <w:rsid w:val="00AD4D6E"/>
    <w:rsid w:val="00AD520F"/>
    <w:rsid w:val="00AD6B2C"/>
    <w:rsid w:val="00AE13ED"/>
    <w:rsid w:val="00AE62DC"/>
    <w:rsid w:val="00AF1BAA"/>
    <w:rsid w:val="00AF1EE3"/>
    <w:rsid w:val="00AF2DCB"/>
    <w:rsid w:val="00AF3660"/>
    <w:rsid w:val="00AF505B"/>
    <w:rsid w:val="00AF65C6"/>
    <w:rsid w:val="00B00553"/>
    <w:rsid w:val="00B01812"/>
    <w:rsid w:val="00B019ED"/>
    <w:rsid w:val="00B033BD"/>
    <w:rsid w:val="00B051E1"/>
    <w:rsid w:val="00B05E35"/>
    <w:rsid w:val="00B1055D"/>
    <w:rsid w:val="00B1346E"/>
    <w:rsid w:val="00B22AB3"/>
    <w:rsid w:val="00B24836"/>
    <w:rsid w:val="00B25DF9"/>
    <w:rsid w:val="00B2789B"/>
    <w:rsid w:val="00B30C31"/>
    <w:rsid w:val="00B3256E"/>
    <w:rsid w:val="00B328FC"/>
    <w:rsid w:val="00B32B5D"/>
    <w:rsid w:val="00B3611E"/>
    <w:rsid w:val="00B3635C"/>
    <w:rsid w:val="00B36970"/>
    <w:rsid w:val="00B406CE"/>
    <w:rsid w:val="00B40EB1"/>
    <w:rsid w:val="00B436D7"/>
    <w:rsid w:val="00B452B3"/>
    <w:rsid w:val="00B45324"/>
    <w:rsid w:val="00B45829"/>
    <w:rsid w:val="00B51CE7"/>
    <w:rsid w:val="00B53BB8"/>
    <w:rsid w:val="00B60DFD"/>
    <w:rsid w:val="00B6516C"/>
    <w:rsid w:val="00B65CBC"/>
    <w:rsid w:val="00B67148"/>
    <w:rsid w:val="00B6744D"/>
    <w:rsid w:val="00B71D77"/>
    <w:rsid w:val="00B74085"/>
    <w:rsid w:val="00B77F18"/>
    <w:rsid w:val="00B814B3"/>
    <w:rsid w:val="00B83939"/>
    <w:rsid w:val="00B84BCA"/>
    <w:rsid w:val="00B853C3"/>
    <w:rsid w:val="00B868AB"/>
    <w:rsid w:val="00B91B93"/>
    <w:rsid w:val="00B94458"/>
    <w:rsid w:val="00BA3C3E"/>
    <w:rsid w:val="00BA577D"/>
    <w:rsid w:val="00BA5930"/>
    <w:rsid w:val="00BA74C6"/>
    <w:rsid w:val="00BB1FCD"/>
    <w:rsid w:val="00BB28AC"/>
    <w:rsid w:val="00BB4A4F"/>
    <w:rsid w:val="00BB793E"/>
    <w:rsid w:val="00BC0CE2"/>
    <w:rsid w:val="00BC1160"/>
    <w:rsid w:val="00BC3074"/>
    <w:rsid w:val="00BC7246"/>
    <w:rsid w:val="00BD3863"/>
    <w:rsid w:val="00BD3F24"/>
    <w:rsid w:val="00BD46C0"/>
    <w:rsid w:val="00BD4710"/>
    <w:rsid w:val="00BD588E"/>
    <w:rsid w:val="00BD6229"/>
    <w:rsid w:val="00BD676E"/>
    <w:rsid w:val="00BD6EBA"/>
    <w:rsid w:val="00BE5DC4"/>
    <w:rsid w:val="00BE60A4"/>
    <w:rsid w:val="00BE7924"/>
    <w:rsid w:val="00BF01FF"/>
    <w:rsid w:val="00BF50B6"/>
    <w:rsid w:val="00BF77D6"/>
    <w:rsid w:val="00C02285"/>
    <w:rsid w:val="00C063EB"/>
    <w:rsid w:val="00C14726"/>
    <w:rsid w:val="00C16DCC"/>
    <w:rsid w:val="00C17868"/>
    <w:rsid w:val="00C202D0"/>
    <w:rsid w:val="00C22C8A"/>
    <w:rsid w:val="00C241BC"/>
    <w:rsid w:val="00C25B63"/>
    <w:rsid w:val="00C302AA"/>
    <w:rsid w:val="00C31074"/>
    <w:rsid w:val="00C31DB8"/>
    <w:rsid w:val="00C3736E"/>
    <w:rsid w:val="00C410D0"/>
    <w:rsid w:val="00C41434"/>
    <w:rsid w:val="00C4309C"/>
    <w:rsid w:val="00C43216"/>
    <w:rsid w:val="00C43DAD"/>
    <w:rsid w:val="00C46065"/>
    <w:rsid w:val="00C50635"/>
    <w:rsid w:val="00C53606"/>
    <w:rsid w:val="00C5544B"/>
    <w:rsid w:val="00C56CE2"/>
    <w:rsid w:val="00C57DE3"/>
    <w:rsid w:val="00C62DA0"/>
    <w:rsid w:val="00C63295"/>
    <w:rsid w:val="00C632AC"/>
    <w:rsid w:val="00C63EA3"/>
    <w:rsid w:val="00C645FE"/>
    <w:rsid w:val="00C6573D"/>
    <w:rsid w:val="00C65EB6"/>
    <w:rsid w:val="00C66249"/>
    <w:rsid w:val="00C710E9"/>
    <w:rsid w:val="00C71455"/>
    <w:rsid w:val="00C7200D"/>
    <w:rsid w:val="00C74FBC"/>
    <w:rsid w:val="00C7517A"/>
    <w:rsid w:val="00C80862"/>
    <w:rsid w:val="00C80FAC"/>
    <w:rsid w:val="00C81230"/>
    <w:rsid w:val="00C812F8"/>
    <w:rsid w:val="00C8375F"/>
    <w:rsid w:val="00C8569A"/>
    <w:rsid w:val="00C909EE"/>
    <w:rsid w:val="00C95183"/>
    <w:rsid w:val="00CA341D"/>
    <w:rsid w:val="00CA5B04"/>
    <w:rsid w:val="00CA601D"/>
    <w:rsid w:val="00CB304D"/>
    <w:rsid w:val="00CB4A27"/>
    <w:rsid w:val="00CB4EDA"/>
    <w:rsid w:val="00CB598A"/>
    <w:rsid w:val="00CB6445"/>
    <w:rsid w:val="00CB7108"/>
    <w:rsid w:val="00CC5D05"/>
    <w:rsid w:val="00CD2B32"/>
    <w:rsid w:val="00CD4949"/>
    <w:rsid w:val="00CD665A"/>
    <w:rsid w:val="00CD6AAE"/>
    <w:rsid w:val="00CD76FC"/>
    <w:rsid w:val="00CE108C"/>
    <w:rsid w:val="00CE2B69"/>
    <w:rsid w:val="00CE338B"/>
    <w:rsid w:val="00CE50FD"/>
    <w:rsid w:val="00CE74EA"/>
    <w:rsid w:val="00CE7CC2"/>
    <w:rsid w:val="00CF1E8E"/>
    <w:rsid w:val="00CF1EF4"/>
    <w:rsid w:val="00CF37DE"/>
    <w:rsid w:val="00CF3AD1"/>
    <w:rsid w:val="00CF48C7"/>
    <w:rsid w:val="00CF655A"/>
    <w:rsid w:val="00CF6B50"/>
    <w:rsid w:val="00CF7849"/>
    <w:rsid w:val="00D012AC"/>
    <w:rsid w:val="00D06D7C"/>
    <w:rsid w:val="00D07044"/>
    <w:rsid w:val="00D1430F"/>
    <w:rsid w:val="00D145BE"/>
    <w:rsid w:val="00D208AB"/>
    <w:rsid w:val="00D2341C"/>
    <w:rsid w:val="00D237EC"/>
    <w:rsid w:val="00D30BAF"/>
    <w:rsid w:val="00D33330"/>
    <w:rsid w:val="00D34491"/>
    <w:rsid w:val="00D34A46"/>
    <w:rsid w:val="00D34EF1"/>
    <w:rsid w:val="00D36DB9"/>
    <w:rsid w:val="00D37A39"/>
    <w:rsid w:val="00D43E1B"/>
    <w:rsid w:val="00D537C1"/>
    <w:rsid w:val="00D53B4D"/>
    <w:rsid w:val="00D557FD"/>
    <w:rsid w:val="00D55E06"/>
    <w:rsid w:val="00D561E3"/>
    <w:rsid w:val="00D57384"/>
    <w:rsid w:val="00D63B24"/>
    <w:rsid w:val="00D64F15"/>
    <w:rsid w:val="00D71115"/>
    <w:rsid w:val="00D846C1"/>
    <w:rsid w:val="00D85FB4"/>
    <w:rsid w:val="00D922B3"/>
    <w:rsid w:val="00D92850"/>
    <w:rsid w:val="00D94683"/>
    <w:rsid w:val="00D947F2"/>
    <w:rsid w:val="00D96980"/>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9B"/>
    <w:rsid w:val="00DC1DA7"/>
    <w:rsid w:val="00DC2811"/>
    <w:rsid w:val="00DC2B7E"/>
    <w:rsid w:val="00DC4F05"/>
    <w:rsid w:val="00DC5ECE"/>
    <w:rsid w:val="00DD1D0B"/>
    <w:rsid w:val="00DD401C"/>
    <w:rsid w:val="00DD4691"/>
    <w:rsid w:val="00DE0EE4"/>
    <w:rsid w:val="00DE2881"/>
    <w:rsid w:val="00DE2DE0"/>
    <w:rsid w:val="00DE3AA2"/>
    <w:rsid w:val="00DE4CAA"/>
    <w:rsid w:val="00DE56BE"/>
    <w:rsid w:val="00DF4008"/>
    <w:rsid w:val="00DF4337"/>
    <w:rsid w:val="00DF4932"/>
    <w:rsid w:val="00DF7E4A"/>
    <w:rsid w:val="00E07F52"/>
    <w:rsid w:val="00E10F7A"/>
    <w:rsid w:val="00E13FBC"/>
    <w:rsid w:val="00E14212"/>
    <w:rsid w:val="00E159F9"/>
    <w:rsid w:val="00E203DA"/>
    <w:rsid w:val="00E23EB9"/>
    <w:rsid w:val="00E243FB"/>
    <w:rsid w:val="00E27B3E"/>
    <w:rsid w:val="00E46F37"/>
    <w:rsid w:val="00E51BCF"/>
    <w:rsid w:val="00E52FFD"/>
    <w:rsid w:val="00E54A66"/>
    <w:rsid w:val="00E55A13"/>
    <w:rsid w:val="00E55C49"/>
    <w:rsid w:val="00E60F96"/>
    <w:rsid w:val="00E61F7A"/>
    <w:rsid w:val="00E63086"/>
    <w:rsid w:val="00E651EB"/>
    <w:rsid w:val="00E6540B"/>
    <w:rsid w:val="00E655B6"/>
    <w:rsid w:val="00E75859"/>
    <w:rsid w:val="00E7760A"/>
    <w:rsid w:val="00E8152F"/>
    <w:rsid w:val="00E83317"/>
    <w:rsid w:val="00E83E61"/>
    <w:rsid w:val="00E8487C"/>
    <w:rsid w:val="00E874E8"/>
    <w:rsid w:val="00E9253E"/>
    <w:rsid w:val="00E9420D"/>
    <w:rsid w:val="00E97509"/>
    <w:rsid w:val="00EA2994"/>
    <w:rsid w:val="00EA3C25"/>
    <w:rsid w:val="00EA4DDF"/>
    <w:rsid w:val="00EA566A"/>
    <w:rsid w:val="00EB2E6B"/>
    <w:rsid w:val="00EB3295"/>
    <w:rsid w:val="00EB4375"/>
    <w:rsid w:val="00EB6D68"/>
    <w:rsid w:val="00EC23BC"/>
    <w:rsid w:val="00EC2EA7"/>
    <w:rsid w:val="00ED0AE5"/>
    <w:rsid w:val="00ED2E98"/>
    <w:rsid w:val="00ED66A7"/>
    <w:rsid w:val="00ED770B"/>
    <w:rsid w:val="00EE1B09"/>
    <w:rsid w:val="00EE23BB"/>
    <w:rsid w:val="00EE346B"/>
    <w:rsid w:val="00EE70DA"/>
    <w:rsid w:val="00EF176F"/>
    <w:rsid w:val="00EF18ED"/>
    <w:rsid w:val="00EF3333"/>
    <w:rsid w:val="00EF4AD8"/>
    <w:rsid w:val="00F02572"/>
    <w:rsid w:val="00F0265F"/>
    <w:rsid w:val="00F03F6E"/>
    <w:rsid w:val="00F05574"/>
    <w:rsid w:val="00F069C5"/>
    <w:rsid w:val="00F0794E"/>
    <w:rsid w:val="00F10C7C"/>
    <w:rsid w:val="00F14994"/>
    <w:rsid w:val="00F15347"/>
    <w:rsid w:val="00F23576"/>
    <w:rsid w:val="00F245A6"/>
    <w:rsid w:val="00F25A03"/>
    <w:rsid w:val="00F34EC5"/>
    <w:rsid w:val="00F36494"/>
    <w:rsid w:val="00F37556"/>
    <w:rsid w:val="00F40B70"/>
    <w:rsid w:val="00F4312F"/>
    <w:rsid w:val="00F45929"/>
    <w:rsid w:val="00F459CE"/>
    <w:rsid w:val="00F46630"/>
    <w:rsid w:val="00F51831"/>
    <w:rsid w:val="00F51C80"/>
    <w:rsid w:val="00F53B2B"/>
    <w:rsid w:val="00F53D67"/>
    <w:rsid w:val="00F54B93"/>
    <w:rsid w:val="00F56098"/>
    <w:rsid w:val="00F57047"/>
    <w:rsid w:val="00F63636"/>
    <w:rsid w:val="00F73D2E"/>
    <w:rsid w:val="00F75446"/>
    <w:rsid w:val="00F756C6"/>
    <w:rsid w:val="00F766F7"/>
    <w:rsid w:val="00F76ED7"/>
    <w:rsid w:val="00F77DEB"/>
    <w:rsid w:val="00F81C7D"/>
    <w:rsid w:val="00F82870"/>
    <w:rsid w:val="00F96A5E"/>
    <w:rsid w:val="00FA0225"/>
    <w:rsid w:val="00FA1F5D"/>
    <w:rsid w:val="00FA40AD"/>
    <w:rsid w:val="00FA4C58"/>
    <w:rsid w:val="00FA72EE"/>
    <w:rsid w:val="00FB0A26"/>
    <w:rsid w:val="00FB0D17"/>
    <w:rsid w:val="00FB2C5C"/>
    <w:rsid w:val="00FD2784"/>
    <w:rsid w:val="00FD6490"/>
    <w:rsid w:val="00FD7CE8"/>
    <w:rsid w:val="00FE0F43"/>
    <w:rsid w:val="00FE36D8"/>
    <w:rsid w:val="00FE3CFE"/>
    <w:rsid w:val="00FE56D0"/>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uiPriority w:val="99"/>
    <w:rsid w:val="00EA4DDF"/>
    <w:pPr>
      <w:tabs>
        <w:tab w:val="center" w:pos="4320"/>
        <w:tab w:val="right" w:pos="8640"/>
      </w:tabs>
    </w:pPr>
  </w:style>
  <w:style w:type="character" w:customStyle="1" w:styleId="FooterChar">
    <w:name w:val="Footer Char"/>
    <w:basedOn w:val="DefaultParagraphFont"/>
    <w:link w:val="Footer"/>
    <w:uiPriority w:val="99"/>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uiPriority w:val="59"/>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uiPriority w:val="99"/>
    <w:rsid w:val="00EA4DDF"/>
    <w:pPr>
      <w:tabs>
        <w:tab w:val="center" w:pos="4320"/>
        <w:tab w:val="right" w:pos="8640"/>
      </w:tabs>
    </w:pPr>
  </w:style>
  <w:style w:type="character" w:customStyle="1" w:styleId="FooterChar">
    <w:name w:val="Footer Char"/>
    <w:basedOn w:val="DefaultParagraphFont"/>
    <w:link w:val="Footer"/>
    <w:uiPriority w:val="99"/>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uiPriority w:val="59"/>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0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5616A-E73B-483E-B798-5BD502E8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C357156</Template>
  <TotalTime>4</TotalTime>
  <Pages>30</Pages>
  <Words>8164</Words>
  <Characters>46540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54595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Tracey Bell</cp:lastModifiedBy>
  <cp:revision>3</cp:revision>
  <cp:lastPrinted>2013-03-08T14:21:00Z</cp:lastPrinted>
  <dcterms:created xsi:type="dcterms:W3CDTF">2013-03-18T19:47:00Z</dcterms:created>
  <dcterms:modified xsi:type="dcterms:W3CDTF">2013-03-18T19:50:00Z</dcterms:modified>
</cp:coreProperties>
</file>