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BA8" w:rsidRPr="003C7BA8" w:rsidRDefault="003C7BA8" w:rsidP="003C7BA8">
      <w:pPr>
        <w:jc w:val="center"/>
        <w:rPr>
          <w:rStyle w:val="Emphasis"/>
          <w:b/>
          <w:i w:val="0"/>
          <w:sz w:val="32"/>
          <w:szCs w:val="32"/>
        </w:rPr>
      </w:pPr>
      <w:r w:rsidRPr="003C7BA8">
        <w:rPr>
          <w:rStyle w:val="Emphasis"/>
          <w:b/>
          <w:i w:val="0"/>
          <w:sz w:val="32"/>
          <w:szCs w:val="32"/>
        </w:rPr>
        <w:t xml:space="preserve">GAS University Transfer (GSU) Program Review  </w:t>
      </w:r>
      <w:bookmarkStart w:id="0" w:name="_GoBack"/>
      <w:bookmarkEnd w:id="0"/>
    </w:p>
    <w:p w:rsidR="003C7BA8" w:rsidRDefault="003C7BA8"/>
    <w:tbl>
      <w:tblPr>
        <w:tblW w:w="133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9"/>
        <w:gridCol w:w="6669"/>
      </w:tblGrid>
      <w:tr w:rsidR="00276F6B" w:rsidRPr="000C3BAA" w:rsidTr="000C3BAA">
        <w:tc>
          <w:tcPr>
            <w:tcW w:w="6669" w:type="dxa"/>
            <w:shd w:val="clear" w:color="auto" w:fill="C0C0C0"/>
            <w:tcMar>
              <w:top w:w="113" w:type="dxa"/>
              <w:bottom w:w="113" w:type="dxa"/>
            </w:tcMar>
          </w:tcPr>
          <w:p w:rsidR="00276F6B" w:rsidRPr="000C3BAA" w:rsidRDefault="00B546C7" w:rsidP="00276F6B">
            <w:pPr>
              <w:rPr>
                <w:rFonts w:cs="Arial"/>
                <w:b/>
              </w:rPr>
            </w:pPr>
            <w:r>
              <w:rPr>
                <w:rFonts w:cs="Arial"/>
                <w:b/>
                <w:sz w:val="28"/>
                <w:szCs w:val="28"/>
              </w:rPr>
              <w:t xml:space="preserve"> </w:t>
            </w:r>
            <w:r w:rsidR="00276F6B" w:rsidRPr="000C3BAA">
              <w:rPr>
                <w:rFonts w:cs="Arial"/>
                <w:b/>
              </w:rPr>
              <w:t>Indicator</w:t>
            </w:r>
          </w:p>
          <w:p w:rsidR="00276F6B" w:rsidRPr="000C3BAA" w:rsidRDefault="00276F6B" w:rsidP="00276F6B">
            <w:pPr>
              <w:rPr>
                <w:rFonts w:cs="Arial"/>
                <w:b/>
              </w:rPr>
            </w:pPr>
          </w:p>
          <w:p w:rsidR="00276F6B" w:rsidRPr="000C3BAA" w:rsidRDefault="00276F6B" w:rsidP="00276F6B">
            <w:pPr>
              <w:rPr>
                <w:rFonts w:cs="Arial"/>
                <w:b/>
              </w:rPr>
            </w:pPr>
            <w:r w:rsidRPr="000C3BAA">
              <w:rPr>
                <w:rFonts w:cs="Arial"/>
                <w:b/>
              </w:rPr>
              <w:t>1.0 Industry Trends</w:t>
            </w:r>
          </w:p>
        </w:tc>
        <w:tc>
          <w:tcPr>
            <w:tcW w:w="6669" w:type="dxa"/>
            <w:shd w:val="clear" w:color="auto" w:fill="C0C0C0"/>
            <w:tcMar>
              <w:top w:w="113" w:type="dxa"/>
              <w:bottom w:w="113" w:type="dxa"/>
            </w:tcMar>
          </w:tcPr>
          <w:p w:rsidR="00276F6B" w:rsidRPr="000C3BAA" w:rsidRDefault="00276F6B" w:rsidP="00276F6B">
            <w:pPr>
              <w:rPr>
                <w:rFonts w:cs="Arial"/>
                <w:b/>
              </w:rPr>
            </w:pPr>
          </w:p>
          <w:p w:rsidR="00276F6B" w:rsidRPr="000C3BAA" w:rsidRDefault="00276F6B" w:rsidP="00276F6B">
            <w:pPr>
              <w:rPr>
                <w:rFonts w:cs="Arial"/>
                <w:b/>
              </w:rPr>
            </w:pPr>
          </w:p>
          <w:p w:rsidR="00276F6B" w:rsidRPr="000C3BAA" w:rsidRDefault="00276F6B" w:rsidP="00276F6B">
            <w:pPr>
              <w:rPr>
                <w:rFonts w:cs="Arial"/>
                <w:b/>
                <w:sz w:val="28"/>
                <w:szCs w:val="28"/>
              </w:rPr>
            </w:pPr>
            <w:r w:rsidRPr="000C3BAA">
              <w:rPr>
                <w:rFonts w:cs="Arial"/>
                <w:b/>
              </w:rPr>
              <w:t>Summary</w:t>
            </w:r>
            <w:r w:rsidRPr="000C3BAA">
              <w:rPr>
                <w:rFonts w:cs="Arial"/>
                <w:b/>
                <w:lang w:val="en-CA"/>
              </w:rPr>
              <w:t xml:space="preserve"> of Key Findings</w:t>
            </w:r>
          </w:p>
        </w:tc>
      </w:tr>
      <w:tr w:rsidR="00276F6B" w:rsidRPr="000C3BAA" w:rsidTr="000C3BAA">
        <w:tc>
          <w:tcPr>
            <w:tcW w:w="6669" w:type="dxa"/>
            <w:tcMar>
              <w:top w:w="113" w:type="dxa"/>
              <w:bottom w:w="113" w:type="dxa"/>
            </w:tcMar>
          </w:tcPr>
          <w:p w:rsidR="00276F6B" w:rsidRPr="000C3BAA" w:rsidRDefault="00276F6B" w:rsidP="00276F6B">
            <w:pPr>
              <w:rPr>
                <w:rFonts w:cs="Arial"/>
                <w:b/>
                <w:bCs/>
                <w:sz w:val="20"/>
              </w:rPr>
            </w:pPr>
            <w:r w:rsidRPr="000C3BAA">
              <w:rPr>
                <w:rFonts w:cs="Arial"/>
                <w:b/>
                <w:bCs/>
                <w:sz w:val="20"/>
              </w:rPr>
              <w:t>1.1 Sectoral Standards and Industry Trends</w:t>
            </w:r>
          </w:p>
          <w:p w:rsidR="00276F6B" w:rsidRPr="000C3BAA" w:rsidRDefault="00276F6B" w:rsidP="00276F6B">
            <w:pPr>
              <w:rPr>
                <w:rFonts w:cs="Arial"/>
                <w:b/>
                <w:bCs/>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1"/>
              </w:numPr>
              <w:tabs>
                <w:tab w:val="clear" w:pos="720"/>
                <w:tab w:val="num" w:pos="360"/>
              </w:tabs>
              <w:ind w:left="360"/>
              <w:rPr>
                <w:rFonts w:cs="Arial"/>
                <w:sz w:val="20"/>
              </w:rPr>
            </w:pPr>
            <w:r w:rsidRPr="000C3BAA">
              <w:rPr>
                <w:rFonts w:cs="Arial"/>
                <w:sz w:val="20"/>
              </w:rPr>
              <w:t>New or emergent industry / sector themes or issues that may have a potential impact on program positioning</w:t>
            </w:r>
          </w:p>
          <w:p w:rsidR="00276F6B" w:rsidRPr="000C3BAA" w:rsidRDefault="00276F6B" w:rsidP="000C3BAA">
            <w:pPr>
              <w:numPr>
                <w:ilvl w:val="0"/>
                <w:numId w:val="1"/>
              </w:numPr>
              <w:tabs>
                <w:tab w:val="clear" w:pos="720"/>
                <w:tab w:val="num" w:pos="360"/>
              </w:tabs>
              <w:ind w:left="360"/>
              <w:rPr>
                <w:rFonts w:cs="Arial"/>
                <w:sz w:val="20"/>
              </w:rPr>
            </w:pPr>
            <w:r w:rsidRPr="000C3BAA">
              <w:rPr>
                <w:rFonts w:cs="Arial"/>
                <w:sz w:val="20"/>
              </w:rPr>
              <w:t xml:space="preserve">Industry / sector issues identified by the Program Advisory Committee </w:t>
            </w:r>
          </w:p>
          <w:p w:rsidR="00276F6B" w:rsidRPr="000C3BAA" w:rsidRDefault="00276F6B" w:rsidP="000C3BAA">
            <w:pPr>
              <w:numPr>
                <w:ilvl w:val="0"/>
                <w:numId w:val="1"/>
              </w:numPr>
              <w:tabs>
                <w:tab w:val="clear" w:pos="720"/>
                <w:tab w:val="num" w:pos="360"/>
              </w:tabs>
              <w:ind w:left="360"/>
              <w:rPr>
                <w:rFonts w:cs="Arial"/>
                <w:sz w:val="20"/>
              </w:rPr>
            </w:pPr>
            <w:r w:rsidRPr="000C3BAA">
              <w:rPr>
                <w:rFonts w:cs="Arial"/>
                <w:sz w:val="20"/>
              </w:rPr>
              <w:t>Recent labour market data or sector reports</w:t>
            </w:r>
          </w:p>
          <w:p w:rsidR="00276F6B" w:rsidRPr="000C3BAA" w:rsidRDefault="00276F6B" w:rsidP="000C3BAA">
            <w:pPr>
              <w:numPr>
                <w:ilvl w:val="0"/>
                <w:numId w:val="1"/>
              </w:numPr>
              <w:tabs>
                <w:tab w:val="clear" w:pos="720"/>
                <w:tab w:val="num" w:pos="360"/>
              </w:tabs>
              <w:ind w:left="360"/>
              <w:rPr>
                <w:rFonts w:cs="Arial"/>
                <w:sz w:val="20"/>
              </w:rPr>
            </w:pPr>
            <w:r w:rsidRPr="000C3BAA">
              <w:rPr>
                <w:rFonts w:cs="Arial"/>
                <w:sz w:val="20"/>
              </w:rPr>
              <w:t xml:space="preserve">Recent or anticipated changes in occupational standards, level of entry and credential and / or standards of accreditation </w:t>
            </w:r>
          </w:p>
          <w:p w:rsidR="00276F6B" w:rsidRPr="000C3BAA" w:rsidRDefault="00276F6B" w:rsidP="000C3BAA">
            <w:pPr>
              <w:numPr>
                <w:ilvl w:val="0"/>
                <w:numId w:val="1"/>
              </w:numPr>
              <w:tabs>
                <w:tab w:val="clear" w:pos="720"/>
                <w:tab w:val="num" w:pos="360"/>
              </w:tabs>
              <w:ind w:left="360"/>
              <w:rPr>
                <w:rFonts w:cs="Arial"/>
                <w:sz w:val="20"/>
              </w:rPr>
            </w:pPr>
            <w:r w:rsidRPr="000C3BAA">
              <w:rPr>
                <w:rFonts w:cs="Arial"/>
                <w:sz w:val="20"/>
              </w:rPr>
              <w:t xml:space="preserve">Program alignment to labour market and sectoral trends </w:t>
            </w:r>
          </w:p>
          <w:p w:rsidR="00276F6B" w:rsidRPr="000C3BAA" w:rsidRDefault="00276F6B" w:rsidP="00276F6B">
            <w:pPr>
              <w:rPr>
                <w:rFonts w:cs="Arial"/>
                <w:szCs w:val="22"/>
              </w:rPr>
            </w:pPr>
          </w:p>
        </w:tc>
        <w:tc>
          <w:tcPr>
            <w:tcW w:w="6669" w:type="dxa"/>
            <w:tcMar>
              <w:top w:w="113" w:type="dxa"/>
              <w:bottom w:w="113" w:type="dxa"/>
            </w:tcMar>
          </w:tcPr>
          <w:p w:rsidR="00B067F4" w:rsidRPr="003041F4" w:rsidRDefault="00357E72" w:rsidP="004F5775">
            <w:pPr>
              <w:jc w:val="both"/>
              <w:rPr>
                <w:rFonts w:cs="Arial"/>
                <w:sz w:val="20"/>
              </w:rPr>
            </w:pPr>
            <w:r w:rsidRPr="003041F4">
              <w:rPr>
                <w:rFonts w:cs="Arial"/>
                <w:sz w:val="20"/>
              </w:rPr>
              <w:t xml:space="preserve">The University Transfer program prepares learners to successfully enter a Bachelor of Arts or Bachelor of Science (Psychology) major program at Trent University on an advanced standing basis. </w:t>
            </w:r>
            <w:r w:rsidR="009C5FBF" w:rsidRPr="003041F4">
              <w:rPr>
                <w:rFonts w:cs="Arial"/>
                <w:sz w:val="20"/>
              </w:rPr>
              <w:t>As stated in the 2005 proposal, t</w:t>
            </w:r>
            <w:r w:rsidR="00B067F4" w:rsidRPr="003041F4">
              <w:rPr>
                <w:rFonts w:cs="Arial"/>
                <w:sz w:val="20"/>
              </w:rPr>
              <w:t>he program’s aim was to enable learners to develop skills, knowledge, self-management, self-confidence and academic skills equivalent to those entering directly into their first year university program.</w:t>
            </w:r>
            <w:r w:rsidR="009C5FBF" w:rsidRPr="003041F4">
              <w:rPr>
                <w:rFonts w:cs="Arial"/>
                <w:sz w:val="20"/>
              </w:rPr>
              <w:t xml:space="preserve"> The program was designed to give a coherent, multi-disciplinary overview of social sciences and liberal arts</w:t>
            </w:r>
            <w:r w:rsidR="001813E3">
              <w:rPr>
                <w:rFonts w:cs="Arial"/>
                <w:sz w:val="20"/>
              </w:rPr>
              <w:t>.</w:t>
            </w:r>
            <w:r w:rsidR="009C5FBF" w:rsidRPr="003041F4">
              <w:rPr>
                <w:rFonts w:cs="Arial"/>
                <w:sz w:val="20"/>
              </w:rPr>
              <w:t xml:space="preserve"> </w:t>
            </w:r>
            <w:r w:rsidR="00B067F4" w:rsidRPr="003041F4">
              <w:rPr>
                <w:rFonts w:cs="Arial"/>
                <w:sz w:val="20"/>
              </w:rPr>
              <w:t xml:space="preserve"> </w:t>
            </w:r>
          </w:p>
          <w:p w:rsidR="009C5FBF" w:rsidRPr="003041F4" w:rsidRDefault="009C5FBF" w:rsidP="004F5775">
            <w:pPr>
              <w:jc w:val="both"/>
              <w:rPr>
                <w:rFonts w:cs="Arial"/>
                <w:sz w:val="20"/>
              </w:rPr>
            </w:pPr>
          </w:p>
          <w:p w:rsidR="00357E72" w:rsidRPr="003041F4" w:rsidRDefault="00357E72" w:rsidP="004F5775">
            <w:pPr>
              <w:jc w:val="both"/>
              <w:rPr>
                <w:rFonts w:cs="Arial"/>
                <w:sz w:val="20"/>
              </w:rPr>
            </w:pPr>
            <w:r w:rsidRPr="003041F4">
              <w:rPr>
                <w:rFonts w:cs="Arial"/>
                <w:sz w:val="20"/>
              </w:rPr>
              <w:t xml:space="preserve">To fully understand the “industry” trends, one needs to consider the current status of transfer or pathway programs in Ontario. </w:t>
            </w:r>
          </w:p>
          <w:p w:rsidR="00357E72" w:rsidRPr="003041F4" w:rsidRDefault="00357E72" w:rsidP="004F5775">
            <w:pPr>
              <w:jc w:val="both"/>
              <w:rPr>
                <w:rFonts w:cs="Arial"/>
                <w:sz w:val="20"/>
              </w:rPr>
            </w:pPr>
          </w:p>
          <w:p w:rsidR="0014722F" w:rsidRPr="003041F4" w:rsidRDefault="00726D12" w:rsidP="004F5775">
            <w:pPr>
              <w:jc w:val="both"/>
              <w:rPr>
                <w:rFonts w:cs="Arial"/>
                <w:sz w:val="20"/>
              </w:rPr>
            </w:pPr>
            <w:r w:rsidRPr="003041F4">
              <w:rPr>
                <w:rFonts w:cs="Arial"/>
                <w:sz w:val="20"/>
              </w:rPr>
              <w:t xml:space="preserve">Colleges Ontario (CO) produced a study in May 2009 entitled “Student Mobility Between Ontario’s Colleges and Universities”, </w:t>
            </w:r>
            <w:r w:rsidR="006161D6" w:rsidRPr="003041F4">
              <w:rPr>
                <w:rFonts w:cs="Arial"/>
                <w:sz w:val="20"/>
              </w:rPr>
              <w:t xml:space="preserve">examining the movement of students between post-secondary institutions and the </w:t>
            </w:r>
            <w:r w:rsidR="00A82B3B" w:rsidRPr="003041F4">
              <w:rPr>
                <w:rFonts w:cs="Arial"/>
                <w:sz w:val="20"/>
              </w:rPr>
              <w:t>focus</w:t>
            </w:r>
            <w:r w:rsidR="006161D6" w:rsidRPr="003041F4">
              <w:rPr>
                <w:rFonts w:cs="Arial"/>
                <w:sz w:val="20"/>
              </w:rPr>
              <w:t xml:space="preserve"> on post-secondary education (PSE) pathways. The number of college </w:t>
            </w:r>
            <w:r w:rsidR="004F5775" w:rsidRPr="003041F4">
              <w:rPr>
                <w:rFonts w:cs="Arial"/>
                <w:sz w:val="20"/>
              </w:rPr>
              <w:t xml:space="preserve">students/graduates seeking university </w:t>
            </w:r>
            <w:r w:rsidR="006161D6" w:rsidRPr="003041F4">
              <w:rPr>
                <w:rFonts w:cs="Arial"/>
                <w:sz w:val="20"/>
              </w:rPr>
              <w:t>education has doubled in the last eight years prior to the study, yet Ontario has one of the lowest transition rates from college to uni</w:t>
            </w:r>
            <w:r w:rsidR="004F5775" w:rsidRPr="003041F4">
              <w:rPr>
                <w:rFonts w:cs="Arial"/>
                <w:sz w:val="20"/>
              </w:rPr>
              <w:t>versity</w:t>
            </w:r>
            <w:r w:rsidR="006161D6" w:rsidRPr="003041F4">
              <w:rPr>
                <w:rFonts w:cs="Arial"/>
                <w:sz w:val="20"/>
              </w:rPr>
              <w:t xml:space="preserve"> when compared to other jurisdictions (other Canadian provinces a</w:t>
            </w:r>
            <w:r w:rsidR="00170F91" w:rsidRPr="003041F4">
              <w:rPr>
                <w:rFonts w:cs="Arial"/>
                <w:sz w:val="20"/>
              </w:rPr>
              <w:t>nd the US). The study highlighted</w:t>
            </w:r>
            <w:r w:rsidR="006161D6" w:rsidRPr="003041F4">
              <w:rPr>
                <w:rFonts w:cs="Arial"/>
                <w:sz w:val="20"/>
              </w:rPr>
              <w:t xml:space="preserve"> the need </w:t>
            </w:r>
            <w:r w:rsidR="007552E6" w:rsidRPr="003041F4">
              <w:rPr>
                <w:rFonts w:cs="Arial"/>
                <w:sz w:val="20"/>
              </w:rPr>
              <w:t>for increased access to transfer opportunities.</w:t>
            </w:r>
          </w:p>
          <w:p w:rsidR="00357E72" w:rsidRPr="003041F4" w:rsidRDefault="00357E72" w:rsidP="004F5775">
            <w:pPr>
              <w:jc w:val="both"/>
              <w:rPr>
                <w:rFonts w:cs="Arial"/>
                <w:sz w:val="20"/>
              </w:rPr>
            </w:pPr>
          </w:p>
          <w:p w:rsidR="002F219E" w:rsidRDefault="002F219E" w:rsidP="004F5775">
            <w:pPr>
              <w:jc w:val="both"/>
              <w:rPr>
                <w:rFonts w:cs="Arial"/>
                <w:sz w:val="20"/>
              </w:rPr>
            </w:pPr>
            <w:r w:rsidRPr="003041F4">
              <w:rPr>
                <w:rFonts w:cs="Arial"/>
                <w:sz w:val="20"/>
              </w:rPr>
              <w:t>In a report by Andrew Boggs and David Trick (2009), “Making College-University Cooperation Work: Ontario in a National and International Context”, for the Higher Education Quality Council of Ontario, the authors discuss</w:t>
            </w:r>
            <w:r w:rsidR="00170F91" w:rsidRPr="003041F4">
              <w:rPr>
                <w:rFonts w:cs="Arial"/>
                <w:sz w:val="20"/>
              </w:rPr>
              <w:t>ed</w:t>
            </w:r>
            <w:r w:rsidRPr="003041F4">
              <w:rPr>
                <w:rFonts w:cs="Arial"/>
                <w:sz w:val="20"/>
              </w:rPr>
              <w:t xml:space="preserve"> the possibilities of system-wide partnerships that facilitate the transfer of large numbers of students between institutions, particularly from college to university, and the concomitant need for leadership within the system</w:t>
            </w:r>
            <w:r w:rsidR="00A76E8B" w:rsidRPr="003041F4">
              <w:rPr>
                <w:rFonts w:cs="Arial"/>
                <w:sz w:val="20"/>
              </w:rPr>
              <w:t xml:space="preserve"> to prevent institutional differentiation from impeding transfer. The Fleming UT program is a model of continued success, placing Fleming in a</w:t>
            </w:r>
            <w:r w:rsidR="00A82B3B" w:rsidRPr="003041F4">
              <w:rPr>
                <w:rFonts w:cs="Arial"/>
                <w:sz w:val="20"/>
              </w:rPr>
              <w:t xml:space="preserve"> unique</w:t>
            </w:r>
            <w:r w:rsidR="00A76E8B" w:rsidRPr="003041F4">
              <w:rPr>
                <w:rFonts w:cs="Arial"/>
                <w:sz w:val="20"/>
              </w:rPr>
              <w:t xml:space="preserve"> position of leadership </w:t>
            </w:r>
            <w:r w:rsidR="00A82B3B" w:rsidRPr="003041F4">
              <w:rPr>
                <w:rFonts w:cs="Arial"/>
                <w:sz w:val="20"/>
              </w:rPr>
              <w:t>to help</w:t>
            </w:r>
            <w:r w:rsidR="00A76E8B" w:rsidRPr="003041F4">
              <w:rPr>
                <w:rFonts w:cs="Arial"/>
                <w:sz w:val="20"/>
              </w:rPr>
              <w:t xml:space="preserve"> forge a possible system-wide transfer protocol.</w:t>
            </w:r>
          </w:p>
          <w:p w:rsidR="001813E3" w:rsidRPr="003041F4" w:rsidRDefault="001813E3" w:rsidP="004F5775">
            <w:pPr>
              <w:jc w:val="both"/>
              <w:rPr>
                <w:rFonts w:cs="Arial"/>
                <w:sz w:val="20"/>
              </w:rPr>
            </w:pPr>
          </w:p>
          <w:p w:rsidR="001F612A" w:rsidRPr="003041F4" w:rsidRDefault="00A82B3B" w:rsidP="004F5775">
            <w:pPr>
              <w:jc w:val="both"/>
              <w:rPr>
                <w:rFonts w:cs="Arial"/>
                <w:sz w:val="20"/>
              </w:rPr>
            </w:pPr>
            <w:r w:rsidRPr="003041F4">
              <w:rPr>
                <w:rFonts w:cs="Arial"/>
                <w:sz w:val="20"/>
              </w:rPr>
              <w:t>According to “A Case Study Analysis of Ontario CAAT Graduates Who Transfer to a Uni</w:t>
            </w:r>
            <w:r w:rsidR="00170F91" w:rsidRPr="003041F4">
              <w:rPr>
                <w:rFonts w:cs="Arial"/>
                <w:sz w:val="20"/>
              </w:rPr>
              <w:t>versity” (n.d.), research aligned</w:t>
            </w:r>
            <w:r w:rsidRPr="003041F4">
              <w:rPr>
                <w:rFonts w:cs="Arial"/>
                <w:sz w:val="20"/>
              </w:rPr>
              <w:t xml:space="preserve"> with a number of key indicators evident among </w:t>
            </w:r>
            <w:r w:rsidR="009A0867" w:rsidRPr="003041F4">
              <w:rPr>
                <w:rFonts w:cs="Arial"/>
                <w:sz w:val="20"/>
              </w:rPr>
              <w:t xml:space="preserve">(for example) </w:t>
            </w:r>
            <w:r w:rsidRPr="003041F4">
              <w:rPr>
                <w:rFonts w:cs="Arial"/>
                <w:sz w:val="20"/>
              </w:rPr>
              <w:t xml:space="preserve">Fleming transfer students: they enter college understanding that it is a viable route to university; for the majority of these students, college is the only route </w:t>
            </w:r>
            <w:r w:rsidR="00170F91" w:rsidRPr="003041F4">
              <w:rPr>
                <w:rFonts w:cs="Arial"/>
                <w:sz w:val="20"/>
              </w:rPr>
              <w:t xml:space="preserve">to university </w:t>
            </w:r>
            <w:r w:rsidRPr="003041F4">
              <w:rPr>
                <w:rFonts w:cs="Arial"/>
                <w:sz w:val="20"/>
              </w:rPr>
              <w:t>because they did not meet university entrance requirements based on their pre-college c</w:t>
            </w:r>
            <w:r w:rsidR="004F5775" w:rsidRPr="003041F4">
              <w:rPr>
                <w:rFonts w:cs="Arial"/>
                <w:sz w:val="20"/>
              </w:rPr>
              <w:t>redentials; and</w:t>
            </w:r>
            <w:r w:rsidRPr="003041F4">
              <w:rPr>
                <w:rFonts w:cs="Arial"/>
                <w:sz w:val="20"/>
              </w:rPr>
              <w:t>, the university-through-college route may provide access to university for families with limited</w:t>
            </w:r>
            <w:r w:rsidRPr="003041F4">
              <w:rPr>
                <w:rFonts w:cs="Arial"/>
                <w:sz w:val="24"/>
                <w:szCs w:val="24"/>
              </w:rPr>
              <w:t xml:space="preserve"> </w:t>
            </w:r>
            <w:r w:rsidRPr="003041F4">
              <w:rPr>
                <w:rFonts w:cs="Arial"/>
                <w:sz w:val="20"/>
              </w:rPr>
              <w:t>post-secondary experience (first-generation university students) and for those from middle to lower socio-economic strata</w:t>
            </w:r>
            <w:r w:rsidR="00BF4B59" w:rsidRPr="003041F4">
              <w:rPr>
                <w:rFonts w:cs="Arial"/>
                <w:sz w:val="24"/>
                <w:szCs w:val="24"/>
              </w:rPr>
              <w:t xml:space="preserve"> </w:t>
            </w:r>
            <w:r w:rsidR="00BF4B59" w:rsidRPr="003041F4">
              <w:rPr>
                <w:rFonts w:cs="Arial"/>
                <w:sz w:val="20"/>
              </w:rPr>
              <w:t>(students pay college</w:t>
            </w:r>
            <w:r w:rsidR="00BF4B59" w:rsidRPr="003041F4">
              <w:rPr>
                <w:rFonts w:cs="Arial"/>
                <w:sz w:val="24"/>
                <w:szCs w:val="24"/>
              </w:rPr>
              <w:t xml:space="preserve"> </w:t>
            </w:r>
            <w:r w:rsidR="00BF4B59" w:rsidRPr="003041F4">
              <w:rPr>
                <w:rFonts w:cs="Arial"/>
                <w:sz w:val="20"/>
              </w:rPr>
              <w:t>tuition fees while earning university credits).</w:t>
            </w:r>
          </w:p>
          <w:p w:rsidR="00357E72" w:rsidRPr="003041F4" w:rsidRDefault="00357E72" w:rsidP="004F5775">
            <w:pPr>
              <w:jc w:val="both"/>
              <w:rPr>
                <w:rFonts w:cs="Arial"/>
                <w:sz w:val="20"/>
              </w:rPr>
            </w:pPr>
          </w:p>
          <w:p w:rsidR="00B067F4" w:rsidRPr="003041F4" w:rsidRDefault="00B067F4" w:rsidP="004F5775">
            <w:pPr>
              <w:jc w:val="both"/>
              <w:rPr>
                <w:rFonts w:cs="Arial"/>
                <w:sz w:val="20"/>
              </w:rPr>
            </w:pPr>
            <w:r w:rsidRPr="003041F4">
              <w:rPr>
                <w:rFonts w:cs="Arial"/>
                <w:sz w:val="20"/>
                <w:highlight w:val="green"/>
              </w:rPr>
              <w:t>Append</w:t>
            </w:r>
            <w:r w:rsidR="003041F4" w:rsidRPr="003041F4">
              <w:rPr>
                <w:rFonts w:cs="Arial"/>
                <w:sz w:val="20"/>
                <w:highlight w:val="green"/>
              </w:rPr>
              <w:t>ix A</w:t>
            </w:r>
            <w:r w:rsidR="003041F4">
              <w:rPr>
                <w:rFonts w:cs="Arial"/>
                <w:sz w:val="20"/>
              </w:rPr>
              <w:t xml:space="preserve"> </w:t>
            </w:r>
            <w:r w:rsidRPr="003041F4">
              <w:rPr>
                <w:rFonts w:cs="Arial"/>
                <w:sz w:val="20"/>
              </w:rPr>
              <w:t>includes a summary of research that was compiled to inform this section of the report.</w:t>
            </w:r>
          </w:p>
          <w:p w:rsidR="00B067F4" w:rsidRPr="003041F4" w:rsidRDefault="00B067F4" w:rsidP="004F5775">
            <w:pPr>
              <w:jc w:val="both"/>
              <w:rPr>
                <w:rFonts w:cs="Arial"/>
                <w:sz w:val="20"/>
              </w:rPr>
            </w:pPr>
          </w:p>
          <w:p w:rsidR="00357E72" w:rsidRPr="003041F4" w:rsidRDefault="00357E72" w:rsidP="001813E3">
            <w:pPr>
              <w:jc w:val="both"/>
              <w:rPr>
                <w:rFonts w:cs="Arial"/>
                <w:b/>
                <w:color w:val="00B050"/>
                <w:sz w:val="24"/>
                <w:szCs w:val="24"/>
              </w:rPr>
            </w:pPr>
            <w:r w:rsidRPr="003041F4">
              <w:rPr>
                <w:rFonts w:cs="Arial"/>
                <w:sz w:val="20"/>
              </w:rPr>
              <w:t xml:space="preserve">From this review, it was concluded that the need to continue the strong </w:t>
            </w:r>
            <w:r w:rsidR="00B067F4" w:rsidRPr="003041F4">
              <w:rPr>
                <w:rFonts w:cs="Arial"/>
                <w:sz w:val="20"/>
              </w:rPr>
              <w:t>working relationship</w:t>
            </w:r>
            <w:r w:rsidRPr="003041F4">
              <w:rPr>
                <w:rFonts w:cs="Arial"/>
                <w:sz w:val="20"/>
              </w:rPr>
              <w:t xml:space="preserve"> with Trent University was warranted.  However, it was also apparent that other </w:t>
            </w:r>
            <w:r w:rsidR="00B067F4" w:rsidRPr="003041F4">
              <w:rPr>
                <w:rFonts w:cs="Arial"/>
                <w:sz w:val="20"/>
              </w:rPr>
              <w:t>partnerships</w:t>
            </w:r>
            <w:r w:rsidRPr="003041F4">
              <w:rPr>
                <w:rFonts w:cs="Arial"/>
                <w:sz w:val="20"/>
              </w:rPr>
              <w:t xml:space="preserve">, beyond the local university, was required to allow even greater opportunities for learners to make the transition from college to university.  Moreover, market research revealed that other colleges were in the process of expanding their 1-year certificate university transfer programs into 2-year joint-diploma programs (i.e., Seneca College).  Hence, </w:t>
            </w:r>
            <w:r w:rsidR="00B067F4" w:rsidRPr="003041F4">
              <w:rPr>
                <w:rFonts w:cs="Arial"/>
                <w:sz w:val="20"/>
              </w:rPr>
              <w:t>Fleming must be more aggressive and strategic when forming future articulation agreements between our University Transfer program and other institutions.</w:t>
            </w:r>
            <w:r w:rsidR="001813E3">
              <w:rPr>
                <w:rFonts w:cs="Arial"/>
                <w:sz w:val="20"/>
              </w:rPr>
              <w:t xml:space="preserve"> (See Recommendation #1)</w:t>
            </w:r>
            <w:r w:rsidR="004E2458">
              <w:rPr>
                <w:rFonts w:cs="Arial"/>
                <w:sz w:val="20"/>
              </w:rPr>
              <w:t>.</w:t>
            </w:r>
          </w:p>
        </w:tc>
      </w:tr>
      <w:tr w:rsidR="00276F6B" w:rsidRPr="000C3BAA" w:rsidTr="000C3BAA">
        <w:tc>
          <w:tcPr>
            <w:tcW w:w="6669" w:type="dxa"/>
            <w:tcMar>
              <w:top w:w="113" w:type="dxa"/>
              <w:bottom w:w="113" w:type="dxa"/>
            </w:tcMar>
          </w:tcPr>
          <w:p w:rsidR="00276F6B" w:rsidRPr="000C3BAA" w:rsidRDefault="00276F6B" w:rsidP="000C3BAA">
            <w:pPr>
              <w:pStyle w:val="Title"/>
              <w:numPr>
                <w:ilvl w:val="1"/>
                <w:numId w:val="2"/>
              </w:numPr>
              <w:jc w:val="left"/>
              <w:rPr>
                <w:rFonts w:ascii="Arial" w:hAnsi="Arial" w:cs="Arial"/>
                <w:b/>
                <w:bCs/>
                <w:sz w:val="20"/>
              </w:rPr>
            </w:pPr>
            <w:r w:rsidRPr="000C3BAA">
              <w:rPr>
                <w:rFonts w:ascii="Arial" w:hAnsi="Arial" w:cs="Arial"/>
                <w:sz w:val="20"/>
              </w:rPr>
              <w:lastRenderedPageBreak/>
              <w:t xml:space="preserve"> </w:t>
            </w:r>
            <w:r w:rsidRPr="000C3BAA">
              <w:rPr>
                <w:rFonts w:ascii="Arial" w:hAnsi="Arial" w:cs="Arial"/>
                <w:b/>
                <w:sz w:val="20"/>
              </w:rPr>
              <w:t>Program Advisory Committee Feedback</w:t>
            </w:r>
          </w:p>
          <w:p w:rsidR="00276F6B" w:rsidRPr="000C3BAA" w:rsidRDefault="00276F6B" w:rsidP="000C3BAA">
            <w:pPr>
              <w:pStyle w:val="Title"/>
              <w:jc w:val="left"/>
              <w:rPr>
                <w:rFonts w:ascii="Arial" w:hAnsi="Arial" w:cs="Arial"/>
                <w:b/>
                <w:bCs/>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pStyle w:val="Title"/>
              <w:numPr>
                <w:ilvl w:val="0"/>
                <w:numId w:val="16"/>
              </w:numPr>
              <w:tabs>
                <w:tab w:val="clear" w:pos="720"/>
                <w:tab w:val="num" w:pos="360"/>
              </w:tabs>
              <w:ind w:left="360"/>
              <w:jc w:val="left"/>
              <w:rPr>
                <w:rFonts w:ascii="Arial" w:hAnsi="Arial" w:cs="Arial"/>
                <w:sz w:val="20"/>
              </w:rPr>
            </w:pPr>
            <w:r w:rsidRPr="000C3BAA">
              <w:rPr>
                <w:rFonts w:ascii="Arial" w:hAnsi="Arial" w:cs="Arial"/>
                <w:sz w:val="20"/>
              </w:rPr>
              <w:t>Key regional issues identified by the Program Advisory Committee that may not have emerged in labour market data</w:t>
            </w:r>
          </w:p>
          <w:p w:rsidR="00276F6B" w:rsidRPr="000C3BAA" w:rsidRDefault="00276F6B" w:rsidP="000C3BAA">
            <w:pPr>
              <w:pStyle w:val="Title"/>
              <w:numPr>
                <w:ilvl w:val="0"/>
                <w:numId w:val="16"/>
              </w:numPr>
              <w:tabs>
                <w:tab w:val="clear" w:pos="720"/>
                <w:tab w:val="num" w:pos="360"/>
              </w:tabs>
              <w:ind w:left="360"/>
              <w:jc w:val="left"/>
              <w:rPr>
                <w:rFonts w:ascii="Arial" w:hAnsi="Arial" w:cs="Arial"/>
                <w:b/>
                <w:sz w:val="20"/>
              </w:rPr>
            </w:pPr>
            <w:r w:rsidRPr="000C3BAA">
              <w:rPr>
                <w:rFonts w:ascii="Arial" w:hAnsi="Arial" w:cs="Arial"/>
                <w:sz w:val="20"/>
              </w:rPr>
              <w:t xml:space="preserve">The Advisory Committee’s assessment of the response, or capacity to respond, to the above issues or trends </w:t>
            </w:r>
          </w:p>
          <w:p w:rsidR="00276F6B" w:rsidRPr="000C3BAA" w:rsidRDefault="00276F6B" w:rsidP="000C3BAA">
            <w:pPr>
              <w:pStyle w:val="Title"/>
              <w:jc w:val="left"/>
              <w:rPr>
                <w:rFonts w:ascii="Arial" w:hAnsi="Arial" w:cs="Arial"/>
                <w:b/>
                <w:sz w:val="20"/>
              </w:rPr>
            </w:pPr>
          </w:p>
        </w:tc>
        <w:tc>
          <w:tcPr>
            <w:tcW w:w="6669" w:type="dxa"/>
            <w:tcMar>
              <w:top w:w="113" w:type="dxa"/>
              <w:bottom w:w="113" w:type="dxa"/>
            </w:tcMar>
          </w:tcPr>
          <w:p w:rsidR="000B2C9D" w:rsidRPr="003041F4" w:rsidRDefault="000B2C9D" w:rsidP="00926FDF">
            <w:pPr>
              <w:ind w:left="360"/>
              <w:jc w:val="both"/>
              <w:rPr>
                <w:rFonts w:cs="Arial"/>
                <w:b/>
                <w:sz w:val="28"/>
                <w:szCs w:val="28"/>
              </w:rPr>
            </w:pPr>
          </w:p>
          <w:p w:rsidR="000B2C9D" w:rsidRDefault="009D1030" w:rsidP="00926FDF">
            <w:pPr>
              <w:jc w:val="both"/>
              <w:rPr>
                <w:rFonts w:cs="Arial"/>
                <w:sz w:val="20"/>
              </w:rPr>
            </w:pPr>
            <w:r w:rsidRPr="003041F4">
              <w:rPr>
                <w:rFonts w:cs="Arial"/>
                <w:sz w:val="20"/>
              </w:rPr>
              <w:t xml:space="preserve">The following notes are from the </w:t>
            </w:r>
            <w:r w:rsidR="00170F91" w:rsidRPr="003041F4">
              <w:rPr>
                <w:rFonts w:cs="Arial"/>
                <w:sz w:val="20"/>
              </w:rPr>
              <w:t xml:space="preserve">Program Advisory Committee meeting </w:t>
            </w:r>
            <w:r w:rsidRPr="003041F4">
              <w:rPr>
                <w:rFonts w:cs="Arial"/>
                <w:sz w:val="20"/>
              </w:rPr>
              <w:t>when the University Transfer program was being introduced as a 1-year college certificate in</w:t>
            </w:r>
            <w:r w:rsidR="00170F91" w:rsidRPr="003041F4">
              <w:rPr>
                <w:rFonts w:cs="Arial"/>
                <w:sz w:val="20"/>
              </w:rPr>
              <w:t xml:space="preserve"> Nov 30, 2004:</w:t>
            </w:r>
          </w:p>
          <w:p w:rsidR="003041F4" w:rsidRPr="003041F4" w:rsidRDefault="003041F4" w:rsidP="00926FDF">
            <w:pPr>
              <w:jc w:val="both"/>
              <w:rPr>
                <w:rFonts w:cs="Arial"/>
                <w:sz w:val="20"/>
              </w:rPr>
            </w:pPr>
          </w:p>
          <w:p w:rsidR="00170F91" w:rsidRPr="003041F4" w:rsidRDefault="00170F91" w:rsidP="00926FDF">
            <w:pPr>
              <w:numPr>
                <w:ilvl w:val="0"/>
                <w:numId w:val="25"/>
              </w:numPr>
              <w:jc w:val="both"/>
              <w:rPr>
                <w:rFonts w:cs="Arial"/>
                <w:sz w:val="20"/>
              </w:rPr>
            </w:pPr>
            <w:r w:rsidRPr="003041F4">
              <w:rPr>
                <w:rFonts w:cs="Arial"/>
                <w:sz w:val="20"/>
              </w:rPr>
              <w:t xml:space="preserve">Students </w:t>
            </w:r>
            <w:r w:rsidR="00F06584" w:rsidRPr="003041F4">
              <w:rPr>
                <w:rFonts w:cs="Arial"/>
                <w:sz w:val="20"/>
              </w:rPr>
              <w:t>who attended</w:t>
            </w:r>
            <w:r w:rsidR="009D1030" w:rsidRPr="003041F4">
              <w:rPr>
                <w:rFonts w:cs="Arial"/>
                <w:sz w:val="20"/>
              </w:rPr>
              <w:t xml:space="preserve"> CIP [Career Information Programs</w:t>
            </w:r>
            <w:r w:rsidRPr="003041F4">
              <w:rPr>
                <w:rFonts w:cs="Arial"/>
                <w:sz w:val="20"/>
              </w:rPr>
              <w:t>] want to go to university but fear it; the UT program would give them another option</w:t>
            </w:r>
            <w:r w:rsidR="009D1030" w:rsidRPr="003041F4">
              <w:rPr>
                <w:rFonts w:cs="Arial"/>
                <w:sz w:val="20"/>
              </w:rPr>
              <w:t>.</w:t>
            </w:r>
          </w:p>
          <w:p w:rsidR="00F06584" w:rsidRPr="003041F4" w:rsidRDefault="00F06584" w:rsidP="00926FDF">
            <w:pPr>
              <w:numPr>
                <w:ilvl w:val="0"/>
                <w:numId w:val="25"/>
              </w:numPr>
              <w:jc w:val="both"/>
              <w:rPr>
                <w:rFonts w:cs="Arial"/>
                <w:sz w:val="20"/>
              </w:rPr>
            </w:pPr>
            <w:r w:rsidRPr="003041F4">
              <w:rPr>
                <w:rFonts w:cs="Arial"/>
                <w:sz w:val="20"/>
              </w:rPr>
              <w:t xml:space="preserve">Letter of Support presented at PAC meeting from Jane Anne Egan, Secondary Curriculum Consultant, PVNCCDSB, dated October 12, 2004: “The need for the ability to transfer between </w:t>
            </w:r>
            <w:r w:rsidRPr="003041F4">
              <w:rPr>
                <w:rFonts w:cs="Arial"/>
                <w:sz w:val="20"/>
              </w:rPr>
              <w:lastRenderedPageBreak/>
              <w:t xml:space="preserve">Colleges and Universities has increased with the changes to the Secondary School educational setting. The General Arts and Sciences [UT] program means that students can now investigate a College program, and then decide </w:t>
            </w:r>
            <w:r w:rsidR="00C2795D" w:rsidRPr="003041F4">
              <w:rPr>
                <w:rFonts w:cs="Arial"/>
                <w:sz w:val="20"/>
              </w:rPr>
              <w:t xml:space="preserve">[that university is a possible pathway] </w:t>
            </w:r>
            <w:r w:rsidRPr="003041F4">
              <w:rPr>
                <w:rFonts w:cs="Arial"/>
                <w:sz w:val="20"/>
              </w:rPr>
              <w:t>upon their second year after experiencing a rigorous Liberal Arts program with Sir Sandford Fleming.”</w:t>
            </w:r>
          </w:p>
          <w:p w:rsidR="00F06584" w:rsidRPr="003041F4" w:rsidRDefault="00F06584" w:rsidP="00926FDF">
            <w:pPr>
              <w:numPr>
                <w:ilvl w:val="0"/>
                <w:numId w:val="25"/>
              </w:numPr>
              <w:jc w:val="both"/>
              <w:rPr>
                <w:rFonts w:cs="Arial"/>
                <w:b/>
                <w:color w:val="00B050"/>
                <w:sz w:val="20"/>
              </w:rPr>
            </w:pPr>
            <w:r w:rsidRPr="003041F4">
              <w:rPr>
                <w:rFonts w:cs="Arial"/>
                <w:sz w:val="20"/>
              </w:rPr>
              <w:t>Letter of Support presented at PAC meeting from Brenda Heeringa, Guidance and Career Education Facilitator, Crestwood Secondary School, dated September 22, 2004: “The liberal arts curriculum combined with Fleming’s flexibility in program delivery and outstanding record for student success equals more opportunities for students.”</w:t>
            </w:r>
          </w:p>
          <w:p w:rsidR="009D1030" w:rsidRPr="003041F4" w:rsidRDefault="009D1030" w:rsidP="00926FDF">
            <w:pPr>
              <w:numPr>
                <w:ilvl w:val="0"/>
                <w:numId w:val="25"/>
              </w:numPr>
              <w:jc w:val="both"/>
              <w:rPr>
                <w:rFonts w:cs="Arial"/>
                <w:b/>
                <w:color w:val="00B050"/>
                <w:sz w:val="20"/>
              </w:rPr>
            </w:pPr>
            <w:r w:rsidRPr="003041F4">
              <w:rPr>
                <w:rFonts w:cs="Arial"/>
                <w:sz w:val="20"/>
              </w:rPr>
              <w:t xml:space="preserve">These letters of support are presented in </w:t>
            </w:r>
            <w:r w:rsidRPr="00E01626">
              <w:rPr>
                <w:rFonts w:cs="Arial"/>
                <w:sz w:val="20"/>
                <w:highlight w:val="green"/>
              </w:rPr>
              <w:t>Appendix B.</w:t>
            </w:r>
          </w:p>
          <w:p w:rsidR="009D1030" w:rsidRPr="003041F4" w:rsidRDefault="009D1030" w:rsidP="00926FDF">
            <w:pPr>
              <w:jc w:val="both"/>
              <w:rPr>
                <w:rFonts w:cs="Arial"/>
                <w:sz w:val="20"/>
              </w:rPr>
            </w:pPr>
          </w:p>
          <w:p w:rsidR="009D1030" w:rsidRPr="003041F4" w:rsidRDefault="009D1030" w:rsidP="00926FDF">
            <w:pPr>
              <w:jc w:val="both"/>
              <w:rPr>
                <w:rFonts w:cs="Arial"/>
                <w:sz w:val="20"/>
              </w:rPr>
            </w:pPr>
            <w:r w:rsidRPr="003041F4">
              <w:rPr>
                <w:rFonts w:cs="Arial"/>
                <w:sz w:val="20"/>
              </w:rPr>
              <w:t>With Fleming’s academic re-structuring in the Fall of 2007 and the introduction of the Dean role, the Program Advisory Committee for the entire suite of General Arts and Science programs was re-vitalized.</w:t>
            </w:r>
          </w:p>
          <w:p w:rsidR="009D1030" w:rsidRPr="003041F4" w:rsidRDefault="009D1030" w:rsidP="00926FDF">
            <w:pPr>
              <w:jc w:val="both"/>
              <w:rPr>
                <w:rFonts w:cs="Arial"/>
                <w:sz w:val="20"/>
              </w:rPr>
            </w:pPr>
          </w:p>
          <w:p w:rsidR="009D1030" w:rsidRPr="003041F4" w:rsidRDefault="009D1030" w:rsidP="00926FDF">
            <w:pPr>
              <w:jc w:val="both"/>
              <w:rPr>
                <w:rFonts w:cs="Arial"/>
                <w:sz w:val="20"/>
              </w:rPr>
            </w:pPr>
            <w:r w:rsidRPr="003041F4">
              <w:rPr>
                <w:rFonts w:cs="Arial"/>
                <w:sz w:val="20"/>
              </w:rPr>
              <w:t>The most recent PAC meeting was held on October 25, 2011 and included representation from indust</w:t>
            </w:r>
            <w:r w:rsidR="00E01626">
              <w:rPr>
                <w:rFonts w:cs="Arial"/>
                <w:sz w:val="20"/>
              </w:rPr>
              <w:t xml:space="preserve">ry, </w:t>
            </w:r>
            <w:r w:rsidRPr="003041F4">
              <w:rPr>
                <w:rFonts w:cs="Arial"/>
                <w:sz w:val="20"/>
              </w:rPr>
              <w:t>schoo</w:t>
            </w:r>
            <w:r w:rsidR="003F6C12" w:rsidRPr="003041F4">
              <w:rPr>
                <w:rFonts w:cs="Arial"/>
                <w:sz w:val="20"/>
              </w:rPr>
              <w:t xml:space="preserve">l boards and Trent University (see Appendix </w:t>
            </w:r>
            <w:r w:rsidR="00EF6595" w:rsidRPr="003041F4">
              <w:rPr>
                <w:rFonts w:cs="Arial"/>
                <w:sz w:val="20"/>
              </w:rPr>
              <w:t>C</w:t>
            </w:r>
            <w:r w:rsidR="003F6C12" w:rsidRPr="003041F4">
              <w:rPr>
                <w:rFonts w:cs="Arial"/>
                <w:sz w:val="20"/>
              </w:rPr>
              <w:t xml:space="preserve"> for minutes of this meeting).  The committee discusse</w:t>
            </w:r>
            <w:r w:rsidR="002F68D6" w:rsidRPr="003041F4">
              <w:rPr>
                <w:rFonts w:cs="Arial"/>
                <w:sz w:val="20"/>
              </w:rPr>
              <w:t xml:space="preserve">d suggestions for improving </w:t>
            </w:r>
            <w:r w:rsidR="003F6C12" w:rsidRPr="003041F4">
              <w:rPr>
                <w:rFonts w:cs="Arial"/>
                <w:sz w:val="20"/>
              </w:rPr>
              <w:t>retention</w:t>
            </w:r>
            <w:r w:rsidR="002F68D6" w:rsidRPr="003041F4">
              <w:rPr>
                <w:rFonts w:cs="Arial"/>
                <w:sz w:val="20"/>
              </w:rPr>
              <w:t xml:space="preserve"> in second semester.  In addition, a Trent faculty member recommended that the program consider adding a mathematics course to assist in building core math skills prior to students transferring to the university.</w:t>
            </w:r>
          </w:p>
          <w:p w:rsidR="00EF6595" w:rsidRPr="003041F4" w:rsidRDefault="00EF6595" w:rsidP="00926FDF">
            <w:pPr>
              <w:jc w:val="both"/>
              <w:rPr>
                <w:rFonts w:cs="Arial"/>
                <w:sz w:val="20"/>
              </w:rPr>
            </w:pPr>
          </w:p>
          <w:p w:rsidR="00EF6595" w:rsidRPr="003041F4" w:rsidRDefault="00EF6595" w:rsidP="00926FDF">
            <w:pPr>
              <w:jc w:val="both"/>
              <w:rPr>
                <w:rFonts w:cs="Arial"/>
                <w:sz w:val="20"/>
              </w:rPr>
            </w:pPr>
            <w:r w:rsidRPr="003041F4">
              <w:rPr>
                <w:rFonts w:cs="Arial"/>
                <w:sz w:val="20"/>
              </w:rPr>
              <w:t xml:space="preserve">The Dean distributed a copy of the Program Review summary which highlighted key areas of concerns and recommendations for the program (see </w:t>
            </w:r>
            <w:r w:rsidRPr="00E01626">
              <w:rPr>
                <w:rFonts w:cs="Arial"/>
                <w:sz w:val="20"/>
                <w:highlight w:val="green"/>
              </w:rPr>
              <w:t>Appendix C).</w:t>
            </w:r>
            <w:r w:rsidRPr="003041F4">
              <w:rPr>
                <w:rFonts w:cs="Arial"/>
                <w:sz w:val="20"/>
              </w:rPr>
              <w:t xml:space="preserve"> A motion was made to endorse the program recommendations with the inclusion of specific exploration of the addition of a mathematics component.  The motion was seconded and approved by all. </w:t>
            </w:r>
            <w:r w:rsidR="000D1183">
              <w:rPr>
                <w:rFonts w:cs="Arial"/>
                <w:sz w:val="20"/>
              </w:rPr>
              <w:t>(See Recommendation #15 and #16)</w:t>
            </w:r>
            <w:r w:rsidR="004E2458">
              <w:rPr>
                <w:rFonts w:cs="Arial"/>
                <w:sz w:val="20"/>
              </w:rPr>
              <w:t>.</w:t>
            </w:r>
          </w:p>
        </w:tc>
      </w:tr>
      <w:tr w:rsidR="00276F6B" w:rsidRPr="000C3BAA" w:rsidTr="000C3BAA">
        <w:tc>
          <w:tcPr>
            <w:tcW w:w="6669" w:type="dxa"/>
            <w:tcMar>
              <w:top w:w="113" w:type="dxa"/>
              <w:bottom w:w="113" w:type="dxa"/>
            </w:tcMar>
          </w:tcPr>
          <w:p w:rsidR="00276F6B" w:rsidRPr="000C3BAA" w:rsidRDefault="00276F6B" w:rsidP="000C3BAA">
            <w:pPr>
              <w:pStyle w:val="Title"/>
              <w:jc w:val="left"/>
              <w:rPr>
                <w:rFonts w:ascii="Arial" w:hAnsi="Arial" w:cs="Arial"/>
                <w:b/>
                <w:bCs/>
                <w:sz w:val="20"/>
              </w:rPr>
            </w:pPr>
            <w:r w:rsidRPr="000C3BAA">
              <w:rPr>
                <w:rFonts w:ascii="Arial" w:hAnsi="Arial" w:cs="Arial"/>
                <w:b/>
                <w:bCs/>
                <w:sz w:val="20"/>
              </w:rPr>
              <w:lastRenderedPageBreak/>
              <w:t>1.3 Industry Liaison</w:t>
            </w:r>
          </w:p>
          <w:p w:rsidR="00276F6B" w:rsidRPr="000C3BAA" w:rsidRDefault="00276F6B" w:rsidP="000C3BAA">
            <w:pPr>
              <w:pStyle w:val="Title"/>
              <w:jc w:val="left"/>
              <w:rPr>
                <w:rFonts w:ascii="Arial" w:hAnsi="Arial" w:cs="Arial"/>
                <w:b/>
                <w:bCs/>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3"/>
              </w:numPr>
              <w:tabs>
                <w:tab w:val="clear" w:pos="900"/>
                <w:tab w:val="num" w:pos="360"/>
              </w:tabs>
              <w:ind w:left="360"/>
              <w:rPr>
                <w:rFonts w:cs="Arial"/>
                <w:sz w:val="20"/>
              </w:rPr>
            </w:pPr>
            <w:r w:rsidRPr="000C3BAA">
              <w:rPr>
                <w:rFonts w:cs="Arial"/>
                <w:sz w:val="20"/>
              </w:rPr>
              <w:t xml:space="preserve">Program initiatives to maintain involvement with the industry / sector such as field placement supervisions, clinical, faculty renewal, </w:t>
            </w:r>
            <w:r w:rsidRPr="000C3BAA">
              <w:rPr>
                <w:rFonts w:cs="Arial"/>
                <w:sz w:val="20"/>
              </w:rPr>
              <w:lastRenderedPageBreak/>
              <w:t>professional learning, other professional affiliations, or community-based projects</w:t>
            </w:r>
          </w:p>
          <w:p w:rsidR="00276F6B" w:rsidRPr="000C3BAA" w:rsidRDefault="00276F6B" w:rsidP="000C3BAA">
            <w:pPr>
              <w:pStyle w:val="Title"/>
              <w:jc w:val="left"/>
              <w:rPr>
                <w:rFonts w:ascii="Arial" w:hAnsi="Arial" w:cs="Arial"/>
                <w:b/>
                <w:bCs/>
                <w:sz w:val="20"/>
              </w:rPr>
            </w:pPr>
          </w:p>
        </w:tc>
        <w:tc>
          <w:tcPr>
            <w:tcW w:w="6669" w:type="dxa"/>
            <w:tcMar>
              <w:top w:w="113" w:type="dxa"/>
              <w:bottom w:w="113" w:type="dxa"/>
            </w:tcMar>
          </w:tcPr>
          <w:p w:rsidR="000B2C9D" w:rsidRDefault="000B2C9D" w:rsidP="00926FDF">
            <w:pPr>
              <w:jc w:val="both"/>
              <w:rPr>
                <w:rFonts w:cs="Arial"/>
                <w:b/>
                <w:color w:val="4F81BD"/>
                <w:sz w:val="28"/>
                <w:szCs w:val="28"/>
              </w:rPr>
            </w:pPr>
          </w:p>
          <w:p w:rsidR="00EF6595" w:rsidRDefault="00EF6595" w:rsidP="00926FDF">
            <w:pPr>
              <w:jc w:val="both"/>
              <w:rPr>
                <w:sz w:val="20"/>
              </w:rPr>
            </w:pPr>
            <w:r w:rsidRPr="00E01626">
              <w:rPr>
                <w:sz w:val="20"/>
              </w:rPr>
              <w:t xml:space="preserve">We very clearly need stronger and more specific ties to Trent University and </w:t>
            </w:r>
            <w:r w:rsidR="00927E1B" w:rsidRPr="00E01626">
              <w:rPr>
                <w:sz w:val="20"/>
              </w:rPr>
              <w:t xml:space="preserve">with </w:t>
            </w:r>
            <w:r w:rsidRPr="00E01626">
              <w:rPr>
                <w:sz w:val="20"/>
              </w:rPr>
              <w:t xml:space="preserve">other university partners </w:t>
            </w:r>
            <w:r w:rsidR="00927E1B" w:rsidRPr="00E01626">
              <w:rPr>
                <w:sz w:val="20"/>
              </w:rPr>
              <w:t xml:space="preserve">with whom </w:t>
            </w:r>
            <w:r w:rsidRPr="00E01626">
              <w:rPr>
                <w:sz w:val="20"/>
              </w:rPr>
              <w:t>we are trying build</w:t>
            </w:r>
            <w:r w:rsidR="00927E1B" w:rsidRPr="00E01626">
              <w:rPr>
                <w:sz w:val="20"/>
              </w:rPr>
              <w:t>ing</w:t>
            </w:r>
            <w:r w:rsidRPr="00E01626">
              <w:rPr>
                <w:sz w:val="20"/>
              </w:rPr>
              <w:t xml:space="preserve"> articulation agreements.  We also clearly need opportunities for our faculty to engage in professional development and/or </w:t>
            </w:r>
            <w:r w:rsidR="00927E1B" w:rsidRPr="00E01626">
              <w:rPr>
                <w:sz w:val="20"/>
              </w:rPr>
              <w:t>renewal</w:t>
            </w:r>
            <w:r w:rsidRPr="00E01626">
              <w:rPr>
                <w:sz w:val="20"/>
              </w:rPr>
              <w:t xml:space="preserve"> to </w:t>
            </w:r>
            <w:r w:rsidR="00927E1B" w:rsidRPr="00E01626">
              <w:rPr>
                <w:sz w:val="20"/>
              </w:rPr>
              <w:t>remain current with the trends and expectations of the university.</w:t>
            </w:r>
            <w:r w:rsidR="004E2458">
              <w:rPr>
                <w:sz w:val="20"/>
              </w:rPr>
              <w:t xml:space="preserve"> (See </w:t>
            </w:r>
            <w:r w:rsidR="004E2458">
              <w:rPr>
                <w:sz w:val="20"/>
              </w:rPr>
              <w:lastRenderedPageBreak/>
              <w:t>Recommendation #4).</w:t>
            </w:r>
          </w:p>
          <w:p w:rsidR="00927E1B" w:rsidRPr="00927E1B" w:rsidRDefault="00927E1B" w:rsidP="00926FDF">
            <w:pPr>
              <w:jc w:val="both"/>
              <w:rPr>
                <w:sz w:val="20"/>
              </w:rPr>
            </w:pPr>
          </w:p>
          <w:p w:rsidR="00A5323B" w:rsidRDefault="00A5323B" w:rsidP="00926FDF">
            <w:pPr>
              <w:jc w:val="both"/>
              <w:rPr>
                <w:b/>
              </w:rPr>
            </w:pPr>
            <w:r w:rsidRPr="00927E1B">
              <w:rPr>
                <w:sz w:val="20"/>
              </w:rPr>
              <w:t xml:space="preserve">From Karen Maki, </w:t>
            </w:r>
            <w:r w:rsidRPr="00927E1B">
              <w:rPr>
                <w:rFonts w:cs="Arial"/>
                <w:sz w:val="20"/>
              </w:rPr>
              <w:t>Director, Post-Secondary Partnerships, Trent University</w:t>
            </w:r>
            <w:r w:rsidR="00927E1B">
              <w:rPr>
                <w:rFonts w:cs="Arial"/>
                <w:sz w:val="20"/>
              </w:rPr>
              <w:t xml:space="preserve"> (see </w:t>
            </w:r>
            <w:r w:rsidR="00927E1B" w:rsidRPr="00E01626">
              <w:rPr>
                <w:rFonts w:cs="Arial"/>
                <w:sz w:val="20"/>
                <w:highlight w:val="green"/>
              </w:rPr>
              <w:t xml:space="preserve">Appendix </w:t>
            </w:r>
            <w:r w:rsidR="00E01626" w:rsidRPr="00E01626">
              <w:rPr>
                <w:rFonts w:cs="Arial"/>
                <w:sz w:val="20"/>
                <w:highlight w:val="green"/>
              </w:rPr>
              <w:t>D</w:t>
            </w:r>
            <w:r w:rsidR="00927E1B" w:rsidRPr="00E01626">
              <w:rPr>
                <w:rFonts w:cs="Arial"/>
                <w:sz w:val="20"/>
                <w:highlight w:val="green"/>
              </w:rPr>
              <w:t>),</w:t>
            </w:r>
            <w:r w:rsidR="00927E1B">
              <w:rPr>
                <w:rFonts w:cs="Arial"/>
                <w:sz w:val="20"/>
              </w:rPr>
              <w:t xml:space="preserve"> it was suggested </w:t>
            </w:r>
            <w:r w:rsidRPr="00927E1B">
              <w:rPr>
                <w:sz w:val="20"/>
              </w:rPr>
              <w:t xml:space="preserve">that Trent University would send to </w:t>
            </w:r>
            <w:r w:rsidR="00927E1B">
              <w:rPr>
                <w:sz w:val="20"/>
              </w:rPr>
              <w:t xml:space="preserve">the </w:t>
            </w:r>
            <w:r w:rsidRPr="00927E1B">
              <w:rPr>
                <w:sz w:val="20"/>
              </w:rPr>
              <w:t xml:space="preserve">UT program coordinator </w:t>
            </w:r>
            <w:r w:rsidR="00927E1B">
              <w:rPr>
                <w:sz w:val="20"/>
              </w:rPr>
              <w:t xml:space="preserve">any </w:t>
            </w:r>
            <w:r w:rsidRPr="00927E1B">
              <w:rPr>
                <w:sz w:val="20"/>
              </w:rPr>
              <w:t>announcements of departmental and university-wide colloquia, symposia, guest speakers and training opportunities that may be of interest to UT faculty.</w:t>
            </w:r>
            <w:r w:rsidRPr="00431BC9">
              <w:rPr>
                <w:b/>
              </w:rPr>
              <w:t xml:space="preserve">  </w:t>
            </w:r>
          </w:p>
          <w:p w:rsidR="00927E1B" w:rsidRDefault="00927E1B" w:rsidP="00926FDF">
            <w:pPr>
              <w:jc w:val="both"/>
              <w:rPr>
                <w:b/>
              </w:rPr>
            </w:pPr>
          </w:p>
          <w:p w:rsidR="00927E1B" w:rsidRPr="00927E1B" w:rsidRDefault="00927E1B" w:rsidP="00AC1038">
            <w:pPr>
              <w:jc w:val="both"/>
              <w:rPr>
                <w:rFonts w:cs="Arial"/>
                <w:sz w:val="20"/>
              </w:rPr>
            </w:pPr>
            <w:r w:rsidRPr="00E01626">
              <w:rPr>
                <w:rFonts w:cs="Arial"/>
                <w:sz w:val="20"/>
              </w:rPr>
              <w:t>With regard to community-based projects</w:t>
            </w:r>
            <w:r w:rsidR="00AC1038">
              <w:rPr>
                <w:rFonts w:cs="Arial"/>
                <w:sz w:val="20"/>
              </w:rPr>
              <w:t xml:space="preserve"> (i.e. Service Learning)</w:t>
            </w:r>
            <w:r w:rsidRPr="00E01626">
              <w:rPr>
                <w:rFonts w:cs="Arial"/>
                <w:sz w:val="20"/>
              </w:rPr>
              <w:t xml:space="preserve"> and/or field placement opportunities</w:t>
            </w:r>
            <w:r w:rsidR="00AC1038">
              <w:rPr>
                <w:rFonts w:cs="Arial"/>
                <w:sz w:val="20"/>
              </w:rPr>
              <w:t xml:space="preserve"> (i.e. Applied Learning), none </w:t>
            </w:r>
            <w:r w:rsidR="00851CC2" w:rsidRPr="00E01626">
              <w:rPr>
                <w:rFonts w:cs="Arial"/>
                <w:sz w:val="20"/>
              </w:rPr>
              <w:t xml:space="preserve">currently exists in the UT program.  However, in October 2011, </w:t>
            </w:r>
            <w:r w:rsidRPr="00E01626">
              <w:rPr>
                <w:rFonts w:cs="Arial"/>
                <w:sz w:val="20"/>
              </w:rPr>
              <w:t xml:space="preserve">college-wide discussions and </w:t>
            </w:r>
            <w:r w:rsidR="00851CC2" w:rsidRPr="00E01626">
              <w:rPr>
                <w:rFonts w:cs="Arial"/>
                <w:sz w:val="20"/>
              </w:rPr>
              <w:t xml:space="preserve">comprehensive </w:t>
            </w:r>
            <w:r w:rsidRPr="00E01626">
              <w:rPr>
                <w:rFonts w:cs="Arial"/>
                <w:sz w:val="20"/>
              </w:rPr>
              <w:t xml:space="preserve">reviews </w:t>
            </w:r>
            <w:r w:rsidR="00851CC2" w:rsidRPr="00E01626">
              <w:rPr>
                <w:rFonts w:cs="Arial"/>
                <w:sz w:val="20"/>
              </w:rPr>
              <w:t xml:space="preserve">pertaining to the wide range of applied learning experiences were initiated.  The goal of this day-long event was to articulate and begin planning for how various applied learning experiences could be incorporated </w:t>
            </w:r>
            <w:r w:rsidRPr="00E01626">
              <w:rPr>
                <w:rFonts w:cs="Arial"/>
                <w:sz w:val="20"/>
              </w:rPr>
              <w:t xml:space="preserve">within every program at Fleming.  This approach is part of the college’s branding and is consistent with our </w:t>
            </w:r>
            <w:r w:rsidR="00851CC2" w:rsidRPr="00E01626">
              <w:rPr>
                <w:rFonts w:cs="Arial"/>
                <w:sz w:val="20"/>
              </w:rPr>
              <w:t>core promise - “Learn, Belong and Become”</w:t>
            </w:r>
            <w:r w:rsidRPr="00E01626">
              <w:rPr>
                <w:rFonts w:cs="Arial"/>
                <w:sz w:val="20"/>
              </w:rPr>
              <w:t xml:space="preserve">.  The </w:t>
            </w:r>
            <w:r w:rsidR="00851CC2" w:rsidRPr="00E01626">
              <w:rPr>
                <w:rFonts w:cs="Arial"/>
                <w:sz w:val="20"/>
              </w:rPr>
              <w:t xml:space="preserve">UT </w:t>
            </w:r>
            <w:r w:rsidRPr="00E01626">
              <w:rPr>
                <w:rFonts w:cs="Arial"/>
                <w:sz w:val="20"/>
              </w:rPr>
              <w:t>faculty ha</w:t>
            </w:r>
            <w:r w:rsidR="005A72E9" w:rsidRPr="00E01626">
              <w:rPr>
                <w:rFonts w:cs="Arial"/>
                <w:sz w:val="20"/>
              </w:rPr>
              <w:t>s</w:t>
            </w:r>
            <w:r w:rsidRPr="00E01626">
              <w:rPr>
                <w:rFonts w:cs="Arial"/>
                <w:sz w:val="20"/>
              </w:rPr>
              <w:t xml:space="preserve"> begun to discuss how this</w:t>
            </w:r>
            <w:r w:rsidR="00851CC2" w:rsidRPr="00E01626">
              <w:rPr>
                <w:rFonts w:cs="Arial"/>
                <w:sz w:val="20"/>
              </w:rPr>
              <w:t xml:space="preserve"> applied</w:t>
            </w:r>
            <w:r w:rsidRPr="00E01626">
              <w:rPr>
                <w:rFonts w:cs="Arial"/>
                <w:sz w:val="20"/>
              </w:rPr>
              <w:t xml:space="preserve"> learning opportunity could be positioned within the UT program</w:t>
            </w:r>
            <w:r w:rsidR="00851CC2" w:rsidRPr="00E01626">
              <w:rPr>
                <w:rFonts w:cs="Arial"/>
                <w:sz w:val="20"/>
              </w:rPr>
              <w:t xml:space="preserve"> and the Dean has committed to ensuring that such an experience be in place for the program by Fall 2012</w:t>
            </w:r>
            <w:r w:rsidRPr="00E01626">
              <w:rPr>
                <w:rFonts w:cs="Arial"/>
                <w:sz w:val="20"/>
              </w:rPr>
              <w:t>.</w:t>
            </w:r>
            <w:r>
              <w:rPr>
                <w:rFonts w:cs="Arial"/>
                <w:sz w:val="20"/>
              </w:rPr>
              <w:t xml:space="preserve">  </w:t>
            </w:r>
            <w:r w:rsidR="00474C0D">
              <w:rPr>
                <w:rFonts w:cs="Arial"/>
                <w:sz w:val="20"/>
              </w:rPr>
              <w:t>(See Recommendation #6).</w:t>
            </w:r>
          </w:p>
        </w:tc>
      </w:tr>
    </w:tbl>
    <w:p w:rsidR="00276F6B" w:rsidRDefault="00276F6B" w:rsidP="00276F6B">
      <w:pPr>
        <w:rPr>
          <w:lang w:val="en-CA"/>
        </w:rPr>
      </w:pPr>
    </w:p>
    <w:p w:rsidR="00276F6B" w:rsidRDefault="00276F6B" w:rsidP="00276F6B">
      <w:pPr>
        <w:rPr>
          <w:lang w:val="en-CA"/>
        </w:rPr>
      </w:pPr>
    </w:p>
    <w:tbl>
      <w:tblPr>
        <w:tblW w:w="133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8"/>
        <w:gridCol w:w="6668"/>
      </w:tblGrid>
      <w:tr w:rsidR="00276F6B" w:rsidRPr="000C3BAA" w:rsidTr="000C3BAA">
        <w:tc>
          <w:tcPr>
            <w:tcW w:w="6668" w:type="dxa"/>
            <w:shd w:val="clear" w:color="auto" w:fill="C0C0C0"/>
            <w:tcMar>
              <w:top w:w="113" w:type="dxa"/>
              <w:bottom w:w="113" w:type="dxa"/>
            </w:tcMar>
          </w:tcPr>
          <w:p w:rsidR="00276F6B" w:rsidRPr="000C3BAA" w:rsidRDefault="00276F6B" w:rsidP="000C3BAA">
            <w:pPr>
              <w:tabs>
                <w:tab w:val="left" w:pos="72"/>
              </w:tabs>
              <w:rPr>
                <w:rFonts w:cs="Arial"/>
                <w:b/>
              </w:rPr>
            </w:pPr>
            <w:r w:rsidRPr="000C3BAA">
              <w:rPr>
                <w:rFonts w:cs="Arial"/>
                <w:b/>
              </w:rPr>
              <w:t>2.0 Curriculum Development and Framework</w:t>
            </w:r>
          </w:p>
        </w:tc>
        <w:tc>
          <w:tcPr>
            <w:tcW w:w="6668" w:type="dxa"/>
            <w:shd w:val="clear" w:color="auto" w:fill="C0C0C0"/>
            <w:tcMar>
              <w:top w:w="113" w:type="dxa"/>
              <w:bottom w:w="113" w:type="dxa"/>
            </w:tcMar>
          </w:tcPr>
          <w:p w:rsidR="00276F6B" w:rsidRPr="000C3BAA" w:rsidRDefault="00276F6B" w:rsidP="00276F6B">
            <w:pPr>
              <w:rPr>
                <w:rFonts w:cs="Arial"/>
                <w:b/>
              </w:rPr>
            </w:pPr>
            <w:r w:rsidRPr="000C3BAA">
              <w:rPr>
                <w:rFonts w:cs="Arial"/>
                <w:b/>
              </w:rPr>
              <w:t>Summary of Key Findings</w:t>
            </w:r>
          </w:p>
        </w:tc>
      </w:tr>
      <w:tr w:rsidR="00276F6B" w:rsidRPr="000C3BAA" w:rsidTr="000C3BAA">
        <w:tc>
          <w:tcPr>
            <w:tcW w:w="6668"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2.1 Curriculum Framework</w:t>
            </w:r>
          </w:p>
          <w:p w:rsidR="00276F6B" w:rsidRPr="000C3BAA" w:rsidRDefault="00276F6B" w:rsidP="000C3BAA">
            <w:pPr>
              <w:pStyle w:val="Title"/>
              <w:jc w:val="left"/>
              <w:rPr>
                <w:rFonts w:ascii="Arial" w:hAnsi="Arial" w:cs="Arial"/>
                <w:b/>
                <w:sz w:val="20"/>
              </w:rPr>
            </w:pPr>
            <w:r w:rsidRPr="000C3BAA">
              <w:rPr>
                <w:rFonts w:ascii="Arial" w:hAnsi="Arial" w:cs="Arial"/>
                <w:b/>
                <w:sz w:val="20"/>
              </w:rPr>
              <w:t xml:space="preserve"> </w:t>
            </w: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3"/>
              </w:numPr>
              <w:tabs>
                <w:tab w:val="clear" w:pos="900"/>
                <w:tab w:val="num" w:pos="360"/>
              </w:tabs>
              <w:ind w:left="360"/>
              <w:rPr>
                <w:rFonts w:cs="Arial"/>
                <w:sz w:val="20"/>
              </w:rPr>
            </w:pPr>
            <w:r w:rsidRPr="000C3BAA">
              <w:rPr>
                <w:rFonts w:cs="Arial"/>
                <w:sz w:val="20"/>
              </w:rPr>
              <w:t>The program faculty’s approach to, and philosophy of, teaching and learning</w:t>
            </w:r>
          </w:p>
          <w:p w:rsidR="00276F6B" w:rsidRPr="000C3BAA" w:rsidRDefault="00276F6B" w:rsidP="00276F6B">
            <w:pPr>
              <w:rPr>
                <w:rFonts w:cs="Arial"/>
                <w:b/>
                <w:sz w:val="20"/>
              </w:rPr>
            </w:pPr>
          </w:p>
        </w:tc>
        <w:tc>
          <w:tcPr>
            <w:tcW w:w="6668" w:type="dxa"/>
            <w:tcMar>
              <w:top w:w="113" w:type="dxa"/>
              <w:bottom w:w="113" w:type="dxa"/>
            </w:tcMar>
          </w:tcPr>
          <w:p w:rsidR="000B2C9D" w:rsidRPr="00926FDF" w:rsidRDefault="00E76589" w:rsidP="00926FDF">
            <w:pPr>
              <w:jc w:val="both"/>
              <w:rPr>
                <w:rFonts w:cs="Arial"/>
                <w:sz w:val="20"/>
              </w:rPr>
            </w:pPr>
            <w:r w:rsidRPr="00926FDF">
              <w:rPr>
                <w:rFonts w:cs="Arial"/>
                <w:sz w:val="20"/>
              </w:rPr>
              <w:t xml:space="preserve">There are </w:t>
            </w:r>
            <w:r w:rsidR="007649CB" w:rsidRPr="00926FDF">
              <w:rPr>
                <w:rFonts w:cs="Arial"/>
                <w:sz w:val="20"/>
              </w:rPr>
              <w:t>six</w:t>
            </w:r>
            <w:r w:rsidRPr="00926FDF">
              <w:rPr>
                <w:rFonts w:cs="Arial"/>
                <w:sz w:val="20"/>
              </w:rPr>
              <w:t xml:space="preserve"> full-time faculty and several part-time</w:t>
            </w:r>
            <w:r w:rsidR="00393DDD" w:rsidRPr="00926FDF">
              <w:rPr>
                <w:rFonts w:cs="Arial"/>
                <w:sz w:val="20"/>
              </w:rPr>
              <w:t xml:space="preserve"> </w:t>
            </w:r>
            <w:r w:rsidRPr="00926FDF">
              <w:rPr>
                <w:rFonts w:cs="Arial"/>
                <w:sz w:val="20"/>
              </w:rPr>
              <w:t xml:space="preserve">faculty who teach in </w:t>
            </w:r>
            <w:r w:rsidR="00437EAE" w:rsidRPr="00926FDF">
              <w:rPr>
                <w:rFonts w:cs="Arial"/>
                <w:sz w:val="20"/>
              </w:rPr>
              <w:t xml:space="preserve">the </w:t>
            </w:r>
            <w:r w:rsidR="00926FDF">
              <w:rPr>
                <w:rFonts w:cs="Arial"/>
                <w:sz w:val="20"/>
              </w:rPr>
              <w:t xml:space="preserve">one-year </w:t>
            </w:r>
            <w:r w:rsidR="00437EAE" w:rsidRPr="00926FDF">
              <w:rPr>
                <w:rFonts w:cs="Arial"/>
                <w:sz w:val="20"/>
              </w:rPr>
              <w:t xml:space="preserve">University Transfer </w:t>
            </w:r>
            <w:r w:rsidR="00926FDF" w:rsidRPr="00926FDF">
              <w:rPr>
                <w:rFonts w:cs="Arial"/>
                <w:sz w:val="20"/>
              </w:rPr>
              <w:t>program</w:t>
            </w:r>
            <w:r w:rsidR="00437EAE" w:rsidRPr="00926FDF">
              <w:rPr>
                <w:rFonts w:cs="Arial"/>
                <w:sz w:val="20"/>
              </w:rPr>
              <w:t>.  Faculty</w:t>
            </w:r>
            <w:r w:rsidR="00926FDF" w:rsidRPr="00926FDF">
              <w:rPr>
                <w:rFonts w:cs="Arial"/>
                <w:sz w:val="20"/>
              </w:rPr>
              <w:t xml:space="preserve"> </w:t>
            </w:r>
            <w:r w:rsidRPr="00926FDF">
              <w:rPr>
                <w:rFonts w:cs="Arial"/>
                <w:sz w:val="20"/>
              </w:rPr>
              <w:t xml:space="preserve">approach their teaching </w:t>
            </w:r>
            <w:r w:rsidR="008C57D9" w:rsidRPr="00926FDF">
              <w:rPr>
                <w:rFonts w:cs="Arial"/>
                <w:sz w:val="20"/>
              </w:rPr>
              <w:t>commitments</w:t>
            </w:r>
            <w:r w:rsidRPr="00926FDF">
              <w:rPr>
                <w:rFonts w:cs="Arial"/>
                <w:sz w:val="20"/>
              </w:rPr>
              <w:t xml:space="preserve"> very seriously, and work from a platform of mutual respect, open communication, continuous learning, and passion for the subject matter.  </w:t>
            </w:r>
            <w:r w:rsidR="00A80023">
              <w:rPr>
                <w:rFonts w:cs="Arial"/>
                <w:sz w:val="20"/>
              </w:rPr>
              <w:t xml:space="preserve">Applied research </w:t>
            </w:r>
            <w:r w:rsidRPr="00926FDF">
              <w:rPr>
                <w:rFonts w:cs="Arial"/>
                <w:sz w:val="20"/>
              </w:rPr>
              <w:t xml:space="preserve">opportunities and both individual and team-based learning activities are core to the curriculum.  The UT team encourages </w:t>
            </w:r>
            <w:r w:rsidR="008C57D9" w:rsidRPr="00926FDF">
              <w:rPr>
                <w:rFonts w:cs="Arial"/>
                <w:sz w:val="20"/>
              </w:rPr>
              <w:t>students</w:t>
            </w:r>
            <w:r w:rsidRPr="00926FDF">
              <w:rPr>
                <w:rFonts w:cs="Arial"/>
                <w:sz w:val="20"/>
              </w:rPr>
              <w:t xml:space="preserve"> to ask questions, to be present and engaged, and to be accountable and responsible fo</w:t>
            </w:r>
            <w:r w:rsidR="008C57D9" w:rsidRPr="00926FDF">
              <w:rPr>
                <w:rFonts w:cs="Arial"/>
                <w:sz w:val="20"/>
              </w:rPr>
              <w:t xml:space="preserve">r their </w:t>
            </w:r>
            <w:r w:rsidRPr="00926FDF">
              <w:rPr>
                <w:rFonts w:cs="Arial"/>
                <w:sz w:val="20"/>
              </w:rPr>
              <w:t xml:space="preserve">learning.  The </w:t>
            </w:r>
            <w:r w:rsidR="008C57D9" w:rsidRPr="00926FDF">
              <w:rPr>
                <w:rFonts w:cs="Arial"/>
                <w:sz w:val="20"/>
              </w:rPr>
              <w:t>program</w:t>
            </w:r>
            <w:r w:rsidRPr="00926FDF">
              <w:rPr>
                <w:rFonts w:cs="Arial"/>
                <w:sz w:val="20"/>
              </w:rPr>
              <w:t xml:space="preserve"> goal is to </w:t>
            </w:r>
            <w:r w:rsidR="008C57D9" w:rsidRPr="00926FDF">
              <w:rPr>
                <w:rFonts w:cs="Arial"/>
                <w:sz w:val="20"/>
              </w:rPr>
              <w:t>produce</w:t>
            </w:r>
            <w:r w:rsidRPr="00926FDF">
              <w:rPr>
                <w:rFonts w:cs="Arial"/>
                <w:sz w:val="20"/>
              </w:rPr>
              <w:t xml:space="preserve"> confident, qualified, graduates who are respectful o</w:t>
            </w:r>
            <w:r w:rsidR="008C57D9" w:rsidRPr="00926FDF">
              <w:rPr>
                <w:rFonts w:cs="Arial"/>
                <w:sz w:val="20"/>
              </w:rPr>
              <w:t>f</w:t>
            </w:r>
            <w:r w:rsidRPr="00926FDF">
              <w:rPr>
                <w:rFonts w:cs="Arial"/>
                <w:sz w:val="20"/>
              </w:rPr>
              <w:t xml:space="preserve"> others</w:t>
            </w:r>
            <w:r w:rsidR="008C57D9" w:rsidRPr="00926FDF">
              <w:rPr>
                <w:rFonts w:cs="Arial"/>
                <w:sz w:val="20"/>
              </w:rPr>
              <w:t>, curious and possess</w:t>
            </w:r>
            <w:r w:rsidR="00A80023">
              <w:rPr>
                <w:rFonts w:cs="Arial"/>
                <w:sz w:val="20"/>
              </w:rPr>
              <w:t xml:space="preserve"> a</w:t>
            </w:r>
            <w:r w:rsidR="008C57D9" w:rsidRPr="00926FDF">
              <w:rPr>
                <w:rFonts w:cs="Arial"/>
                <w:sz w:val="20"/>
              </w:rPr>
              <w:t xml:space="preserve"> life-long interest in intellectual exploration and discovery.  </w:t>
            </w:r>
          </w:p>
          <w:p w:rsidR="00393DDD" w:rsidRDefault="00393DDD" w:rsidP="008C57D9">
            <w:pPr>
              <w:rPr>
                <w:rFonts w:cs="Arial"/>
                <w:b/>
                <w:color w:val="4F81BD"/>
                <w:sz w:val="20"/>
              </w:rPr>
            </w:pPr>
          </w:p>
          <w:p w:rsidR="00393DDD" w:rsidRPr="00926FDF" w:rsidRDefault="008C57D9" w:rsidP="00926FDF">
            <w:pPr>
              <w:jc w:val="both"/>
              <w:rPr>
                <w:rFonts w:cs="Arial"/>
                <w:sz w:val="24"/>
                <w:szCs w:val="24"/>
              </w:rPr>
            </w:pPr>
            <w:r w:rsidRPr="00926FDF">
              <w:rPr>
                <w:rFonts w:cs="Arial"/>
                <w:sz w:val="20"/>
              </w:rPr>
              <w:t xml:space="preserve">Fleming’s University Transfer philosophy emerges from our college </w:t>
            </w:r>
            <w:r w:rsidRPr="00926FDF">
              <w:rPr>
                <w:rFonts w:cs="Arial"/>
                <w:sz w:val="20"/>
              </w:rPr>
              <w:lastRenderedPageBreak/>
              <w:t xml:space="preserve">mission, vision and values.  We aim for excellence in student learning by providing superior education and </w:t>
            </w:r>
            <w:r w:rsidRPr="00A80023">
              <w:rPr>
                <w:rFonts w:cs="Arial"/>
                <w:sz w:val="20"/>
              </w:rPr>
              <w:t>applied learning experiences</w:t>
            </w:r>
            <w:r w:rsidRPr="00926FDF">
              <w:rPr>
                <w:rFonts w:cs="Arial"/>
                <w:sz w:val="20"/>
              </w:rPr>
              <w:t xml:space="preserve"> to achieve and maximize the potential of every learner.  We strive to </w:t>
            </w:r>
            <w:r w:rsidR="00393DDD" w:rsidRPr="00926FDF">
              <w:rPr>
                <w:rFonts w:cs="Arial"/>
                <w:sz w:val="20"/>
              </w:rPr>
              <w:t xml:space="preserve">enable students to succeed in the year-long University </w:t>
            </w:r>
            <w:r w:rsidR="00393DDD" w:rsidRPr="00926FDF">
              <w:rPr>
                <w:rFonts w:cs="Arial"/>
                <w:sz w:val="20"/>
              </w:rPr>
              <w:br/>
              <w:t xml:space="preserve">Transfer program and to perform </w:t>
            </w:r>
            <w:r w:rsidR="00926FDF">
              <w:rPr>
                <w:rFonts w:cs="Arial"/>
                <w:sz w:val="20"/>
              </w:rPr>
              <w:t>competen</w:t>
            </w:r>
            <w:r w:rsidR="00F45403" w:rsidRPr="00926FDF">
              <w:rPr>
                <w:rFonts w:cs="Arial"/>
                <w:sz w:val="20"/>
              </w:rPr>
              <w:t xml:space="preserve">tly </w:t>
            </w:r>
            <w:r w:rsidR="007649CB" w:rsidRPr="00926FDF">
              <w:rPr>
                <w:rFonts w:cs="Arial"/>
                <w:sz w:val="20"/>
              </w:rPr>
              <w:t>at a level appropriate to first-</w:t>
            </w:r>
            <w:r w:rsidRPr="00926FDF">
              <w:rPr>
                <w:rFonts w:cs="Arial"/>
                <w:sz w:val="20"/>
              </w:rPr>
              <w:t>year university.</w:t>
            </w:r>
            <w:r w:rsidRPr="00926FDF">
              <w:rPr>
                <w:rFonts w:cs="Arial"/>
                <w:sz w:val="24"/>
                <w:szCs w:val="24"/>
              </w:rPr>
              <w:t xml:space="preserve">  </w:t>
            </w:r>
          </w:p>
          <w:p w:rsidR="00393DDD" w:rsidRPr="00926FDF" w:rsidRDefault="00393DDD" w:rsidP="00926FDF">
            <w:pPr>
              <w:jc w:val="both"/>
              <w:rPr>
                <w:rFonts w:cs="Arial"/>
                <w:sz w:val="24"/>
                <w:szCs w:val="24"/>
              </w:rPr>
            </w:pPr>
          </w:p>
          <w:p w:rsidR="008C57D9" w:rsidRPr="00926FDF" w:rsidRDefault="00F45403" w:rsidP="00A80023">
            <w:pPr>
              <w:jc w:val="both"/>
              <w:rPr>
                <w:rFonts w:cs="Arial"/>
                <w:sz w:val="20"/>
              </w:rPr>
            </w:pPr>
            <w:r w:rsidRPr="00926FDF">
              <w:rPr>
                <w:rFonts w:cs="Arial"/>
                <w:sz w:val="20"/>
              </w:rPr>
              <w:t>At the end of the program</w:t>
            </w:r>
            <w:r w:rsidR="00926FDF" w:rsidRPr="00926FDF">
              <w:rPr>
                <w:rFonts w:cs="Arial"/>
                <w:sz w:val="20"/>
              </w:rPr>
              <w:t>,</w:t>
            </w:r>
            <w:r w:rsidRPr="00926FDF">
              <w:rPr>
                <w:rFonts w:cs="Arial"/>
                <w:sz w:val="20"/>
              </w:rPr>
              <w:t xml:space="preserve"> graduates will be able to effect a smooth transition to second</w:t>
            </w:r>
            <w:r w:rsidR="00A80023">
              <w:rPr>
                <w:rFonts w:cs="Arial"/>
                <w:sz w:val="20"/>
              </w:rPr>
              <w:t>-</w:t>
            </w:r>
            <w:r w:rsidRPr="00926FDF">
              <w:rPr>
                <w:rFonts w:cs="Arial"/>
                <w:sz w:val="20"/>
              </w:rPr>
              <w:t xml:space="preserve">year university </w:t>
            </w:r>
            <w:r w:rsidR="00A80023">
              <w:rPr>
                <w:rFonts w:cs="Arial"/>
                <w:sz w:val="20"/>
              </w:rPr>
              <w:t>and/</w:t>
            </w:r>
            <w:r w:rsidRPr="00926FDF">
              <w:rPr>
                <w:rFonts w:cs="Arial"/>
                <w:sz w:val="20"/>
              </w:rPr>
              <w:t xml:space="preserve">or be successful in other academic pathways.  </w:t>
            </w:r>
          </w:p>
        </w:tc>
      </w:tr>
      <w:tr w:rsidR="00276F6B" w:rsidRPr="000C3BAA" w:rsidTr="000C3BAA">
        <w:tc>
          <w:tcPr>
            <w:tcW w:w="6668"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lastRenderedPageBreak/>
              <w:t>2.2 Outcomes from Curriculum Renewal</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3"/>
              </w:numPr>
              <w:tabs>
                <w:tab w:val="clear" w:pos="900"/>
              </w:tabs>
              <w:ind w:left="360"/>
              <w:rPr>
                <w:rFonts w:cs="Arial"/>
                <w:sz w:val="20"/>
              </w:rPr>
            </w:pPr>
            <w:r w:rsidRPr="000C3BAA">
              <w:rPr>
                <w:rFonts w:cs="Arial"/>
                <w:sz w:val="20"/>
              </w:rPr>
              <w:t>Key outcomes from the Curriculum Renewal processes of the past few years</w:t>
            </w:r>
          </w:p>
          <w:p w:rsidR="00276F6B" w:rsidRPr="000C3BAA" w:rsidRDefault="00276F6B" w:rsidP="000C3BAA">
            <w:pPr>
              <w:numPr>
                <w:ilvl w:val="0"/>
                <w:numId w:val="3"/>
              </w:numPr>
              <w:tabs>
                <w:tab w:val="clear" w:pos="900"/>
              </w:tabs>
              <w:ind w:left="360"/>
              <w:rPr>
                <w:rFonts w:cs="Arial"/>
                <w:sz w:val="20"/>
              </w:rPr>
            </w:pPr>
            <w:r w:rsidRPr="000C3BAA">
              <w:rPr>
                <w:rFonts w:cs="Arial"/>
                <w:sz w:val="20"/>
              </w:rPr>
              <w:t>Progress to date in implementing the recommendations arising from Curriculum Renewal</w:t>
            </w:r>
          </w:p>
          <w:p w:rsidR="00276F6B" w:rsidRPr="000C3BAA" w:rsidRDefault="00276F6B" w:rsidP="000C3BAA">
            <w:pPr>
              <w:numPr>
                <w:ilvl w:val="0"/>
                <w:numId w:val="3"/>
              </w:numPr>
              <w:tabs>
                <w:tab w:val="clear" w:pos="900"/>
              </w:tabs>
              <w:ind w:left="360"/>
              <w:rPr>
                <w:rFonts w:cs="Arial"/>
                <w:sz w:val="20"/>
              </w:rPr>
            </w:pPr>
            <w:r w:rsidRPr="000C3BAA">
              <w:rPr>
                <w:rFonts w:cs="Arial"/>
                <w:sz w:val="20"/>
              </w:rPr>
              <w:t>Success of the changes implemented and the means by which they are being evaluated</w:t>
            </w:r>
          </w:p>
          <w:p w:rsidR="00276F6B" w:rsidRPr="000C3BAA" w:rsidRDefault="00276F6B" w:rsidP="000C3BAA">
            <w:pPr>
              <w:pStyle w:val="Title"/>
              <w:jc w:val="left"/>
              <w:rPr>
                <w:rFonts w:ascii="Arial" w:hAnsi="Arial" w:cs="Arial"/>
                <w:b/>
                <w:sz w:val="20"/>
              </w:rPr>
            </w:pPr>
          </w:p>
        </w:tc>
        <w:tc>
          <w:tcPr>
            <w:tcW w:w="6668" w:type="dxa"/>
            <w:tcMar>
              <w:top w:w="113" w:type="dxa"/>
              <w:bottom w:w="113" w:type="dxa"/>
            </w:tcMar>
          </w:tcPr>
          <w:p w:rsidR="00431BC9" w:rsidRPr="00AB0BEC" w:rsidRDefault="00431BC9" w:rsidP="00DD63B4">
            <w:pPr>
              <w:rPr>
                <w:rFonts w:cs="Arial"/>
                <w:sz w:val="20"/>
              </w:rPr>
            </w:pPr>
            <w:r w:rsidRPr="00AB0BEC">
              <w:rPr>
                <w:rFonts w:cs="Arial"/>
                <w:sz w:val="20"/>
              </w:rPr>
              <w:t>There has been no formal Curriculum Renewal process but faculty regularly engage in informal curriculum renewal in an effort to maintain excellence and currency in course content and delivery (i.e. on a yearly basis)</w:t>
            </w:r>
            <w:r w:rsidR="00DD63B4" w:rsidRPr="00AB0BEC">
              <w:rPr>
                <w:rFonts w:cs="Arial"/>
                <w:sz w:val="20"/>
              </w:rPr>
              <w:t>.</w:t>
            </w:r>
            <w:r w:rsidR="00A80023">
              <w:rPr>
                <w:rFonts w:cs="Arial"/>
                <w:sz w:val="20"/>
              </w:rPr>
              <w:t xml:space="preserve"> (See Recommendation #3).</w:t>
            </w:r>
          </w:p>
          <w:p w:rsidR="00DD63B4" w:rsidRPr="00AB0BEC" w:rsidRDefault="00DD63B4" w:rsidP="00DD63B4">
            <w:pPr>
              <w:rPr>
                <w:rFonts w:cs="Arial"/>
                <w:sz w:val="20"/>
              </w:rPr>
            </w:pPr>
          </w:p>
          <w:p w:rsidR="00431BC9" w:rsidRPr="00AB0BEC" w:rsidRDefault="00431BC9" w:rsidP="00AB0BEC">
            <w:pPr>
              <w:rPr>
                <w:rFonts w:cs="Arial"/>
                <w:sz w:val="20"/>
              </w:rPr>
            </w:pPr>
            <w:r w:rsidRPr="00AB0BEC">
              <w:rPr>
                <w:rFonts w:cs="Arial"/>
                <w:sz w:val="20"/>
              </w:rPr>
              <w:t xml:space="preserve">The program team conducted a formal curriculum mapping project in Spring </w:t>
            </w:r>
            <w:r w:rsidR="000D6999">
              <w:rPr>
                <w:rFonts w:cs="Arial"/>
                <w:sz w:val="20"/>
              </w:rPr>
              <w:t>20</w:t>
            </w:r>
            <w:r w:rsidRPr="00AB0BEC">
              <w:rPr>
                <w:rFonts w:cs="Arial"/>
                <w:sz w:val="20"/>
              </w:rPr>
              <w:t>07 with the intention of ensuring a degree of inter</w:t>
            </w:r>
            <w:r w:rsidR="00AB0BEC" w:rsidRPr="00AB0BEC">
              <w:rPr>
                <w:rFonts w:cs="Arial"/>
                <w:sz w:val="20"/>
              </w:rPr>
              <w:t>-</w:t>
            </w:r>
            <w:r w:rsidR="000D6999" w:rsidRPr="00AB0BEC">
              <w:rPr>
                <w:rFonts w:cs="Arial"/>
                <w:sz w:val="20"/>
              </w:rPr>
              <w:t>disciplinari</w:t>
            </w:r>
            <w:r w:rsidR="000D6999">
              <w:rPr>
                <w:rFonts w:cs="Arial"/>
                <w:sz w:val="20"/>
              </w:rPr>
              <w:t>t</w:t>
            </w:r>
            <w:r w:rsidR="000D6999" w:rsidRPr="00AB0BEC">
              <w:rPr>
                <w:rFonts w:cs="Arial"/>
                <w:sz w:val="20"/>
              </w:rPr>
              <w:t>y</w:t>
            </w:r>
            <w:r w:rsidRPr="00AB0BEC">
              <w:rPr>
                <w:rFonts w:cs="Arial"/>
                <w:sz w:val="20"/>
              </w:rPr>
              <w:t xml:space="preserve"> and alignment of vocational and course outcomes</w:t>
            </w:r>
            <w:r w:rsidR="00AB0BEC" w:rsidRPr="00AB0BEC">
              <w:rPr>
                <w:rFonts w:cs="Arial"/>
                <w:sz w:val="20"/>
              </w:rPr>
              <w:t>.</w:t>
            </w:r>
          </w:p>
          <w:p w:rsidR="00AB0BEC" w:rsidRPr="00AB0BEC" w:rsidRDefault="00AB0BEC" w:rsidP="00AB0BEC">
            <w:pPr>
              <w:rPr>
                <w:rFonts w:cs="Arial"/>
                <w:sz w:val="20"/>
              </w:rPr>
            </w:pPr>
          </w:p>
          <w:p w:rsidR="00431BC9" w:rsidRPr="00AB0BEC" w:rsidRDefault="00431BC9" w:rsidP="00AB0BEC">
            <w:pPr>
              <w:rPr>
                <w:rFonts w:cs="Arial"/>
                <w:sz w:val="20"/>
              </w:rPr>
            </w:pPr>
            <w:r w:rsidRPr="00AB0BEC">
              <w:rPr>
                <w:rFonts w:cs="Arial"/>
                <w:sz w:val="20"/>
              </w:rPr>
              <w:t xml:space="preserve">Original courses </w:t>
            </w:r>
            <w:r w:rsidR="00AB0BEC" w:rsidRPr="00AB0BEC">
              <w:rPr>
                <w:rFonts w:cs="Arial"/>
                <w:sz w:val="20"/>
              </w:rPr>
              <w:t xml:space="preserve">offered in the program were </w:t>
            </w:r>
            <w:r w:rsidRPr="00AB0BEC">
              <w:rPr>
                <w:rFonts w:cs="Arial"/>
                <w:sz w:val="20"/>
              </w:rPr>
              <w:t xml:space="preserve">modeled on Trent’s equivalent courses; current versions of the Fleming UT courses have been checked against current versions of Trent courses through </w:t>
            </w:r>
            <w:r w:rsidR="006F06E0" w:rsidRPr="00AB0BEC">
              <w:rPr>
                <w:rFonts w:cs="Arial"/>
                <w:sz w:val="20"/>
              </w:rPr>
              <w:t xml:space="preserve">comparison </w:t>
            </w:r>
            <w:r w:rsidR="00AB0BEC" w:rsidRPr="00AB0BEC">
              <w:rPr>
                <w:rFonts w:cs="Arial"/>
                <w:sz w:val="20"/>
              </w:rPr>
              <w:t>of</w:t>
            </w:r>
            <w:r w:rsidRPr="00AB0BEC">
              <w:rPr>
                <w:rFonts w:cs="Arial"/>
                <w:sz w:val="20"/>
              </w:rPr>
              <w:t xml:space="preserve"> course outlines</w:t>
            </w:r>
            <w:r w:rsidR="00F45403" w:rsidRPr="00AB0BEC">
              <w:rPr>
                <w:rFonts w:cs="Arial"/>
                <w:sz w:val="20"/>
              </w:rPr>
              <w:t xml:space="preserve"> </w:t>
            </w:r>
            <w:r w:rsidR="00AB0BEC" w:rsidRPr="00AB0BEC">
              <w:rPr>
                <w:rFonts w:cs="Arial"/>
                <w:sz w:val="20"/>
              </w:rPr>
              <w:t xml:space="preserve">and </w:t>
            </w:r>
            <w:r w:rsidR="00122665" w:rsidRPr="00AB0BEC">
              <w:rPr>
                <w:rFonts w:cs="Arial"/>
                <w:sz w:val="20"/>
              </w:rPr>
              <w:t>course</w:t>
            </w:r>
            <w:r w:rsidR="004032BC" w:rsidRPr="00AB0BEC">
              <w:rPr>
                <w:rFonts w:cs="Arial"/>
                <w:sz w:val="20"/>
              </w:rPr>
              <w:t xml:space="preserve"> descr</w:t>
            </w:r>
            <w:r w:rsidR="00122665" w:rsidRPr="00AB0BEC">
              <w:rPr>
                <w:rFonts w:cs="Arial"/>
                <w:sz w:val="20"/>
              </w:rPr>
              <w:t xml:space="preserve">iptions. </w:t>
            </w:r>
            <w:r w:rsidR="000D6999">
              <w:rPr>
                <w:rFonts w:cs="Arial"/>
                <w:sz w:val="20"/>
              </w:rPr>
              <w:t>(See Recommendation #17).</w:t>
            </w:r>
          </w:p>
          <w:p w:rsidR="00431BC9" w:rsidRDefault="00431BC9" w:rsidP="00AB0BEC">
            <w:pPr>
              <w:rPr>
                <w:rFonts w:cs="Arial"/>
                <w:sz w:val="20"/>
              </w:rPr>
            </w:pPr>
          </w:p>
          <w:p w:rsidR="00104938" w:rsidRPr="00AB0BEC" w:rsidRDefault="005B4BFE" w:rsidP="005B4BFE">
            <w:pPr>
              <w:rPr>
                <w:rFonts w:cs="Arial"/>
                <w:sz w:val="20"/>
              </w:rPr>
            </w:pPr>
            <w:r>
              <w:rPr>
                <w:rFonts w:cs="Arial"/>
                <w:sz w:val="20"/>
              </w:rPr>
              <w:t xml:space="preserve">Although no formal curriculum renewal process currently exists, </w:t>
            </w:r>
            <w:r w:rsidR="00104938">
              <w:rPr>
                <w:rFonts w:cs="Arial"/>
                <w:sz w:val="20"/>
              </w:rPr>
              <w:t xml:space="preserve">the UT faculty have been meeting with CLT on a regular basis to discuss </w:t>
            </w:r>
            <w:r>
              <w:rPr>
                <w:rFonts w:cs="Arial"/>
                <w:sz w:val="20"/>
              </w:rPr>
              <w:t>curriculum during the current Program Review of the GAS-UT program.</w:t>
            </w:r>
            <w:r w:rsidR="00104938">
              <w:rPr>
                <w:rFonts w:cs="Arial"/>
                <w:sz w:val="20"/>
              </w:rPr>
              <w:t xml:space="preserve">  </w:t>
            </w:r>
            <w:r w:rsidR="00104938" w:rsidRPr="00104938">
              <w:rPr>
                <w:rFonts w:cs="Arial"/>
                <w:sz w:val="20"/>
                <w:highlight w:val="cyan"/>
              </w:rPr>
              <w:t xml:space="preserve">Appendix </w:t>
            </w:r>
            <w:r w:rsidR="00E01626">
              <w:rPr>
                <w:rFonts w:cs="Arial"/>
                <w:sz w:val="20"/>
                <w:highlight w:val="cyan"/>
              </w:rPr>
              <w:t>E</w:t>
            </w:r>
            <w:r w:rsidR="00104938" w:rsidRPr="00104938">
              <w:rPr>
                <w:rFonts w:cs="Arial"/>
                <w:sz w:val="20"/>
                <w:highlight w:val="cyan"/>
              </w:rPr>
              <w:t xml:space="preserve"> is a compilation of their meeting minutes.</w:t>
            </w:r>
            <w:r>
              <w:rPr>
                <w:rFonts w:cs="Arial"/>
                <w:sz w:val="20"/>
              </w:rPr>
              <w:t xml:space="preserve"> Recommendation #3 will ensure that Curriculum Renewal occurs on an annual basis.</w:t>
            </w:r>
          </w:p>
        </w:tc>
      </w:tr>
      <w:tr w:rsidR="00276F6B" w:rsidRPr="000C3BAA" w:rsidTr="000C3BAA">
        <w:tc>
          <w:tcPr>
            <w:tcW w:w="6668"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2.3 Curriculum Map</w:t>
            </w:r>
          </w:p>
          <w:p w:rsidR="00276F6B" w:rsidRPr="000C3BAA" w:rsidRDefault="00276F6B" w:rsidP="000C3BAA">
            <w:pPr>
              <w:pStyle w:val="Title"/>
              <w:jc w:val="left"/>
              <w:rPr>
                <w:rFonts w:ascii="Arial" w:hAnsi="Arial" w:cs="Arial"/>
                <w:b/>
                <w:sz w:val="20"/>
              </w:rPr>
            </w:pPr>
          </w:p>
          <w:p w:rsidR="00276F6B" w:rsidRPr="000C3BAA" w:rsidRDefault="00276F6B" w:rsidP="000C3BAA">
            <w:pPr>
              <w:pStyle w:val="Title"/>
              <w:numPr>
                <w:ilvl w:val="0"/>
                <w:numId w:val="7"/>
              </w:numPr>
              <w:tabs>
                <w:tab w:val="clear" w:pos="720"/>
                <w:tab w:val="num" w:pos="360"/>
              </w:tabs>
              <w:ind w:left="360"/>
              <w:jc w:val="left"/>
              <w:rPr>
                <w:rFonts w:ascii="Arial" w:hAnsi="Arial" w:cs="Arial"/>
                <w:sz w:val="20"/>
              </w:rPr>
            </w:pPr>
            <w:r w:rsidRPr="000C3BAA">
              <w:rPr>
                <w:rFonts w:ascii="Arial" w:hAnsi="Arial" w:cs="Arial"/>
                <w:sz w:val="20"/>
              </w:rPr>
              <w:t>Review the Program Curriculum Map and discuss the extent to which there is alignment of vocational and course outcomes</w:t>
            </w:r>
          </w:p>
          <w:p w:rsidR="00276F6B" w:rsidRPr="000C3BAA" w:rsidRDefault="00276F6B" w:rsidP="000C3BAA">
            <w:pPr>
              <w:pStyle w:val="Title"/>
              <w:numPr>
                <w:ilvl w:val="0"/>
                <w:numId w:val="7"/>
              </w:numPr>
              <w:tabs>
                <w:tab w:val="clear" w:pos="720"/>
                <w:tab w:val="num" w:pos="360"/>
              </w:tabs>
              <w:ind w:left="360"/>
              <w:jc w:val="left"/>
              <w:rPr>
                <w:rFonts w:ascii="Arial" w:hAnsi="Arial" w:cs="Arial"/>
                <w:sz w:val="20"/>
              </w:rPr>
            </w:pPr>
            <w:r w:rsidRPr="000C3BAA">
              <w:rPr>
                <w:rFonts w:ascii="Arial" w:hAnsi="Arial" w:cs="Arial"/>
                <w:sz w:val="20"/>
              </w:rPr>
              <w:t>Review / discuss the distribution and progression of Vocational Learning Outcomes, Essential Employability Skills, and General Education themes across the curriculum.</w:t>
            </w:r>
          </w:p>
          <w:p w:rsidR="00276F6B" w:rsidRPr="000C3BAA" w:rsidRDefault="00276F6B" w:rsidP="000C3BAA">
            <w:pPr>
              <w:tabs>
                <w:tab w:val="left" w:pos="72"/>
              </w:tabs>
              <w:rPr>
                <w:rFonts w:cs="Arial"/>
                <w:b/>
                <w:sz w:val="20"/>
              </w:rPr>
            </w:pPr>
            <w:r w:rsidRPr="000C3BAA">
              <w:rPr>
                <w:rFonts w:cs="Arial"/>
                <w:b/>
                <w:sz w:val="20"/>
                <w:lang w:val="en-GB"/>
              </w:rPr>
              <w:lastRenderedPageBreak/>
              <w:t xml:space="preserve">      Submit an updated curriculum map as an attachment</w:t>
            </w:r>
            <w:r w:rsidRPr="000C3BAA">
              <w:rPr>
                <w:rFonts w:cs="Arial"/>
                <w:b/>
                <w:sz w:val="20"/>
              </w:rPr>
              <w:t>.</w:t>
            </w:r>
          </w:p>
        </w:tc>
        <w:tc>
          <w:tcPr>
            <w:tcW w:w="6668" w:type="dxa"/>
            <w:tcMar>
              <w:top w:w="113" w:type="dxa"/>
              <w:bottom w:w="113" w:type="dxa"/>
            </w:tcMar>
          </w:tcPr>
          <w:p w:rsidR="00AE4F35" w:rsidRDefault="00AE4F35" w:rsidP="00AE4F35">
            <w:pPr>
              <w:rPr>
                <w:rFonts w:cs="Arial"/>
                <w:sz w:val="20"/>
              </w:rPr>
            </w:pPr>
            <w:r w:rsidRPr="00AB0BEC">
              <w:rPr>
                <w:rFonts w:cs="Arial"/>
                <w:sz w:val="20"/>
              </w:rPr>
              <w:lastRenderedPageBreak/>
              <w:t>The current curriculum maps can be accessed through the CLT shared folder at the following location:</w:t>
            </w:r>
          </w:p>
          <w:p w:rsidR="00D518B1" w:rsidRPr="00AB0BEC" w:rsidRDefault="00D518B1" w:rsidP="00AE4F35">
            <w:pPr>
              <w:rPr>
                <w:rFonts w:cs="Arial"/>
                <w:sz w:val="20"/>
              </w:rPr>
            </w:pPr>
          </w:p>
          <w:p w:rsidR="00276F6B" w:rsidRPr="00AB0BEC" w:rsidRDefault="00AE4F35" w:rsidP="00AE4F35">
            <w:pPr>
              <w:rPr>
                <w:rFonts w:cs="Arial"/>
                <w:sz w:val="20"/>
              </w:rPr>
            </w:pPr>
            <w:r w:rsidRPr="00AB0BEC">
              <w:rPr>
                <w:rFonts w:cs="Arial"/>
                <w:sz w:val="20"/>
              </w:rPr>
              <w:t xml:space="preserve"> S:\shared data\CLT\School of General Arts and Sciences\GAS SCHOOL PROGRAMS\General Arts and Science - University Transfer_GSU\Program Curriculum Map</w:t>
            </w:r>
          </w:p>
          <w:p w:rsidR="00AE4F35" w:rsidRPr="00AB0BEC" w:rsidRDefault="00AE4F35" w:rsidP="00AE4F35">
            <w:pPr>
              <w:rPr>
                <w:rFonts w:cs="Arial"/>
                <w:sz w:val="20"/>
              </w:rPr>
            </w:pPr>
          </w:p>
          <w:p w:rsidR="00AE4F35" w:rsidRPr="00AE4F35" w:rsidRDefault="00AE4F35" w:rsidP="00E01626">
            <w:pPr>
              <w:rPr>
                <w:rFonts w:cs="Arial"/>
                <w:b/>
                <w:color w:val="4F81BD"/>
                <w:sz w:val="28"/>
                <w:szCs w:val="28"/>
              </w:rPr>
            </w:pPr>
            <w:r w:rsidRPr="00AB0BEC">
              <w:rPr>
                <w:rFonts w:cs="Arial"/>
                <w:sz w:val="20"/>
              </w:rPr>
              <w:lastRenderedPageBreak/>
              <w:t xml:space="preserve">An updated curriculum map </w:t>
            </w:r>
            <w:r w:rsidR="00AB0BEC" w:rsidRPr="00AB0BEC">
              <w:rPr>
                <w:rFonts w:cs="Arial"/>
                <w:sz w:val="20"/>
              </w:rPr>
              <w:t>is</w:t>
            </w:r>
            <w:r w:rsidRPr="00AB0BEC">
              <w:rPr>
                <w:rFonts w:cs="Arial"/>
                <w:sz w:val="20"/>
              </w:rPr>
              <w:t xml:space="preserve"> included as an attachment to this document</w:t>
            </w:r>
            <w:r w:rsidR="00AB0BEC" w:rsidRPr="00AB0BEC">
              <w:rPr>
                <w:rFonts w:cs="Arial"/>
                <w:sz w:val="20"/>
              </w:rPr>
              <w:t xml:space="preserve"> (</w:t>
            </w:r>
            <w:r w:rsidR="00AB0BEC" w:rsidRPr="000176C5">
              <w:rPr>
                <w:rFonts w:cs="Arial"/>
                <w:sz w:val="20"/>
                <w:highlight w:val="cyan"/>
              </w:rPr>
              <w:t xml:space="preserve">Appendix </w:t>
            </w:r>
            <w:r w:rsidR="00E01626">
              <w:rPr>
                <w:rFonts w:cs="Arial"/>
                <w:sz w:val="20"/>
                <w:highlight w:val="cyan"/>
              </w:rPr>
              <w:t>F</w:t>
            </w:r>
            <w:r w:rsidR="00AB0BEC" w:rsidRPr="000176C5">
              <w:rPr>
                <w:rFonts w:cs="Arial"/>
                <w:sz w:val="20"/>
                <w:highlight w:val="cyan"/>
              </w:rPr>
              <w:t>)</w:t>
            </w:r>
            <w:r w:rsidRPr="000176C5">
              <w:rPr>
                <w:rFonts w:cs="Arial"/>
                <w:sz w:val="20"/>
                <w:highlight w:val="cyan"/>
              </w:rPr>
              <w:t>.</w:t>
            </w:r>
            <w:r w:rsidRPr="003C7BA8">
              <w:rPr>
                <w:rFonts w:cs="Arial"/>
                <w:b/>
                <w:color w:val="4F81BD"/>
                <w:szCs w:val="22"/>
              </w:rPr>
              <w:t xml:space="preserve">  </w:t>
            </w:r>
          </w:p>
        </w:tc>
      </w:tr>
    </w:tbl>
    <w:p w:rsidR="00276F6B" w:rsidRDefault="00276F6B" w:rsidP="00276F6B"/>
    <w:tbl>
      <w:tblPr>
        <w:tblW w:w="13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6660"/>
      </w:tblGrid>
      <w:tr w:rsidR="00276F6B" w:rsidRPr="000C3BAA" w:rsidTr="000C3BAA">
        <w:trPr>
          <w:trHeight w:val="1602"/>
        </w:trPr>
        <w:tc>
          <w:tcPr>
            <w:tcW w:w="6660"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2.4 Curriculum Sequencing</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sz w:val="20"/>
              </w:rPr>
            </w:pPr>
            <w:r w:rsidRPr="000C3BAA">
              <w:rPr>
                <w:rFonts w:cs="Arial"/>
                <w:b/>
                <w:sz w:val="20"/>
              </w:rPr>
              <w:t>Review / discuss:</w:t>
            </w:r>
          </w:p>
          <w:p w:rsidR="00276F6B" w:rsidRPr="000C3BAA" w:rsidRDefault="00276F6B" w:rsidP="00276F6B">
            <w:pPr>
              <w:rPr>
                <w:rFonts w:cs="Arial"/>
                <w:b/>
                <w:bCs/>
                <w:sz w:val="20"/>
              </w:rPr>
            </w:pPr>
          </w:p>
          <w:p w:rsidR="00276F6B" w:rsidRPr="000C3BAA" w:rsidRDefault="00276F6B" w:rsidP="000C3BAA">
            <w:pPr>
              <w:pStyle w:val="Title"/>
              <w:numPr>
                <w:ilvl w:val="0"/>
                <w:numId w:val="4"/>
              </w:numPr>
              <w:tabs>
                <w:tab w:val="clear" w:pos="720"/>
                <w:tab w:val="num" w:pos="360"/>
              </w:tabs>
              <w:ind w:left="360"/>
              <w:jc w:val="left"/>
              <w:rPr>
                <w:rFonts w:ascii="Arial" w:hAnsi="Arial" w:cs="Arial"/>
                <w:b/>
                <w:sz w:val="20"/>
              </w:rPr>
            </w:pPr>
            <w:r w:rsidRPr="000C3BAA">
              <w:rPr>
                <w:rFonts w:ascii="Arial" w:hAnsi="Arial" w:cs="Arial"/>
                <w:sz w:val="20"/>
              </w:rPr>
              <w:t>The extent to which course content, levels of learning, and assessment methodology are successfully sequenced and aligned between courses and across semesters</w:t>
            </w:r>
          </w:p>
        </w:tc>
        <w:tc>
          <w:tcPr>
            <w:tcW w:w="6660" w:type="dxa"/>
            <w:tcMar>
              <w:top w:w="113" w:type="dxa"/>
              <w:bottom w:w="113" w:type="dxa"/>
            </w:tcMar>
          </w:tcPr>
          <w:p w:rsidR="00276F6B" w:rsidRDefault="00AE4F35" w:rsidP="00110E3B">
            <w:pPr>
              <w:jc w:val="both"/>
              <w:rPr>
                <w:rFonts w:cs="Arial"/>
                <w:sz w:val="20"/>
              </w:rPr>
            </w:pPr>
            <w:r w:rsidRPr="00110E3B">
              <w:rPr>
                <w:rFonts w:cs="Arial"/>
                <w:sz w:val="20"/>
              </w:rPr>
              <w:t xml:space="preserve">The UT Faculty met during the </w:t>
            </w:r>
            <w:r w:rsidR="00110E3B">
              <w:rPr>
                <w:rFonts w:cs="Arial"/>
                <w:sz w:val="20"/>
              </w:rPr>
              <w:t xml:space="preserve">2010 </w:t>
            </w:r>
            <w:r w:rsidRPr="00110E3B">
              <w:rPr>
                <w:rFonts w:cs="Arial"/>
                <w:sz w:val="20"/>
              </w:rPr>
              <w:t>Spring/Summer and Fall terms to review and revise current course descriptions, course aims, course learning outcomes</w:t>
            </w:r>
            <w:r w:rsidR="000D27FB" w:rsidRPr="00110E3B">
              <w:rPr>
                <w:rFonts w:cs="Arial"/>
                <w:sz w:val="20"/>
              </w:rPr>
              <w:t>, levels of learning, course sequencing</w:t>
            </w:r>
            <w:r w:rsidRPr="00110E3B">
              <w:rPr>
                <w:rFonts w:cs="Arial"/>
                <w:sz w:val="20"/>
              </w:rPr>
              <w:t xml:space="preserve"> and course assessments. </w:t>
            </w:r>
            <w:r w:rsidR="008770F3" w:rsidRPr="00110E3B">
              <w:rPr>
                <w:rFonts w:cs="Arial"/>
                <w:sz w:val="20"/>
              </w:rPr>
              <w:t>Updates have been captured in the “Course</w:t>
            </w:r>
            <w:r w:rsidR="00122665" w:rsidRPr="00110E3B">
              <w:rPr>
                <w:rFonts w:cs="Arial"/>
                <w:sz w:val="20"/>
              </w:rPr>
              <w:t xml:space="preserve"> Alignment Chart</w:t>
            </w:r>
            <w:r w:rsidR="008770F3" w:rsidRPr="00110E3B">
              <w:rPr>
                <w:rFonts w:cs="Arial"/>
                <w:sz w:val="20"/>
              </w:rPr>
              <w:t>” document</w:t>
            </w:r>
            <w:r w:rsidR="00051AA0">
              <w:rPr>
                <w:rFonts w:cs="Arial"/>
                <w:sz w:val="20"/>
              </w:rPr>
              <w:t>s</w:t>
            </w:r>
            <w:r w:rsidR="008770F3" w:rsidRPr="00110E3B">
              <w:rPr>
                <w:rFonts w:cs="Arial"/>
                <w:sz w:val="20"/>
              </w:rPr>
              <w:t xml:space="preserve"> which </w:t>
            </w:r>
            <w:r w:rsidR="00051AA0">
              <w:rPr>
                <w:rFonts w:cs="Arial"/>
                <w:sz w:val="20"/>
              </w:rPr>
              <w:t>are</w:t>
            </w:r>
            <w:r w:rsidR="008770F3" w:rsidRPr="00110E3B">
              <w:rPr>
                <w:rFonts w:cs="Arial"/>
                <w:sz w:val="20"/>
              </w:rPr>
              <w:t xml:space="preserve"> stored at the following location:</w:t>
            </w:r>
          </w:p>
          <w:p w:rsidR="00B0396A" w:rsidRDefault="00B0396A" w:rsidP="00110E3B">
            <w:pPr>
              <w:jc w:val="both"/>
              <w:rPr>
                <w:rFonts w:cs="Arial"/>
                <w:sz w:val="20"/>
              </w:rPr>
            </w:pPr>
          </w:p>
          <w:p w:rsidR="00B0396A" w:rsidRPr="00110E3B" w:rsidRDefault="00B0396A" w:rsidP="00110E3B">
            <w:pPr>
              <w:jc w:val="both"/>
              <w:rPr>
                <w:rFonts w:cs="Arial"/>
                <w:sz w:val="20"/>
              </w:rPr>
            </w:pPr>
            <w:r w:rsidRPr="00B0396A">
              <w:rPr>
                <w:rFonts w:cs="Arial"/>
                <w:sz w:val="20"/>
              </w:rPr>
              <w:t>S:\shared data\CLT\School of General Arts and Sciences\GAS SCHOOL PROGRAMS\General Arts and Science - University Transfer_GSU\Program Review Reports\Course Alignment Charts by Course</w:t>
            </w:r>
          </w:p>
          <w:p w:rsidR="008770F3" w:rsidRPr="00110E3B" w:rsidRDefault="008770F3" w:rsidP="00110E3B">
            <w:pPr>
              <w:jc w:val="both"/>
              <w:rPr>
                <w:rFonts w:cs="Arial"/>
                <w:sz w:val="20"/>
              </w:rPr>
            </w:pPr>
          </w:p>
          <w:p w:rsidR="008770F3" w:rsidRPr="00110E3B" w:rsidRDefault="000D27FB" w:rsidP="00110E3B">
            <w:pPr>
              <w:jc w:val="both"/>
              <w:rPr>
                <w:rFonts w:cs="Arial"/>
                <w:sz w:val="20"/>
              </w:rPr>
            </w:pPr>
            <w:r w:rsidRPr="00110E3B">
              <w:rPr>
                <w:rFonts w:cs="Arial"/>
                <w:sz w:val="20"/>
              </w:rPr>
              <w:t>The updated “Course</w:t>
            </w:r>
            <w:r w:rsidR="00122665" w:rsidRPr="00110E3B">
              <w:rPr>
                <w:rFonts w:cs="Arial"/>
                <w:sz w:val="20"/>
              </w:rPr>
              <w:t xml:space="preserve"> Alignment Chart</w:t>
            </w:r>
            <w:r w:rsidRPr="00110E3B">
              <w:rPr>
                <w:rFonts w:cs="Arial"/>
                <w:sz w:val="20"/>
              </w:rPr>
              <w:t xml:space="preserve">” </w:t>
            </w:r>
            <w:r w:rsidR="00122665" w:rsidRPr="00110E3B">
              <w:rPr>
                <w:rFonts w:cs="Arial"/>
                <w:sz w:val="20"/>
              </w:rPr>
              <w:t>document</w:t>
            </w:r>
            <w:r w:rsidR="00B0396A">
              <w:rPr>
                <w:rFonts w:cs="Arial"/>
                <w:sz w:val="20"/>
              </w:rPr>
              <w:t>s</w:t>
            </w:r>
            <w:r w:rsidRPr="00110E3B">
              <w:rPr>
                <w:rFonts w:cs="Arial"/>
                <w:sz w:val="20"/>
              </w:rPr>
              <w:t xml:space="preserve"> </w:t>
            </w:r>
            <w:r w:rsidR="00B0396A">
              <w:rPr>
                <w:rFonts w:cs="Arial"/>
                <w:sz w:val="20"/>
              </w:rPr>
              <w:t xml:space="preserve">are </w:t>
            </w:r>
            <w:r w:rsidRPr="00110E3B">
              <w:rPr>
                <w:rFonts w:cs="Arial"/>
                <w:sz w:val="20"/>
              </w:rPr>
              <w:t>also included as an attachment to this Program Review document</w:t>
            </w:r>
            <w:r w:rsidR="00110E3B">
              <w:rPr>
                <w:rFonts w:cs="Arial"/>
                <w:sz w:val="20"/>
              </w:rPr>
              <w:t xml:space="preserve"> (</w:t>
            </w:r>
            <w:r w:rsidR="00110E3B" w:rsidRPr="000176C5">
              <w:rPr>
                <w:rFonts w:cs="Arial"/>
                <w:sz w:val="20"/>
                <w:highlight w:val="cyan"/>
              </w:rPr>
              <w:t xml:space="preserve">Appendix </w:t>
            </w:r>
            <w:r w:rsidR="00E01626">
              <w:rPr>
                <w:rFonts w:cs="Arial"/>
                <w:sz w:val="20"/>
                <w:highlight w:val="cyan"/>
              </w:rPr>
              <w:t>F</w:t>
            </w:r>
            <w:r w:rsidR="00110E3B" w:rsidRPr="000176C5">
              <w:rPr>
                <w:rFonts w:cs="Arial"/>
                <w:sz w:val="20"/>
                <w:highlight w:val="cyan"/>
              </w:rPr>
              <w:t>)</w:t>
            </w:r>
            <w:r w:rsidRPr="000176C5">
              <w:rPr>
                <w:rFonts w:cs="Arial"/>
                <w:sz w:val="20"/>
                <w:highlight w:val="cyan"/>
              </w:rPr>
              <w:t>.</w:t>
            </w:r>
            <w:r w:rsidRPr="00110E3B">
              <w:rPr>
                <w:rFonts w:cs="Arial"/>
                <w:sz w:val="20"/>
              </w:rPr>
              <w:t xml:space="preserve">  </w:t>
            </w:r>
          </w:p>
          <w:p w:rsidR="000D27FB" w:rsidRPr="00110E3B" w:rsidRDefault="000D27FB" w:rsidP="00110E3B">
            <w:pPr>
              <w:jc w:val="both"/>
              <w:rPr>
                <w:rFonts w:cs="Arial"/>
                <w:sz w:val="20"/>
              </w:rPr>
            </w:pPr>
          </w:p>
          <w:p w:rsidR="000D27FB" w:rsidRPr="00AE4F35" w:rsidRDefault="000D27FB" w:rsidP="002520E8">
            <w:pPr>
              <w:jc w:val="both"/>
              <w:rPr>
                <w:rFonts w:cs="Arial"/>
                <w:b/>
                <w:color w:val="4F81BD"/>
                <w:sz w:val="24"/>
                <w:szCs w:val="24"/>
              </w:rPr>
            </w:pPr>
            <w:r w:rsidRPr="00110E3B">
              <w:rPr>
                <w:rFonts w:cs="Arial"/>
                <w:sz w:val="20"/>
              </w:rPr>
              <w:t xml:space="preserve">The GAS UT Faculty will identify which assessments will </w:t>
            </w:r>
            <w:r w:rsidR="002520E8">
              <w:rPr>
                <w:rFonts w:cs="Arial"/>
                <w:sz w:val="20"/>
              </w:rPr>
              <w:t xml:space="preserve">serve as “cross-over” assignments in the 2012 Spring/Summer semester. </w:t>
            </w:r>
            <w:r>
              <w:rPr>
                <w:rFonts w:cs="Arial"/>
                <w:b/>
                <w:color w:val="4F81BD"/>
                <w:sz w:val="24"/>
                <w:szCs w:val="24"/>
              </w:rPr>
              <w:t xml:space="preserve"> </w:t>
            </w:r>
          </w:p>
        </w:tc>
      </w:tr>
      <w:tr w:rsidR="00276F6B" w:rsidRPr="000C3BAA" w:rsidTr="000C3BAA">
        <w:tc>
          <w:tcPr>
            <w:tcW w:w="6660" w:type="dxa"/>
            <w:tcMar>
              <w:top w:w="113" w:type="dxa"/>
              <w:bottom w:w="113" w:type="dxa"/>
            </w:tcMar>
          </w:tcPr>
          <w:p w:rsidR="00276F6B" w:rsidRPr="000C3BAA" w:rsidRDefault="00276F6B" w:rsidP="00276F6B">
            <w:pPr>
              <w:rPr>
                <w:rFonts w:cs="Arial"/>
                <w:b/>
                <w:sz w:val="20"/>
              </w:rPr>
            </w:pPr>
            <w:r w:rsidRPr="000C3BAA">
              <w:rPr>
                <w:rFonts w:cs="Arial"/>
                <w:b/>
                <w:sz w:val="20"/>
              </w:rPr>
              <w:t>2.5 Delivery Mode</w:t>
            </w:r>
          </w:p>
          <w:p w:rsidR="00276F6B" w:rsidRPr="000C3BAA" w:rsidRDefault="00276F6B" w:rsidP="00276F6B">
            <w:pPr>
              <w:rPr>
                <w:rFonts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4"/>
              </w:numPr>
              <w:tabs>
                <w:tab w:val="clear" w:pos="720"/>
                <w:tab w:val="num" w:pos="360"/>
              </w:tabs>
              <w:ind w:left="360"/>
              <w:rPr>
                <w:rFonts w:cs="Arial"/>
                <w:sz w:val="20"/>
              </w:rPr>
            </w:pPr>
            <w:r w:rsidRPr="000C3BAA">
              <w:rPr>
                <w:rFonts w:cs="Arial"/>
                <w:sz w:val="20"/>
              </w:rPr>
              <w:t xml:space="preserve">The </w:t>
            </w:r>
            <w:r w:rsidRPr="000C3BAA">
              <w:rPr>
                <w:rFonts w:cs="Arial"/>
                <w:i/>
                <w:sz w:val="20"/>
              </w:rPr>
              <w:t>primary</w:t>
            </w:r>
            <w:r w:rsidRPr="000C3BAA">
              <w:rPr>
                <w:rFonts w:cs="Arial"/>
                <w:sz w:val="20"/>
              </w:rPr>
              <w:t xml:space="preserve"> modes used to deliver curriculum such as lecture, seminar, lab, applied project, field camp and web based or hybrid courses</w:t>
            </w:r>
          </w:p>
          <w:p w:rsidR="00276F6B" w:rsidRPr="000C3BAA" w:rsidRDefault="00276F6B" w:rsidP="000C3BAA">
            <w:pPr>
              <w:pStyle w:val="Title"/>
              <w:numPr>
                <w:ilvl w:val="0"/>
                <w:numId w:val="4"/>
              </w:numPr>
              <w:tabs>
                <w:tab w:val="clear" w:pos="720"/>
                <w:tab w:val="num" w:pos="360"/>
              </w:tabs>
              <w:ind w:left="360"/>
              <w:jc w:val="left"/>
              <w:rPr>
                <w:rFonts w:ascii="Arial" w:hAnsi="Arial" w:cs="Arial"/>
                <w:b/>
                <w:sz w:val="20"/>
              </w:rPr>
            </w:pPr>
            <w:r w:rsidRPr="000C3BAA">
              <w:rPr>
                <w:rFonts w:ascii="Arial" w:hAnsi="Arial" w:cs="Arial"/>
                <w:sz w:val="20"/>
              </w:rPr>
              <w:t>The rationale for, and appropriateness of, these delivery modes in relation to program learning outcomes</w:t>
            </w:r>
          </w:p>
        </w:tc>
        <w:tc>
          <w:tcPr>
            <w:tcW w:w="6660" w:type="dxa"/>
            <w:tcMar>
              <w:top w:w="113" w:type="dxa"/>
              <w:bottom w:w="113" w:type="dxa"/>
            </w:tcMar>
          </w:tcPr>
          <w:p w:rsidR="00276F6B" w:rsidRPr="000B7569" w:rsidRDefault="003A6759" w:rsidP="000B7569">
            <w:pPr>
              <w:jc w:val="both"/>
              <w:rPr>
                <w:rFonts w:cs="Arial"/>
                <w:sz w:val="20"/>
              </w:rPr>
            </w:pPr>
            <w:r w:rsidRPr="000B7569">
              <w:rPr>
                <w:rFonts w:cs="Arial"/>
                <w:sz w:val="20"/>
              </w:rPr>
              <w:t xml:space="preserve">Curriculum in the GAS UT certificate is </w:t>
            </w:r>
            <w:r w:rsidR="000B7569" w:rsidRPr="000B7569">
              <w:rPr>
                <w:rFonts w:cs="Arial"/>
                <w:sz w:val="20"/>
              </w:rPr>
              <w:t xml:space="preserve">currently </w:t>
            </w:r>
            <w:r w:rsidRPr="000B7569">
              <w:rPr>
                <w:rFonts w:cs="Arial"/>
                <w:sz w:val="20"/>
              </w:rPr>
              <w:t xml:space="preserve">delivered in a variety of modes, with an emphasis on lecture and seminar components for the majority of courses.  </w:t>
            </w:r>
            <w:r w:rsidR="00AA6CDB">
              <w:rPr>
                <w:rFonts w:cs="Arial"/>
                <w:sz w:val="20"/>
              </w:rPr>
              <w:t>During the Program Review process, the UT faculty suggested the consideration of alternate delivery modes such as online and hybrid versions of the UT program.  (See Recommendation #13).</w:t>
            </w:r>
          </w:p>
          <w:p w:rsidR="004032BC" w:rsidRPr="000B7569" w:rsidRDefault="004032BC" w:rsidP="000B7569">
            <w:pPr>
              <w:jc w:val="both"/>
              <w:rPr>
                <w:rFonts w:cs="Arial"/>
                <w:sz w:val="20"/>
              </w:rPr>
            </w:pPr>
          </w:p>
          <w:p w:rsidR="000B7569" w:rsidRPr="00E01626" w:rsidRDefault="000B7569" w:rsidP="000B7569">
            <w:pPr>
              <w:jc w:val="both"/>
              <w:rPr>
                <w:rFonts w:cs="Arial"/>
                <w:sz w:val="20"/>
              </w:rPr>
            </w:pPr>
            <w:r w:rsidRPr="00E01626">
              <w:rPr>
                <w:rFonts w:cs="Arial"/>
                <w:sz w:val="20"/>
              </w:rPr>
              <w:t>The courses are delivered as follows in semester one:</w:t>
            </w:r>
          </w:p>
          <w:p w:rsidR="000B7569" w:rsidRPr="00E01626" w:rsidRDefault="000B7569" w:rsidP="000B7569">
            <w:pPr>
              <w:jc w:val="both"/>
              <w:rPr>
                <w:rFonts w:cs="Arial"/>
                <w:sz w:val="20"/>
              </w:rPr>
            </w:pPr>
            <w:r w:rsidRPr="00E01626">
              <w:rPr>
                <w:rFonts w:cs="Arial"/>
                <w:sz w:val="20"/>
              </w:rPr>
              <w:t>English Literature I– 1 hour lecture + 2 hour seminar</w:t>
            </w:r>
          </w:p>
          <w:p w:rsidR="000B7569" w:rsidRPr="00E01626" w:rsidRDefault="00564CE9" w:rsidP="000B7569">
            <w:pPr>
              <w:jc w:val="both"/>
              <w:rPr>
                <w:rFonts w:cs="Arial"/>
                <w:sz w:val="20"/>
              </w:rPr>
            </w:pPr>
            <w:r w:rsidRPr="00E01626">
              <w:rPr>
                <w:rFonts w:cs="Arial"/>
                <w:sz w:val="20"/>
              </w:rPr>
              <w:t xml:space="preserve">Language </w:t>
            </w:r>
            <w:r w:rsidR="000B7569" w:rsidRPr="00E01626">
              <w:rPr>
                <w:rFonts w:cs="Arial"/>
                <w:sz w:val="20"/>
              </w:rPr>
              <w:t>Composition – 1 hour seminar + 2 hour seminar</w:t>
            </w:r>
          </w:p>
          <w:p w:rsidR="000B7569" w:rsidRPr="00E01626" w:rsidRDefault="00564CE9" w:rsidP="000B7569">
            <w:pPr>
              <w:jc w:val="both"/>
              <w:rPr>
                <w:rFonts w:cs="Arial"/>
                <w:sz w:val="20"/>
              </w:rPr>
            </w:pPr>
            <w:r w:rsidRPr="00E01626">
              <w:rPr>
                <w:rFonts w:cs="Arial"/>
                <w:sz w:val="20"/>
              </w:rPr>
              <w:t xml:space="preserve">Early Modern </w:t>
            </w:r>
            <w:r w:rsidR="000B7569" w:rsidRPr="00E01626">
              <w:rPr>
                <w:rFonts w:cs="Arial"/>
                <w:sz w:val="20"/>
              </w:rPr>
              <w:t>Philosophy I – 1 hour lecture + 2 hour seminar</w:t>
            </w:r>
          </w:p>
          <w:p w:rsidR="000B7569" w:rsidRPr="00E01626" w:rsidRDefault="000B7569" w:rsidP="000B7569">
            <w:pPr>
              <w:jc w:val="both"/>
              <w:rPr>
                <w:rFonts w:cs="Arial"/>
                <w:sz w:val="20"/>
              </w:rPr>
            </w:pPr>
            <w:r w:rsidRPr="00E01626">
              <w:rPr>
                <w:rFonts w:cs="Arial"/>
                <w:sz w:val="20"/>
              </w:rPr>
              <w:t>Critical</w:t>
            </w:r>
            <w:r w:rsidR="00564CE9" w:rsidRPr="00E01626">
              <w:rPr>
                <w:rFonts w:cs="Arial"/>
                <w:sz w:val="20"/>
              </w:rPr>
              <w:t>ly Aware</w:t>
            </w:r>
            <w:r w:rsidRPr="00E01626">
              <w:rPr>
                <w:rFonts w:cs="Arial"/>
                <w:sz w:val="20"/>
              </w:rPr>
              <w:t xml:space="preserve"> Thinking – 1 hour lecture + 2 hour seminar</w:t>
            </w:r>
          </w:p>
          <w:p w:rsidR="000B7569" w:rsidRPr="00E01626" w:rsidRDefault="000B7569" w:rsidP="000B7569">
            <w:pPr>
              <w:jc w:val="both"/>
              <w:rPr>
                <w:rFonts w:cs="Arial"/>
                <w:sz w:val="20"/>
              </w:rPr>
            </w:pPr>
            <w:r w:rsidRPr="00E01626">
              <w:rPr>
                <w:rFonts w:cs="Arial"/>
                <w:sz w:val="20"/>
              </w:rPr>
              <w:t>Sociology I – 1 hour lecture + 2 hour seminar</w:t>
            </w:r>
          </w:p>
          <w:p w:rsidR="000B7569" w:rsidRPr="00E01626" w:rsidRDefault="00EC3172" w:rsidP="000B7569">
            <w:pPr>
              <w:jc w:val="both"/>
              <w:rPr>
                <w:rFonts w:cs="Arial"/>
                <w:sz w:val="20"/>
              </w:rPr>
            </w:pPr>
            <w:r w:rsidRPr="00E01626">
              <w:rPr>
                <w:rFonts w:cs="Arial"/>
                <w:sz w:val="20"/>
              </w:rPr>
              <w:t xml:space="preserve">Introduction to </w:t>
            </w:r>
            <w:r w:rsidR="000B7569" w:rsidRPr="00E01626">
              <w:rPr>
                <w:rFonts w:cs="Arial"/>
                <w:sz w:val="20"/>
              </w:rPr>
              <w:t>Psychology</w:t>
            </w:r>
            <w:r w:rsidRPr="00E01626">
              <w:rPr>
                <w:rFonts w:cs="Arial"/>
                <w:sz w:val="20"/>
              </w:rPr>
              <w:t>: Principles of Behaviour</w:t>
            </w:r>
            <w:r w:rsidR="000B7569" w:rsidRPr="00E01626">
              <w:rPr>
                <w:rFonts w:cs="Arial"/>
                <w:sz w:val="20"/>
              </w:rPr>
              <w:t xml:space="preserve"> – 2 hour lecture + 2 hour seminar</w:t>
            </w:r>
          </w:p>
          <w:p w:rsidR="000B7569" w:rsidRPr="00E01626" w:rsidRDefault="000B7569" w:rsidP="000B7569">
            <w:pPr>
              <w:jc w:val="both"/>
              <w:rPr>
                <w:rFonts w:cs="Arial"/>
                <w:sz w:val="20"/>
              </w:rPr>
            </w:pPr>
          </w:p>
          <w:p w:rsidR="000B7569" w:rsidRPr="00E01626" w:rsidRDefault="000B7569" w:rsidP="000B7569">
            <w:pPr>
              <w:jc w:val="both"/>
              <w:rPr>
                <w:rFonts w:cs="Arial"/>
                <w:sz w:val="20"/>
              </w:rPr>
            </w:pPr>
            <w:r w:rsidRPr="00E01626">
              <w:rPr>
                <w:rFonts w:cs="Arial"/>
                <w:sz w:val="20"/>
              </w:rPr>
              <w:t>In second semester, the courses are delivered as follows:</w:t>
            </w:r>
          </w:p>
          <w:p w:rsidR="000B7569" w:rsidRPr="00E01626" w:rsidRDefault="000B7569" w:rsidP="000B7569">
            <w:pPr>
              <w:jc w:val="both"/>
              <w:rPr>
                <w:rFonts w:cs="Arial"/>
                <w:sz w:val="20"/>
              </w:rPr>
            </w:pPr>
            <w:r w:rsidRPr="00E01626">
              <w:rPr>
                <w:rFonts w:cs="Arial"/>
                <w:sz w:val="20"/>
              </w:rPr>
              <w:t>English Literature II– 1 hour lecture + 2 hour seminar</w:t>
            </w:r>
          </w:p>
          <w:p w:rsidR="000B7569" w:rsidRPr="00E01626" w:rsidRDefault="000B7569" w:rsidP="000B7569">
            <w:pPr>
              <w:jc w:val="both"/>
              <w:rPr>
                <w:rFonts w:cs="Arial"/>
                <w:sz w:val="20"/>
              </w:rPr>
            </w:pPr>
            <w:r w:rsidRPr="00E01626">
              <w:rPr>
                <w:rFonts w:cs="Arial"/>
                <w:sz w:val="20"/>
              </w:rPr>
              <w:t>Advanced Composition – 1 hour seminar + 2 hour seminar</w:t>
            </w:r>
          </w:p>
          <w:p w:rsidR="000B7569" w:rsidRPr="00E01626" w:rsidRDefault="00EC3172" w:rsidP="000B7569">
            <w:pPr>
              <w:jc w:val="both"/>
              <w:rPr>
                <w:rFonts w:cs="Arial"/>
                <w:sz w:val="20"/>
              </w:rPr>
            </w:pPr>
            <w:r w:rsidRPr="00E01626">
              <w:rPr>
                <w:rFonts w:cs="Arial"/>
                <w:sz w:val="20"/>
              </w:rPr>
              <w:lastRenderedPageBreak/>
              <w:t xml:space="preserve">Modern </w:t>
            </w:r>
            <w:r w:rsidR="000B7569" w:rsidRPr="00E01626">
              <w:rPr>
                <w:rFonts w:cs="Arial"/>
                <w:sz w:val="20"/>
              </w:rPr>
              <w:t>Philo</w:t>
            </w:r>
            <w:r w:rsidRPr="00E01626">
              <w:rPr>
                <w:rFonts w:cs="Arial"/>
                <w:sz w:val="20"/>
              </w:rPr>
              <w:t>sophy</w:t>
            </w:r>
            <w:r w:rsidR="000B7569" w:rsidRPr="00E01626">
              <w:rPr>
                <w:rFonts w:cs="Arial"/>
                <w:sz w:val="20"/>
              </w:rPr>
              <w:t xml:space="preserve"> – 1 hour lecture + 2 hour seminar</w:t>
            </w:r>
          </w:p>
          <w:p w:rsidR="000B7569" w:rsidRPr="00E01626" w:rsidRDefault="000B7569" w:rsidP="000B7569">
            <w:pPr>
              <w:jc w:val="both"/>
              <w:rPr>
                <w:rFonts w:cs="Arial"/>
                <w:sz w:val="20"/>
              </w:rPr>
            </w:pPr>
            <w:r w:rsidRPr="00E01626">
              <w:rPr>
                <w:rFonts w:cs="Arial"/>
                <w:sz w:val="20"/>
              </w:rPr>
              <w:t>Applied Research Portfolio – 2 hour seminar</w:t>
            </w:r>
          </w:p>
          <w:p w:rsidR="000B7569" w:rsidRPr="00E01626" w:rsidRDefault="00EC3172" w:rsidP="000B7569">
            <w:pPr>
              <w:jc w:val="both"/>
              <w:rPr>
                <w:rFonts w:cs="Arial"/>
                <w:sz w:val="20"/>
              </w:rPr>
            </w:pPr>
            <w:r w:rsidRPr="00E01626">
              <w:rPr>
                <w:rFonts w:cs="Arial"/>
                <w:sz w:val="20"/>
              </w:rPr>
              <w:t>Issues in Sociology</w:t>
            </w:r>
            <w:r w:rsidR="000B7569" w:rsidRPr="00E01626">
              <w:rPr>
                <w:rFonts w:cs="Arial"/>
                <w:sz w:val="20"/>
              </w:rPr>
              <w:t xml:space="preserve"> – 1 hour lecture + 2 hour seminar</w:t>
            </w:r>
          </w:p>
          <w:p w:rsidR="000B7569" w:rsidRDefault="00EC3172" w:rsidP="000B7569">
            <w:pPr>
              <w:jc w:val="both"/>
              <w:rPr>
                <w:rFonts w:cs="Arial"/>
                <w:sz w:val="20"/>
              </w:rPr>
            </w:pPr>
            <w:r w:rsidRPr="00E01626">
              <w:rPr>
                <w:rFonts w:cs="Arial"/>
                <w:sz w:val="20"/>
              </w:rPr>
              <w:t xml:space="preserve">Dynamics of Behaviour </w:t>
            </w:r>
            <w:r w:rsidR="000B7569" w:rsidRPr="00E01626">
              <w:rPr>
                <w:rFonts w:cs="Arial"/>
                <w:sz w:val="20"/>
              </w:rPr>
              <w:t>– 2 hour lecture + 2 hour seminar (every other week)</w:t>
            </w:r>
          </w:p>
          <w:p w:rsidR="000B7569" w:rsidRPr="000B7569" w:rsidRDefault="000B7569" w:rsidP="000B7569">
            <w:pPr>
              <w:jc w:val="both"/>
              <w:rPr>
                <w:rFonts w:cs="Arial"/>
                <w:sz w:val="20"/>
              </w:rPr>
            </w:pPr>
          </w:p>
          <w:p w:rsidR="000B7569" w:rsidRPr="000B7569" w:rsidRDefault="000B7569" w:rsidP="000B7569">
            <w:pPr>
              <w:jc w:val="both"/>
              <w:rPr>
                <w:rFonts w:cs="Arial"/>
                <w:sz w:val="20"/>
              </w:rPr>
            </w:pPr>
          </w:p>
          <w:p w:rsidR="003A6759" w:rsidRPr="000B7569" w:rsidRDefault="003A6759" w:rsidP="000B7569">
            <w:pPr>
              <w:jc w:val="both"/>
              <w:rPr>
                <w:rFonts w:cs="Arial"/>
                <w:sz w:val="20"/>
              </w:rPr>
            </w:pPr>
            <w:r w:rsidRPr="000B7569">
              <w:rPr>
                <w:rFonts w:cs="Arial"/>
                <w:sz w:val="20"/>
              </w:rPr>
              <w:t>S</w:t>
            </w:r>
            <w:r w:rsidR="007649CB" w:rsidRPr="000B7569">
              <w:rPr>
                <w:rFonts w:cs="Arial"/>
                <w:sz w:val="20"/>
              </w:rPr>
              <w:t>tudents also interact with WebCT</w:t>
            </w:r>
            <w:r w:rsidRPr="000B7569">
              <w:rPr>
                <w:rFonts w:cs="Arial"/>
                <w:sz w:val="20"/>
              </w:rPr>
              <w:t xml:space="preserve"> to access lecture notes, complete tests and activities, </w:t>
            </w:r>
            <w:r w:rsidR="007649CB" w:rsidRPr="000B7569">
              <w:rPr>
                <w:rFonts w:cs="Arial"/>
                <w:sz w:val="20"/>
              </w:rPr>
              <w:t xml:space="preserve">engage in online discussions, </w:t>
            </w:r>
            <w:r w:rsidR="00994278" w:rsidRPr="000B7569">
              <w:rPr>
                <w:rFonts w:cs="Arial"/>
                <w:sz w:val="20"/>
              </w:rPr>
              <w:t>retrieve course support resources</w:t>
            </w:r>
            <w:r w:rsidR="007649CB" w:rsidRPr="000B7569">
              <w:rPr>
                <w:rFonts w:cs="Arial"/>
                <w:sz w:val="20"/>
              </w:rPr>
              <w:t>,</w:t>
            </w:r>
            <w:r w:rsidR="00994278" w:rsidRPr="000B7569">
              <w:rPr>
                <w:rFonts w:cs="Arial"/>
                <w:sz w:val="20"/>
              </w:rPr>
              <w:t xml:space="preserve"> </w:t>
            </w:r>
            <w:r w:rsidRPr="000B7569">
              <w:rPr>
                <w:rFonts w:cs="Arial"/>
                <w:sz w:val="20"/>
              </w:rPr>
              <w:t>and access their course grades.  Students are required to complete oral presentations and all courses include group work, individual written submissions and self-reflection.</w:t>
            </w:r>
          </w:p>
          <w:p w:rsidR="003A6759" w:rsidRPr="000B7569" w:rsidRDefault="003A6759" w:rsidP="000B7569">
            <w:pPr>
              <w:jc w:val="both"/>
              <w:rPr>
                <w:rFonts w:cs="Arial"/>
                <w:sz w:val="20"/>
              </w:rPr>
            </w:pPr>
          </w:p>
          <w:p w:rsidR="003A6759" w:rsidRPr="000B7569" w:rsidRDefault="003A6759" w:rsidP="000B7569">
            <w:pPr>
              <w:jc w:val="both"/>
              <w:rPr>
                <w:rFonts w:cs="Arial"/>
                <w:sz w:val="20"/>
              </w:rPr>
            </w:pPr>
            <w:r w:rsidRPr="000B7569">
              <w:rPr>
                <w:rFonts w:cs="Arial"/>
                <w:sz w:val="20"/>
              </w:rPr>
              <w:t xml:space="preserve">Videos, other media </w:t>
            </w:r>
            <w:r w:rsidR="004032BC" w:rsidRPr="000B7569">
              <w:rPr>
                <w:rFonts w:cs="Arial"/>
                <w:sz w:val="20"/>
              </w:rPr>
              <w:t xml:space="preserve">and guest speakers </w:t>
            </w:r>
            <w:r w:rsidRPr="000B7569">
              <w:rPr>
                <w:rFonts w:cs="Arial"/>
                <w:sz w:val="20"/>
              </w:rPr>
              <w:t xml:space="preserve">are </w:t>
            </w:r>
            <w:r w:rsidR="004032BC" w:rsidRPr="000B7569">
              <w:rPr>
                <w:rFonts w:cs="Arial"/>
                <w:sz w:val="20"/>
              </w:rPr>
              <w:t xml:space="preserve">employed </w:t>
            </w:r>
            <w:r w:rsidRPr="000B7569">
              <w:rPr>
                <w:rFonts w:cs="Arial"/>
                <w:sz w:val="20"/>
              </w:rPr>
              <w:t xml:space="preserve">where appropriate.   </w:t>
            </w:r>
          </w:p>
          <w:p w:rsidR="003A6759" w:rsidRPr="000B7569" w:rsidRDefault="003A6759" w:rsidP="000B7569">
            <w:pPr>
              <w:jc w:val="both"/>
              <w:rPr>
                <w:rFonts w:cs="Arial"/>
                <w:sz w:val="20"/>
              </w:rPr>
            </w:pPr>
          </w:p>
          <w:p w:rsidR="003A6759" w:rsidRPr="000B7569" w:rsidRDefault="003A6759" w:rsidP="000B7569">
            <w:pPr>
              <w:jc w:val="both"/>
              <w:rPr>
                <w:rFonts w:cs="Arial"/>
                <w:sz w:val="20"/>
              </w:rPr>
            </w:pPr>
            <w:r w:rsidRPr="000B7569">
              <w:rPr>
                <w:rFonts w:cs="Arial"/>
                <w:sz w:val="20"/>
              </w:rPr>
              <w:t xml:space="preserve">The use of learning technologies </w:t>
            </w:r>
            <w:r w:rsidR="000B7569">
              <w:rPr>
                <w:rFonts w:cs="Arial"/>
                <w:sz w:val="20"/>
              </w:rPr>
              <w:t xml:space="preserve">(i.e., </w:t>
            </w:r>
            <w:r w:rsidRPr="000B7569">
              <w:rPr>
                <w:rFonts w:cs="Arial"/>
                <w:sz w:val="20"/>
              </w:rPr>
              <w:t>I-clickers”</w:t>
            </w:r>
            <w:r w:rsidR="000B7569">
              <w:rPr>
                <w:rFonts w:cs="Arial"/>
                <w:sz w:val="20"/>
              </w:rPr>
              <w:t>) is</w:t>
            </w:r>
            <w:r w:rsidRPr="000B7569">
              <w:rPr>
                <w:rFonts w:cs="Arial"/>
                <w:sz w:val="20"/>
              </w:rPr>
              <w:t xml:space="preserve"> being used in some courses.  </w:t>
            </w:r>
          </w:p>
          <w:p w:rsidR="003A6759" w:rsidRPr="006F06E0" w:rsidRDefault="003A6759" w:rsidP="003A6759">
            <w:pPr>
              <w:rPr>
                <w:rFonts w:cs="Arial"/>
                <w:b/>
                <w:color w:val="4F81BD"/>
                <w:sz w:val="20"/>
              </w:rPr>
            </w:pPr>
          </w:p>
          <w:p w:rsidR="00994278" w:rsidRPr="000B7569" w:rsidRDefault="00994278" w:rsidP="000B7569">
            <w:pPr>
              <w:jc w:val="both"/>
              <w:rPr>
                <w:rFonts w:cs="Arial"/>
                <w:sz w:val="20"/>
              </w:rPr>
            </w:pPr>
            <w:r w:rsidRPr="000B7569">
              <w:rPr>
                <w:rFonts w:cs="Arial"/>
                <w:sz w:val="20"/>
              </w:rPr>
              <w:t>The GAS UT certificate is informed on a continual basis by program alumni, the Trent University Registrar’s Office and the GAS Program Advisory Committee members about the nature of the graduate pathways.  The consistent message from these sources suggest</w:t>
            </w:r>
            <w:r w:rsidR="00115035" w:rsidRPr="000B7569">
              <w:rPr>
                <w:rFonts w:cs="Arial"/>
                <w:sz w:val="20"/>
              </w:rPr>
              <w:t>s</w:t>
            </w:r>
            <w:r w:rsidRPr="000B7569">
              <w:rPr>
                <w:rFonts w:cs="Arial"/>
                <w:sz w:val="20"/>
              </w:rPr>
              <w:t xml:space="preserve"> the importance of producing graduates who can communicate in both oral and written formats, work both collaboratively and independently, anticipate and solve problems, take initiative</w:t>
            </w:r>
            <w:r w:rsidR="00115035" w:rsidRPr="000B7569">
              <w:rPr>
                <w:rFonts w:cs="Arial"/>
                <w:sz w:val="20"/>
              </w:rPr>
              <w:t>,</w:t>
            </w:r>
            <w:r w:rsidRPr="000B7569">
              <w:rPr>
                <w:rFonts w:cs="Arial"/>
                <w:sz w:val="20"/>
              </w:rPr>
              <w:t xml:space="preserve"> and be </w:t>
            </w:r>
            <w:r w:rsidR="00115035" w:rsidRPr="000B7569">
              <w:rPr>
                <w:rFonts w:cs="Arial"/>
                <w:sz w:val="20"/>
              </w:rPr>
              <w:t>collegial</w:t>
            </w:r>
            <w:r w:rsidRPr="000B7569">
              <w:rPr>
                <w:rFonts w:cs="Arial"/>
                <w:sz w:val="20"/>
              </w:rPr>
              <w:t>.  The GAS UT certificate</w:t>
            </w:r>
            <w:r w:rsidR="00042036" w:rsidRPr="000B7569">
              <w:rPr>
                <w:rFonts w:cs="Arial"/>
                <w:sz w:val="20"/>
              </w:rPr>
              <w:t xml:space="preserve"> places a high degree of emphasis on the development of both the requisite skills and the transferable skills that will enable students to succeed at university.  Thus</w:t>
            </w:r>
            <w:r w:rsidR="00115035" w:rsidRPr="000B7569">
              <w:rPr>
                <w:rFonts w:cs="Arial"/>
                <w:sz w:val="20"/>
              </w:rPr>
              <w:t>,</w:t>
            </w:r>
            <w:r w:rsidR="00042036" w:rsidRPr="000B7569">
              <w:rPr>
                <w:rFonts w:cs="Arial"/>
                <w:sz w:val="20"/>
              </w:rPr>
              <w:t xml:space="preserve"> delivery methods and learning opportunities that include practical applications, team-based learning, independent reading and research are used extensively within the program.  </w:t>
            </w:r>
          </w:p>
        </w:tc>
      </w:tr>
      <w:tr w:rsidR="00276F6B" w:rsidRPr="000C3BAA" w:rsidTr="000C3BAA">
        <w:tc>
          <w:tcPr>
            <w:tcW w:w="6660"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lastRenderedPageBreak/>
              <w:t>2.6 Evaluation Methods</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23"/>
              </w:numPr>
              <w:tabs>
                <w:tab w:val="clear" w:pos="720"/>
                <w:tab w:val="num" w:pos="360"/>
              </w:tabs>
              <w:ind w:left="360"/>
              <w:rPr>
                <w:rFonts w:cs="Arial"/>
                <w:sz w:val="20"/>
              </w:rPr>
            </w:pPr>
            <w:r w:rsidRPr="000C3BAA">
              <w:rPr>
                <w:rFonts w:cs="Arial"/>
                <w:sz w:val="20"/>
              </w:rPr>
              <w:t>The program approach to learning assessment</w:t>
            </w:r>
          </w:p>
          <w:p w:rsidR="00276F6B" w:rsidRPr="000C3BAA" w:rsidRDefault="00276F6B" w:rsidP="000C3BAA">
            <w:pPr>
              <w:numPr>
                <w:ilvl w:val="0"/>
                <w:numId w:val="22"/>
              </w:numPr>
              <w:tabs>
                <w:tab w:val="clear" w:pos="720"/>
                <w:tab w:val="num" w:pos="360"/>
              </w:tabs>
              <w:ind w:left="360"/>
              <w:rPr>
                <w:rFonts w:cs="Arial"/>
                <w:b/>
                <w:sz w:val="20"/>
              </w:rPr>
            </w:pPr>
            <w:r w:rsidRPr="000C3BAA">
              <w:rPr>
                <w:rFonts w:cs="Arial"/>
                <w:sz w:val="20"/>
              </w:rPr>
              <w:t xml:space="preserve">The balance and frequency of assessment types across the </w:t>
            </w:r>
            <w:r w:rsidRPr="000C3BAA">
              <w:rPr>
                <w:rFonts w:cs="Arial"/>
                <w:sz w:val="20"/>
              </w:rPr>
              <w:lastRenderedPageBreak/>
              <w:t>curriculum and their appropriateness to course / vocational outcomes</w:t>
            </w:r>
          </w:p>
        </w:tc>
        <w:tc>
          <w:tcPr>
            <w:tcW w:w="6660" w:type="dxa"/>
            <w:tcMar>
              <w:top w:w="113" w:type="dxa"/>
              <w:bottom w:w="113" w:type="dxa"/>
            </w:tcMar>
          </w:tcPr>
          <w:p w:rsidR="00276F6B" w:rsidRPr="000B7569" w:rsidRDefault="009068D0" w:rsidP="000B7569">
            <w:pPr>
              <w:jc w:val="both"/>
              <w:rPr>
                <w:rFonts w:cs="Arial"/>
                <w:sz w:val="20"/>
              </w:rPr>
            </w:pPr>
            <w:r w:rsidRPr="000B7569">
              <w:rPr>
                <w:rFonts w:cs="Arial"/>
                <w:sz w:val="20"/>
              </w:rPr>
              <w:lastRenderedPageBreak/>
              <w:t xml:space="preserve">As indicated in section 2.4 above, the GAS UT faculty met previously to align course learning outcomes, assessments and instructional strategies.  </w:t>
            </w:r>
            <w:r w:rsidRPr="007D703C">
              <w:rPr>
                <w:rFonts w:cs="Arial"/>
                <w:sz w:val="20"/>
              </w:rPr>
              <w:t>Updates have been captured in the “Course</w:t>
            </w:r>
            <w:r w:rsidR="00122665" w:rsidRPr="007D703C">
              <w:rPr>
                <w:rFonts w:cs="Arial"/>
                <w:sz w:val="20"/>
              </w:rPr>
              <w:t xml:space="preserve"> Alignment Chart</w:t>
            </w:r>
            <w:r w:rsidR="000B7569" w:rsidRPr="007D703C">
              <w:rPr>
                <w:rFonts w:cs="Arial"/>
                <w:sz w:val="20"/>
              </w:rPr>
              <w:t>” document</w:t>
            </w:r>
            <w:r w:rsidR="007D703C" w:rsidRPr="007D703C">
              <w:rPr>
                <w:rFonts w:cs="Arial"/>
                <w:sz w:val="20"/>
              </w:rPr>
              <w:t>s</w:t>
            </w:r>
            <w:r w:rsidR="000B7569" w:rsidRPr="007D703C">
              <w:rPr>
                <w:rFonts w:cs="Arial"/>
                <w:sz w:val="20"/>
              </w:rPr>
              <w:t xml:space="preserve"> (Appendix </w:t>
            </w:r>
            <w:r w:rsidR="00E01626" w:rsidRPr="007D703C">
              <w:rPr>
                <w:rFonts w:cs="Arial"/>
                <w:sz w:val="20"/>
              </w:rPr>
              <w:t>F</w:t>
            </w:r>
            <w:r w:rsidR="000B7569" w:rsidRPr="007D703C">
              <w:rPr>
                <w:rFonts w:cs="Arial"/>
                <w:sz w:val="20"/>
              </w:rPr>
              <w:t>).</w:t>
            </w:r>
          </w:p>
          <w:p w:rsidR="00115035" w:rsidRPr="000B7569" w:rsidRDefault="00115035" w:rsidP="000B7569">
            <w:pPr>
              <w:jc w:val="both"/>
              <w:rPr>
                <w:rFonts w:cs="Arial"/>
                <w:sz w:val="20"/>
              </w:rPr>
            </w:pPr>
          </w:p>
          <w:p w:rsidR="00115035" w:rsidRPr="000B7569" w:rsidRDefault="00115035" w:rsidP="000B7569">
            <w:pPr>
              <w:jc w:val="both"/>
              <w:rPr>
                <w:rFonts w:cs="Arial"/>
                <w:sz w:val="20"/>
              </w:rPr>
            </w:pPr>
          </w:p>
        </w:tc>
      </w:tr>
      <w:tr w:rsidR="00276F6B" w:rsidRPr="000C3BAA" w:rsidTr="000C3BAA">
        <w:tc>
          <w:tcPr>
            <w:tcW w:w="6660"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lastRenderedPageBreak/>
              <w:t>2.7 Curriculum and Diversity</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17"/>
              </w:numPr>
              <w:tabs>
                <w:tab w:val="clear" w:pos="720"/>
                <w:tab w:val="num" w:pos="360"/>
              </w:tabs>
              <w:ind w:left="360"/>
              <w:rPr>
                <w:rFonts w:cs="Arial"/>
                <w:bCs/>
                <w:sz w:val="20"/>
              </w:rPr>
            </w:pPr>
            <w:r w:rsidRPr="000C3BAA">
              <w:rPr>
                <w:rFonts w:cs="Arial"/>
                <w:bCs/>
                <w:sz w:val="20"/>
              </w:rPr>
              <w:t>Program strategies that support student diversity and promote understanding of diversity, including program culture / climate, curriculum content and approaches to teaching and learning</w:t>
            </w:r>
          </w:p>
          <w:p w:rsidR="00276F6B" w:rsidRPr="000C3BAA" w:rsidRDefault="00276F6B" w:rsidP="000C3BAA">
            <w:pPr>
              <w:autoSpaceDE w:val="0"/>
              <w:autoSpaceDN w:val="0"/>
              <w:adjustRightInd w:val="0"/>
              <w:rPr>
                <w:rFonts w:cs="Arial"/>
                <w:sz w:val="20"/>
              </w:rPr>
            </w:pPr>
          </w:p>
        </w:tc>
        <w:tc>
          <w:tcPr>
            <w:tcW w:w="6660" w:type="dxa"/>
            <w:tcMar>
              <w:top w:w="113" w:type="dxa"/>
              <w:bottom w:w="113" w:type="dxa"/>
            </w:tcMar>
          </w:tcPr>
          <w:p w:rsidR="00561F4E" w:rsidRPr="00561F4E" w:rsidRDefault="009068D0" w:rsidP="00561F4E">
            <w:pPr>
              <w:jc w:val="both"/>
              <w:rPr>
                <w:rFonts w:cs="Arial"/>
                <w:sz w:val="20"/>
              </w:rPr>
            </w:pPr>
            <w:r w:rsidRPr="00561F4E">
              <w:rPr>
                <w:rFonts w:cs="Arial"/>
                <w:sz w:val="20"/>
              </w:rPr>
              <w:t xml:space="preserve">The program </w:t>
            </w:r>
            <w:r w:rsidR="00C362F4" w:rsidRPr="00561F4E">
              <w:rPr>
                <w:rFonts w:cs="Arial"/>
                <w:sz w:val="20"/>
              </w:rPr>
              <w:t xml:space="preserve">faculty </w:t>
            </w:r>
            <w:r w:rsidRPr="00561F4E">
              <w:rPr>
                <w:rFonts w:cs="Arial"/>
                <w:sz w:val="20"/>
              </w:rPr>
              <w:t xml:space="preserve">recognize the importance of </w:t>
            </w:r>
            <w:r w:rsidR="00C362F4" w:rsidRPr="00561F4E">
              <w:rPr>
                <w:rFonts w:cs="Arial"/>
                <w:sz w:val="20"/>
              </w:rPr>
              <w:t xml:space="preserve">cultivating </w:t>
            </w:r>
            <w:r w:rsidR="004D60AC" w:rsidRPr="00561F4E">
              <w:rPr>
                <w:rFonts w:cs="Arial"/>
                <w:sz w:val="20"/>
              </w:rPr>
              <w:t xml:space="preserve">an </w:t>
            </w:r>
            <w:r w:rsidR="00C362F4" w:rsidRPr="00561F4E">
              <w:rPr>
                <w:rFonts w:cs="Arial"/>
                <w:sz w:val="20"/>
              </w:rPr>
              <w:t xml:space="preserve">awareness </w:t>
            </w:r>
            <w:r w:rsidR="004D60AC" w:rsidRPr="00561F4E">
              <w:rPr>
                <w:rFonts w:cs="Arial"/>
                <w:sz w:val="20"/>
              </w:rPr>
              <w:t xml:space="preserve">of and sensitivity to </w:t>
            </w:r>
            <w:r w:rsidR="00C362F4" w:rsidRPr="00561F4E">
              <w:rPr>
                <w:rFonts w:cs="Arial"/>
                <w:sz w:val="20"/>
              </w:rPr>
              <w:t>diversity</w:t>
            </w:r>
            <w:r w:rsidR="004D60AC" w:rsidRPr="00561F4E">
              <w:rPr>
                <w:rFonts w:cs="Arial"/>
                <w:sz w:val="20"/>
              </w:rPr>
              <w:t xml:space="preserve">.  </w:t>
            </w:r>
            <w:r w:rsidR="00C362F4" w:rsidRPr="00561F4E">
              <w:rPr>
                <w:rFonts w:cs="Arial"/>
                <w:sz w:val="20"/>
              </w:rPr>
              <w:t>For example</w:t>
            </w:r>
            <w:r w:rsidR="000B7569" w:rsidRPr="00561F4E">
              <w:rPr>
                <w:rFonts w:cs="Arial"/>
                <w:sz w:val="20"/>
              </w:rPr>
              <w:t>, b</w:t>
            </w:r>
            <w:r w:rsidR="00C362F4" w:rsidRPr="00561F4E">
              <w:rPr>
                <w:rFonts w:cs="Arial"/>
                <w:sz w:val="20"/>
              </w:rPr>
              <w:t>oth Eng</w:t>
            </w:r>
            <w:r w:rsidR="000B7569" w:rsidRPr="00561F4E">
              <w:rPr>
                <w:rFonts w:cs="Arial"/>
                <w:sz w:val="20"/>
              </w:rPr>
              <w:t>lish and</w:t>
            </w:r>
            <w:r w:rsidR="00C362F4" w:rsidRPr="00561F4E">
              <w:rPr>
                <w:rFonts w:cs="Arial"/>
                <w:sz w:val="20"/>
              </w:rPr>
              <w:t xml:space="preserve"> Soci</w:t>
            </w:r>
            <w:r w:rsidR="000B7569" w:rsidRPr="00561F4E">
              <w:rPr>
                <w:rFonts w:cs="Arial"/>
                <w:sz w:val="20"/>
              </w:rPr>
              <w:t>ology</w:t>
            </w:r>
            <w:r w:rsidR="00C362F4" w:rsidRPr="00561F4E">
              <w:rPr>
                <w:rFonts w:cs="Arial"/>
                <w:sz w:val="20"/>
              </w:rPr>
              <w:t xml:space="preserve"> include substantial modules on race, class and gender.  </w:t>
            </w:r>
            <w:r w:rsidR="00D97269">
              <w:rPr>
                <w:rFonts w:cs="Arial"/>
                <w:sz w:val="20"/>
              </w:rPr>
              <w:t xml:space="preserve">The GAS – UT faculty will continue to embed social justice, globalization, and sustainability themes within their curricula.  </w:t>
            </w:r>
            <w:r w:rsidR="00561F4E">
              <w:rPr>
                <w:rFonts w:cs="Arial"/>
                <w:sz w:val="20"/>
              </w:rPr>
              <w:t>This will become increasingly important as Fleming continues to expand and recruit to international markets.</w:t>
            </w:r>
            <w:r w:rsidR="00FC34FA">
              <w:rPr>
                <w:rFonts w:cs="Arial"/>
                <w:sz w:val="20"/>
              </w:rPr>
              <w:t xml:space="preserve"> </w:t>
            </w:r>
          </w:p>
          <w:p w:rsidR="00276F6B" w:rsidRPr="00561F4E" w:rsidRDefault="00276F6B" w:rsidP="00561F4E">
            <w:pPr>
              <w:jc w:val="both"/>
              <w:rPr>
                <w:rFonts w:cs="Arial"/>
                <w:sz w:val="20"/>
              </w:rPr>
            </w:pPr>
          </w:p>
          <w:p w:rsidR="003C7BA8" w:rsidRPr="006F06E0" w:rsidRDefault="000B7569" w:rsidP="00561F4E">
            <w:pPr>
              <w:jc w:val="both"/>
              <w:rPr>
                <w:rFonts w:cs="Arial"/>
                <w:b/>
                <w:color w:val="4F81BD"/>
                <w:sz w:val="20"/>
              </w:rPr>
            </w:pPr>
            <w:r w:rsidRPr="00561F4E">
              <w:rPr>
                <w:rFonts w:cs="Arial"/>
                <w:sz w:val="20"/>
              </w:rPr>
              <w:t xml:space="preserve">Supporting student diversity in terms of preparedness for university is inherent in a pathway program.  However, increasingly, accommodations for learning needs and cultural diversity </w:t>
            </w:r>
            <w:r w:rsidR="00561F4E" w:rsidRPr="00561F4E">
              <w:rPr>
                <w:rFonts w:cs="Arial"/>
                <w:sz w:val="20"/>
              </w:rPr>
              <w:t>are</w:t>
            </w:r>
            <w:r w:rsidRPr="00561F4E">
              <w:rPr>
                <w:rFonts w:cs="Arial"/>
                <w:sz w:val="20"/>
              </w:rPr>
              <w:t xml:space="preserve"> becoming more of an issue on the college as a whole.</w:t>
            </w:r>
            <w:r w:rsidR="00561F4E" w:rsidRPr="00561F4E">
              <w:rPr>
                <w:rFonts w:cs="Arial"/>
                <w:sz w:val="20"/>
              </w:rPr>
              <w:t xml:space="preserve">  The teaching team has requested workshops to understand how they can support such a diverse student group.</w:t>
            </w:r>
          </w:p>
        </w:tc>
      </w:tr>
    </w:tbl>
    <w:p w:rsidR="00276F6B" w:rsidRDefault="00276F6B" w:rsidP="00276F6B"/>
    <w:tbl>
      <w:tblPr>
        <w:tblW w:w="13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
        <w:gridCol w:w="3369"/>
        <w:gridCol w:w="3165"/>
        <w:gridCol w:w="6534"/>
      </w:tblGrid>
      <w:tr w:rsidR="00276F6B" w:rsidRPr="000C3BAA" w:rsidTr="004563C6">
        <w:tc>
          <w:tcPr>
            <w:tcW w:w="3545" w:type="dxa"/>
            <w:gridSpan w:val="2"/>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2.8 Credentials Framework</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5"/>
              </w:numPr>
              <w:tabs>
                <w:tab w:val="clear" w:pos="720"/>
                <w:tab w:val="num" w:pos="360"/>
              </w:tabs>
              <w:ind w:left="360"/>
              <w:rPr>
                <w:sz w:val="20"/>
              </w:rPr>
            </w:pPr>
            <w:r w:rsidRPr="000C3BAA">
              <w:rPr>
                <w:rFonts w:cs="Arial"/>
                <w:sz w:val="20"/>
              </w:rPr>
              <w:t>The Ontario College Credentials Framework and the extent to which the program aligns with the provincial standards</w:t>
            </w:r>
          </w:p>
          <w:p w:rsidR="00276F6B" w:rsidRPr="000C3BAA" w:rsidRDefault="00276F6B" w:rsidP="000C3BAA">
            <w:pPr>
              <w:numPr>
                <w:ilvl w:val="0"/>
                <w:numId w:val="5"/>
              </w:numPr>
              <w:tabs>
                <w:tab w:val="clear" w:pos="720"/>
                <w:tab w:val="num" w:pos="360"/>
              </w:tabs>
              <w:ind w:left="360"/>
              <w:rPr>
                <w:rFonts w:cs="Arial"/>
                <w:b/>
                <w:sz w:val="20"/>
              </w:rPr>
            </w:pPr>
            <w:r w:rsidRPr="000C3BAA">
              <w:rPr>
                <w:rFonts w:cs="Arial"/>
                <w:sz w:val="20"/>
              </w:rPr>
              <w:t>The program’s current admission requirements and their suitability in relation to program rigour and student preparedness</w:t>
            </w:r>
          </w:p>
        </w:tc>
        <w:tc>
          <w:tcPr>
            <w:tcW w:w="9699" w:type="dxa"/>
            <w:gridSpan w:val="2"/>
            <w:tcMar>
              <w:top w:w="113" w:type="dxa"/>
              <w:bottom w:w="113" w:type="dxa"/>
            </w:tcMar>
          </w:tcPr>
          <w:p w:rsidR="0001560C" w:rsidRPr="00B067D8" w:rsidRDefault="0001560C" w:rsidP="0001560C">
            <w:pPr>
              <w:outlineLvl w:val="2"/>
              <w:rPr>
                <w:b/>
                <w:sz w:val="20"/>
              </w:rPr>
            </w:pPr>
            <w:bookmarkStart w:id="1" w:name="_Toc96850801"/>
            <w:r w:rsidRPr="00B067D8">
              <w:rPr>
                <w:b/>
                <w:sz w:val="20"/>
              </w:rPr>
              <w:t>Ontario College Credentials Framework</w:t>
            </w:r>
            <w:bookmarkEnd w:id="1"/>
            <w:r w:rsidRPr="00B067D8">
              <w:rPr>
                <w:b/>
                <w:sz w:val="20"/>
              </w:rPr>
              <w:t xml:space="preserve"> </w:t>
            </w:r>
          </w:p>
          <w:p w:rsidR="0001560C" w:rsidRPr="00B067D8" w:rsidRDefault="0001560C" w:rsidP="0001560C">
            <w:pPr>
              <w:rPr>
                <w:b/>
                <w:sz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7988"/>
            </w:tblGrid>
            <w:tr w:rsidR="0001560C" w:rsidRPr="00B067D8" w:rsidTr="0001560C">
              <w:tc>
                <w:tcPr>
                  <w:tcW w:w="1588" w:type="dxa"/>
                  <w:shd w:val="clear" w:color="auto" w:fill="D9D9D9"/>
                </w:tcPr>
                <w:p w:rsidR="0001560C" w:rsidRPr="00B067D8" w:rsidRDefault="0001560C" w:rsidP="00DA55A0">
                  <w:pPr>
                    <w:rPr>
                      <w:b/>
                      <w:sz w:val="20"/>
                    </w:rPr>
                  </w:pPr>
                  <w:r w:rsidRPr="00B067D8">
                    <w:rPr>
                      <w:b/>
                      <w:sz w:val="20"/>
                    </w:rPr>
                    <w:t>Required criteria</w:t>
                  </w:r>
                </w:p>
              </w:tc>
              <w:tc>
                <w:tcPr>
                  <w:tcW w:w="7988" w:type="dxa"/>
                  <w:shd w:val="clear" w:color="auto" w:fill="D9D9D9"/>
                </w:tcPr>
                <w:p w:rsidR="0001560C" w:rsidRPr="00B067D8" w:rsidRDefault="0001560C" w:rsidP="00DA55A0">
                  <w:pPr>
                    <w:rPr>
                      <w:b/>
                      <w:sz w:val="20"/>
                    </w:rPr>
                  </w:pPr>
                  <w:r w:rsidRPr="00B067D8">
                    <w:rPr>
                      <w:b/>
                      <w:sz w:val="20"/>
                    </w:rPr>
                    <w:t>Degree to which criteria are met</w:t>
                  </w:r>
                </w:p>
              </w:tc>
            </w:tr>
            <w:tr w:rsidR="0001560C" w:rsidRPr="00B067D8" w:rsidTr="00DA55A0">
              <w:tc>
                <w:tcPr>
                  <w:tcW w:w="9576" w:type="dxa"/>
                  <w:gridSpan w:val="2"/>
                </w:tcPr>
                <w:p w:rsidR="0001560C" w:rsidRPr="00B067D8" w:rsidRDefault="0001560C" w:rsidP="00DA55A0">
                  <w:pPr>
                    <w:rPr>
                      <w:sz w:val="20"/>
                    </w:rPr>
                  </w:pPr>
                  <w:r w:rsidRPr="00B067D8">
                    <w:rPr>
                      <w:b/>
                      <w:sz w:val="20"/>
                    </w:rPr>
                    <w:t>1.0 Scope of curriculum outcomes: breadth and depth</w:t>
                  </w:r>
                </w:p>
              </w:tc>
            </w:tr>
            <w:tr w:rsidR="0001560C" w:rsidRPr="00B067D8" w:rsidTr="0001560C">
              <w:tc>
                <w:tcPr>
                  <w:tcW w:w="1588" w:type="dxa"/>
                </w:tcPr>
                <w:p w:rsidR="0001560C" w:rsidRPr="00B067D8" w:rsidRDefault="0001560C" w:rsidP="00DA55A0">
                  <w:pPr>
                    <w:rPr>
                      <w:b/>
                      <w:sz w:val="20"/>
                    </w:rPr>
                  </w:pPr>
                </w:p>
                <w:p w:rsidR="0001560C" w:rsidRPr="00B067D8" w:rsidRDefault="0001560C" w:rsidP="00DA55A0">
                  <w:pPr>
                    <w:rPr>
                      <w:b/>
                      <w:sz w:val="20"/>
                    </w:rPr>
                  </w:pPr>
                  <w:r w:rsidRPr="00B067D8">
                    <w:rPr>
                      <w:b/>
                      <w:sz w:val="20"/>
                    </w:rPr>
                    <w:t>1.1 Complexity of knowledge and vocational outcomes</w:t>
                  </w:r>
                </w:p>
              </w:tc>
              <w:tc>
                <w:tcPr>
                  <w:tcW w:w="7988" w:type="dxa"/>
                </w:tcPr>
                <w:p w:rsidR="0001560C" w:rsidRPr="00B067D8" w:rsidRDefault="0001560C" w:rsidP="00DA55A0">
                  <w:pPr>
                    <w:rPr>
                      <w:sz w:val="20"/>
                    </w:rPr>
                  </w:pPr>
                </w:p>
                <w:p w:rsidR="0001560C" w:rsidRPr="00B067D8" w:rsidRDefault="0001560C" w:rsidP="00DA55A0">
                  <w:pPr>
                    <w:rPr>
                      <w:sz w:val="20"/>
                    </w:rPr>
                  </w:pPr>
                  <w:r w:rsidRPr="00B067D8">
                    <w:rPr>
                      <w:sz w:val="20"/>
                    </w:rPr>
                    <w:t>The standard has been met. Outcomes are interwoven and linked, steadily building skills in problem solving, research and critical thinking, enabling students to analyze complex issues and key philosophical debates. Culminating performance requirements are achieved by integrating vocational program outcomes and assessment activities through capstone learning and assessment experiences.</w:t>
                  </w:r>
                </w:p>
                <w:p w:rsidR="0001560C" w:rsidRPr="00B067D8" w:rsidRDefault="0001560C" w:rsidP="00DA55A0">
                  <w:pPr>
                    <w:rPr>
                      <w:sz w:val="20"/>
                    </w:rPr>
                  </w:pPr>
                </w:p>
              </w:tc>
            </w:tr>
            <w:tr w:rsidR="0001560C" w:rsidRPr="00B067D8" w:rsidTr="0001560C">
              <w:tc>
                <w:tcPr>
                  <w:tcW w:w="1588" w:type="dxa"/>
                </w:tcPr>
                <w:p w:rsidR="0001560C" w:rsidRPr="00B067D8" w:rsidRDefault="0001560C" w:rsidP="00DA55A0">
                  <w:pPr>
                    <w:rPr>
                      <w:b/>
                      <w:sz w:val="20"/>
                    </w:rPr>
                  </w:pPr>
                </w:p>
                <w:p w:rsidR="0001560C" w:rsidRPr="00B067D8" w:rsidRDefault="0001560C" w:rsidP="00DA55A0">
                  <w:pPr>
                    <w:rPr>
                      <w:b/>
                      <w:sz w:val="20"/>
                    </w:rPr>
                  </w:pPr>
                  <w:r w:rsidRPr="00B067D8">
                    <w:rPr>
                      <w:b/>
                      <w:sz w:val="20"/>
                    </w:rPr>
                    <w:t>1.2 Essential Employability skills.</w:t>
                  </w:r>
                </w:p>
              </w:tc>
              <w:tc>
                <w:tcPr>
                  <w:tcW w:w="7988" w:type="dxa"/>
                </w:tcPr>
                <w:p w:rsidR="0001560C" w:rsidRPr="00B067D8" w:rsidRDefault="0001560C" w:rsidP="00DA55A0">
                  <w:pPr>
                    <w:rPr>
                      <w:sz w:val="20"/>
                    </w:rPr>
                  </w:pPr>
                </w:p>
                <w:p w:rsidR="0001560C" w:rsidRPr="00B067D8" w:rsidRDefault="0001560C" w:rsidP="00DA55A0">
                  <w:pPr>
                    <w:autoSpaceDE w:val="0"/>
                    <w:autoSpaceDN w:val="0"/>
                    <w:adjustRightInd w:val="0"/>
                    <w:rPr>
                      <w:rFonts w:cs="Tahoma"/>
                      <w:sz w:val="20"/>
                    </w:rPr>
                  </w:pPr>
                  <w:r w:rsidRPr="00B067D8">
                    <w:rPr>
                      <w:sz w:val="20"/>
                    </w:rPr>
                    <w:t xml:space="preserve">The standard has been met again through an integrated and complementary approach. Courses have been matched against the new Essential Employability Skills currently outlined in the </w:t>
                  </w:r>
                  <w:r w:rsidRPr="00B067D8">
                    <w:rPr>
                      <w:rFonts w:cs="Tahoma"/>
                      <w:sz w:val="20"/>
                    </w:rPr>
                    <w:t xml:space="preserve">Minister's Binding Policy Directive "Framework for Programs of Instruction."  </w:t>
                  </w:r>
                </w:p>
                <w:p w:rsidR="0001560C" w:rsidRPr="00B067D8" w:rsidRDefault="0001560C" w:rsidP="00DA55A0">
                  <w:pPr>
                    <w:rPr>
                      <w:sz w:val="20"/>
                    </w:rPr>
                  </w:pPr>
                </w:p>
              </w:tc>
            </w:tr>
            <w:tr w:rsidR="0001560C" w:rsidRPr="00B067D8" w:rsidTr="0001560C">
              <w:tc>
                <w:tcPr>
                  <w:tcW w:w="1588" w:type="dxa"/>
                </w:tcPr>
                <w:p w:rsidR="0001560C" w:rsidRPr="00B067D8" w:rsidRDefault="0001560C" w:rsidP="00DA55A0">
                  <w:pPr>
                    <w:rPr>
                      <w:b/>
                      <w:sz w:val="20"/>
                    </w:rPr>
                  </w:pPr>
                </w:p>
                <w:p w:rsidR="0001560C" w:rsidRPr="00B067D8" w:rsidRDefault="0001560C" w:rsidP="00DA55A0">
                  <w:pPr>
                    <w:rPr>
                      <w:b/>
                      <w:sz w:val="20"/>
                    </w:rPr>
                  </w:pPr>
                  <w:r w:rsidRPr="00B067D8">
                    <w:rPr>
                      <w:b/>
                      <w:sz w:val="20"/>
                    </w:rPr>
                    <w:t xml:space="preserve">1.3 General </w:t>
                  </w:r>
                  <w:r w:rsidRPr="00B067D8">
                    <w:rPr>
                      <w:b/>
                      <w:sz w:val="20"/>
                    </w:rPr>
                    <w:lastRenderedPageBreak/>
                    <w:t xml:space="preserve">Education </w:t>
                  </w:r>
                </w:p>
              </w:tc>
              <w:tc>
                <w:tcPr>
                  <w:tcW w:w="7988" w:type="dxa"/>
                </w:tcPr>
                <w:p w:rsidR="0001560C" w:rsidRPr="00B067D8" w:rsidRDefault="0001560C" w:rsidP="00DA55A0">
                  <w:pPr>
                    <w:rPr>
                      <w:sz w:val="20"/>
                    </w:rPr>
                  </w:pPr>
                </w:p>
                <w:p w:rsidR="0001560C" w:rsidRPr="00B067D8" w:rsidRDefault="0001560C" w:rsidP="00DA55A0">
                  <w:pPr>
                    <w:rPr>
                      <w:sz w:val="20"/>
                    </w:rPr>
                  </w:pPr>
                  <w:r w:rsidRPr="00B067D8">
                    <w:rPr>
                      <w:sz w:val="20"/>
                    </w:rPr>
                    <w:t xml:space="preserve">The standard has been met, aligned to Fleming’s General Education policy </w:t>
                  </w:r>
                  <w:r w:rsidRPr="00B067D8">
                    <w:rPr>
                      <w:sz w:val="20"/>
                    </w:rPr>
                    <w:lastRenderedPageBreak/>
                    <w:t>requirements and the new approved General Education policy within the credentialing framework.</w:t>
                  </w:r>
                </w:p>
                <w:p w:rsidR="0001560C" w:rsidRPr="00B067D8" w:rsidRDefault="0001560C" w:rsidP="00DA55A0">
                  <w:pPr>
                    <w:rPr>
                      <w:sz w:val="20"/>
                    </w:rPr>
                  </w:pPr>
                </w:p>
              </w:tc>
            </w:tr>
            <w:tr w:rsidR="0001560C" w:rsidRPr="00B067D8" w:rsidTr="0001560C">
              <w:tc>
                <w:tcPr>
                  <w:tcW w:w="1588" w:type="dxa"/>
                </w:tcPr>
                <w:p w:rsidR="0001560C" w:rsidRPr="00B067D8" w:rsidRDefault="0001560C" w:rsidP="00DA55A0">
                  <w:pPr>
                    <w:rPr>
                      <w:b/>
                      <w:sz w:val="20"/>
                    </w:rPr>
                  </w:pPr>
                </w:p>
                <w:p w:rsidR="0001560C" w:rsidRPr="00B067D8" w:rsidRDefault="0001560C" w:rsidP="00DA55A0">
                  <w:pPr>
                    <w:rPr>
                      <w:b/>
                      <w:sz w:val="20"/>
                    </w:rPr>
                  </w:pPr>
                  <w:r w:rsidRPr="00B067D8">
                    <w:rPr>
                      <w:b/>
                      <w:sz w:val="20"/>
                    </w:rPr>
                    <w:t>2.0 Typical duration for completion</w:t>
                  </w:r>
                </w:p>
              </w:tc>
              <w:tc>
                <w:tcPr>
                  <w:tcW w:w="7988" w:type="dxa"/>
                </w:tcPr>
                <w:p w:rsidR="0001560C" w:rsidRPr="00B067D8" w:rsidRDefault="0001560C" w:rsidP="00DA55A0">
                  <w:pPr>
                    <w:rPr>
                      <w:sz w:val="20"/>
                    </w:rPr>
                  </w:pPr>
                </w:p>
                <w:p w:rsidR="0001560C" w:rsidRPr="00B067D8" w:rsidRDefault="0001560C" w:rsidP="00DA55A0">
                  <w:pPr>
                    <w:rPr>
                      <w:sz w:val="20"/>
                    </w:rPr>
                  </w:pPr>
                  <w:r w:rsidRPr="00B067D8">
                    <w:rPr>
                      <w:sz w:val="20"/>
                    </w:rPr>
                    <w:t>The standard has been met. Although the typical duration to achieve this credential is 2 academic semesters or approximately 600-700 instructional hours, it is understood that a range of hours may apply to the achievement of the program learning outcomes. The University Transfer program option is comprised of 540 hours of study.</w:t>
                  </w:r>
                </w:p>
                <w:p w:rsidR="0001560C" w:rsidRPr="00B067D8" w:rsidRDefault="0001560C" w:rsidP="00DA55A0">
                  <w:pPr>
                    <w:rPr>
                      <w:sz w:val="20"/>
                    </w:rPr>
                  </w:pPr>
                </w:p>
              </w:tc>
            </w:tr>
            <w:tr w:rsidR="0001560C" w:rsidRPr="00B067D8" w:rsidTr="0001560C">
              <w:tc>
                <w:tcPr>
                  <w:tcW w:w="1588" w:type="dxa"/>
                </w:tcPr>
                <w:p w:rsidR="0001560C" w:rsidRPr="00B067D8" w:rsidRDefault="0001560C" w:rsidP="00DA55A0">
                  <w:pPr>
                    <w:rPr>
                      <w:b/>
                      <w:sz w:val="20"/>
                    </w:rPr>
                  </w:pPr>
                </w:p>
                <w:p w:rsidR="0001560C" w:rsidRPr="00B067D8" w:rsidRDefault="0001560C" w:rsidP="00DA55A0">
                  <w:pPr>
                    <w:rPr>
                      <w:b/>
                      <w:sz w:val="20"/>
                    </w:rPr>
                  </w:pPr>
                  <w:r w:rsidRPr="00B067D8">
                    <w:rPr>
                      <w:b/>
                      <w:sz w:val="20"/>
                    </w:rPr>
                    <w:t>3.0 Admission requirements</w:t>
                  </w:r>
                </w:p>
              </w:tc>
              <w:tc>
                <w:tcPr>
                  <w:tcW w:w="7988" w:type="dxa"/>
                </w:tcPr>
                <w:p w:rsidR="0001560C" w:rsidRPr="00B067D8" w:rsidRDefault="0001560C" w:rsidP="00DA55A0">
                  <w:pPr>
                    <w:rPr>
                      <w:sz w:val="20"/>
                    </w:rPr>
                  </w:pPr>
                </w:p>
                <w:p w:rsidR="0001560C" w:rsidRPr="00B067D8" w:rsidRDefault="0001560C" w:rsidP="00DA55A0">
                  <w:pPr>
                    <w:rPr>
                      <w:sz w:val="20"/>
                    </w:rPr>
                  </w:pPr>
                  <w:r w:rsidRPr="00B067D8">
                    <w:rPr>
                      <w:sz w:val="20"/>
                    </w:rPr>
                    <w:t xml:space="preserve">The standard has been met as per the Regulations and Minister’s Binding </w:t>
                  </w:r>
                </w:p>
                <w:p w:rsidR="0001560C" w:rsidRPr="00B067D8" w:rsidRDefault="0001560C" w:rsidP="00DA55A0">
                  <w:pPr>
                    <w:rPr>
                      <w:sz w:val="20"/>
                    </w:rPr>
                  </w:pPr>
                  <w:r w:rsidRPr="00B067D8">
                    <w:rPr>
                      <w:sz w:val="20"/>
                    </w:rPr>
                    <w:t>Policy Directives.</w:t>
                  </w:r>
                </w:p>
              </w:tc>
            </w:tr>
          </w:tbl>
          <w:p w:rsidR="0001560C" w:rsidRPr="00B067D8" w:rsidRDefault="0001560C" w:rsidP="0001560C">
            <w:pPr>
              <w:rPr>
                <w:rFonts w:cs="Arial"/>
                <w:b/>
                <w:sz w:val="20"/>
              </w:rPr>
            </w:pPr>
          </w:p>
          <w:p w:rsidR="0001560C" w:rsidRPr="00B067D8" w:rsidRDefault="0001560C" w:rsidP="0001560C">
            <w:pPr>
              <w:spacing w:before="100" w:beforeAutospacing="1" w:after="100" w:afterAutospacing="1"/>
              <w:outlineLvl w:val="2"/>
              <w:rPr>
                <w:rFonts w:ascii="Times New Roman" w:hAnsi="Times New Roman"/>
                <w:b/>
                <w:bCs/>
                <w:sz w:val="20"/>
              </w:rPr>
            </w:pPr>
            <w:r w:rsidRPr="00B067D8">
              <w:rPr>
                <w:rFonts w:ascii="Times New Roman" w:hAnsi="Times New Roman"/>
                <w:b/>
                <w:bCs/>
                <w:sz w:val="20"/>
              </w:rPr>
              <w:t>Minimum Admission Requirements</w:t>
            </w:r>
          </w:p>
          <w:p w:rsidR="0001560C" w:rsidRPr="00B067D8" w:rsidRDefault="0001560C" w:rsidP="0001560C">
            <w:pPr>
              <w:numPr>
                <w:ilvl w:val="0"/>
                <w:numId w:val="27"/>
              </w:numPr>
              <w:spacing w:before="100" w:beforeAutospacing="1" w:after="100" w:afterAutospacing="1"/>
              <w:rPr>
                <w:rFonts w:ascii="Times New Roman" w:hAnsi="Times New Roman"/>
                <w:sz w:val="20"/>
              </w:rPr>
            </w:pPr>
            <w:r w:rsidRPr="00B067D8">
              <w:rPr>
                <w:rFonts w:ascii="Times New Roman" w:hAnsi="Times New Roman"/>
                <w:sz w:val="20"/>
              </w:rPr>
              <w:t xml:space="preserve">OSSD with the majority of credits at the College (C) and Open (O) level, including: </w:t>
            </w:r>
            <w:r w:rsidRPr="00B067D8">
              <w:rPr>
                <w:rFonts w:ascii="Times New Roman" w:hAnsi="Times New Roman"/>
                <w:sz w:val="20"/>
              </w:rPr>
              <w:br/>
              <w:t xml:space="preserve">2 College (C) English courses (Grade 11 or Grade 12)  </w:t>
            </w:r>
          </w:p>
          <w:p w:rsidR="0001560C" w:rsidRPr="00B067D8" w:rsidRDefault="0001560C" w:rsidP="0001560C">
            <w:pPr>
              <w:spacing w:before="100" w:beforeAutospacing="1" w:after="100" w:afterAutospacing="1"/>
              <w:rPr>
                <w:rFonts w:ascii="Times New Roman" w:hAnsi="Times New Roman"/>
                <w:sz w:val="20"/>
              </w:rPr>
            </w:pPr>
            <w:r w:rsidRPr="00B067D8">
              <w:rPr>
                <w:rFonts w:ascii="Times New Roman" w:hAnsi="Times New Roman"/>
                <w:sz w:val="20"/>
              </w:rPr>
              <w:t>When (C) is the minimum course level for admission, (U) or (U/C) courses are also accepted. </w:t>
            </w:r>
          </w:p>
          <w:p w:rsidR="0001560C" w:rsidRPr="00B067D8" w:rsidRDefault="001B07FF" w:rsidP="0001560C">
            <w:pPr>
              <w:spacing w:before="100" w:beforeAutospacing="1" w:after="100" w:afterAutospacing="1"/>
              <w:rPr>
                <w:rFonts w:ascii="Times New Roman" w:hAnsi="Times New Roman"/>
                <w:sz w:val="20"/>
              </w:rPr>
            </w:pPr>
            <w:hyperlink r:id="rId8" w:history="1">
              <w:r w:rsidR="0001560C" w:rsidRPr="00B067D8">
                <w:rPr>
                  <w:rFonts w:ascii="Times New Roman" w:hAnsi="Times New Roman"/>
                  <w:b/>
                  <w:bCs/>
                  <w:color w:val="0000FF"/>
                  <w:sz w:val="20"/>
                  <w:u w:val="single"/>
                </w:rPr>
                <w:t>Mature Students</w:t>
              </w:r>
            </w:hyperlink>
            <w:r w:rsidR="0001560C" w:rsidRPr="00B067D8">
              <w:rPr>
                <w:rFonts w:ascii="Times New Roman" w:hAnsi="Times New Roman"/>
                <w:sz w:val="20"/>
              </w:rPr>
              <w:t>  If you are 19 years of age or older before classes start, and you do not possess an OSSD, you can write the Canadian Adult Achievement Test to assess your eligibility for admission.</w:t>
            </w:r>
          </w:p>
          <w:p w:rsidR="00136A38" w:rsidRDefault="00136A38" w:rsidP="00136A38">
            <w:pPr>
              <w:rPr>
                <w:rFonts w:cs="Arial"/>
                <w:b/>
                <w:sz w:val="20"/>
              </w:rPr>
            </w:pPr>
          </w:p>
          <w:p w:rsidR="00136A38" w:rsidRPr="00561F4E" w:rsidRDefault="00136A38" w:rsidP="00136A38">
            <w:pPr>
              <w:jc w:val="both"/>
              <w:rPr>
                <w:rFonts w:cs="Arial"/>
                <w:sz w:val="20"/>
              </w:rPr>
            </w:pPr>
            <w:r w:rsidRPr="00E01626">
              <w:rPr>
                <w:rFonts w:cs="Arial"/>
                <w:sz w:val="20"/>
              </w:rPr>
              <w:t>Further discussions are required by the program faculty to determine whether students are prepared well enough to be successful within the UT program</w:t>
            </w:r>
            <w:r w:rsidR="00E8224E">
              <w:rPr>
                <w:rFonts w:cs="Arial"/>
                <w:sz w:val="20"/>
              </w:rPr>
              <w:t xml:space="preserve">.  </w:t>
            </w:r>
            <w:r w:rsidRPr="00E01626">
              <w:rPr>
                <w:rFonts w:cs="Arial"/>
                <w:sz w:val="20"/>
              </w:rPr>
              <w:t>Discussions will focus on the possible need for additional admission criteria.</w:t>
            </w:r>
            <w:r w:rsidR="002A1172" w:rsidRPr="00E01626">
              <w:rPr>
                <w:rFonts w:cs="Arial"/>
                <w:sz w:val="20"/>
              </w:rPr>
              <w:t xml:space="preserve"> </w:t>
            </w:r>
            <w:r w:rsidR="00E8224E">
              <w:rPr>
                <w:rFonts w:cs="Arial"/>
                <w:sz w:val="20"/>
              </w:rPr>
              <w:t xml:space="preserve">(See Recommendation #18).  </w:t>
            </w:r>
            <w:r w:rsidR="002A1172" w:rsidRPr="00E01626">
              <w:rPr>
                <w:rFonts w:cs="Arial"/>
                <w:sz w:val="20"/>
              </w:rPr>
              <w:t>A summary</w:t>
            </w:r>
            <w:r w:rsidR="002A1172">
              <w:rPr>
                <w:rFonts w:cs="Arial"/>
                <w:sz w:val="20"/>
              </w:rPr>
              <w:t xml:space="preserve"> of high school grades from applicants from 2007 to 2011 is presented in </w:t>
            </w:r>
            <w:r w:rsidR="002A1172" w:rsidRPr="00F46942">
              <w:rPr>
                <w:rFonts w:cs="Arial"/>
                <w:sz w:val="20"/>
                <w:highlight w:val="cyan"/>
              </w:rPr>
              <w:t xml:space="preserve">Appendix </w:t>
            </w:r>
            <w:r w:rsidR="00E01626">
              <w:rPr>
                <w:rFonts w:cs="Arial"/>
                <w:sz w:val="20"/>
                <w:highlight w:val="cyan"/>
              </w:rPr>
              <w:t>G</w:t>
            </w:r>
            <w:r w:rsidR="002A1172" w:rsidRPr="00F46942">
              <w:rPr>
                <w:rFonts w:cs="Arial"/>
                <w:sz w:val="20"/>
                <w:highlight w:val="cyan"/>
              </w:rPr>
              <w:t xml:space="preserve"> for review.</w:t>
            </w:r>
          </w:p>
          <w:p w:rsidR="0001560C" w:rsidRDefault="0001560C" w:rsidP="00276F6B">
            <w:pPr>
              <w:rPr>
                <w:rFonts w:cs="Arial"/>
                <w:b/>
                <w:sz w:val="20"/>
              </w:rPr>
            </w:pPr>
          </w:p>
          <w:p w:rsidR="00B767D4" w:rsidRPr="00E768FD" w:rsidRDefault="00B767D4" w:rsidP="00B767D4">
            <w:pPr>
              <w:rPr>
                <w:rFonts w:cs="Arial"/>
                <w:sz w:val="20"/>
              </w:rPr>
            </w:pPr>
            <w:r w:rsidRPr="00E768FD">
              <w:rPr>
                <w:rFonts w:cs="Arial"/>
                <w:sz w:val="20"/>
              </w:rPr>
              <w:t>Karen Maki, Director, Post-Secondary Partnerships, Trent University</w:t>
            </w:r>
            <w:r w:rsidR="00E768FD" w:rsidRPr="00E768FD">
              <w:rPr>
                <w:rFonts w:cs="Arial"/>
                <w:sz w:val="20"/>
              </w:rPr>
              <w:t xml:space="preserve"> asked the following:</w:t>
            </w:r>
          </w:p>
          <w:p w:rsidR="00B767D4" w:rsidRPr="000A041D" w:rsidRDefault="00B767D4" w:rsidP="00B767D4">
            <w:pPr>
              <w:rPr>
                <w:sz w:val="20"/>
              </w:rPr>
            </w:pPr>
            <w:r w:rsidRPr="000A041D">
              <w:rPr>
                <w:sz w:val="20"/>
              </w:rPr>
              <w:t>What do students need to be better prepared to enter university?</w:t>
            </w:r>
          </w:p>
          <w:p w:rsidR="00B767D4" w:rsidRPr="000A041D" w:rsidRDefault="00B767D4" w:rsidP="00B767D4">
            <w:pPr>
              <w:numPr>
                <w:ilvl w:val="0"/>
                <w:numId w:val="29"/>
              </w:numPr>
              <w:rPr>
                <w:sz w:val="20"/>
              </w:rPr>
            </w:pPr>
            <w:r>
              <w:rPr>
                <w:sz w:val="20"/>
              </w:rPr>
              <w:t xml:space="preserve">Based on anecdotal feedback, </w:t>
            </w:r>
            <w:r w:rsidRPr="000A041D">
              <w:rPr>
                <w:sz w:val="20"/>
              </w:rPr>
              <w:t>managing the transition to significantly more independence and autonomy in the university setting (such as self management, program planning and course selection, exposure to a wider range of new disciplines, developing/expanding peer networks, and taking responsibility for personal success) continues to be one of the greatest challenges for students.  We need to work together to address this.</w:t>
            </w:r>
            <w:r>
              <w:rPr>
                <w:sz w:val="20"/>
              </w:rPr>
              <w:t xml:space="preserve">  Possible initiatives include:</w:t>
            </w:r>
          </w:p>
          <w:p w:rsidR="00B767D4" w:rsidRPr="000A041D" w:rsidRDefault="00B767D4" w:rsidP="00B767D4">
            <w:pPr>
              <w:numPr>
                <w:ilvl w:val="1"/>
                <w:numId w:val="29"/>
              </w:numPr>
              <w:rPr>
                <w:sz w:val="20"/>
              </w:rPr>
            </w:pPr>
            <w:r>
              <w:rPr>
                <w:sz w:val="20"/>
              </w:rPr>
              <w:t>Inviting</w:t>
            </w:r>
            <w:r w:rsidRPr="000A041D">
              <w:rPr>
                <w:sz w:val="20"/>
              </w:rPr>
              <w:t xml:space="preserve"> UT students to Trent Open House events to introduce </w:t>
            </w:r>
            <w:r>
              <w:rPr>
                <w:sz w:val="20"/>
              </w:rPr>
              <w:t xml:space="preserve">them </w:t>
            </w:r>
            <w:r w:rsidRPr="000A041D">
              <w:rPr>
                <w:sz w:val="20"/>
              </w:rPr>
              <w:t xml:space="preserve">to </w:t>
            </w:r>
            <w:r>
              <w:rPr>
                <w:sz w:val="20"/>
              </w:rPr>
              <w:t xml:space="preserve">a </w:t>
            </w:r>
            <w:r w:rsidRPr="000A041D">
              <w:rPr>
                <w:sz w:val="20"/>
              </w:rPr>
              <w:t xml:space="preserve">range of </w:t>
            </w:r>
            <w:r w:rsidRPr="000A041D">
              <w:rPr>
                <w:sz w:val="20"/>
              </w:rPr>
              <w:lastRenderedPageBreak/>
              <w:t>disciplines</w:t>
            </w:r>
          </w:p>
          <w:p w:rsidR="00B767D4" w:rsidRPr="000A041D" w:rsidRDefault="00B767D4" w:rsidP="00B767D4">
            <w:pPr>
              <w:numPr>
                <w:ilvl w:val="1"/>
                <w:numId w:val="29"/>
              </w:numPr>
              <w:rPr>
                <w:sz w:val="20"/>
              </w:rPr>
            </w:pPr>
            <w:r>
              <w:rPr>
                <w:sz w:val="20"/>
              </w:rPr>
              <w:t xml:space="preserve">Having a discussion regarding the purpose and content of the </w:t>
            </w:r>
            <w:r w:rsidRPr="000A041D">
              <w:rPr>
                <w:sz w:val="20"/>
              </w:rPr>
              <w:t>UT Info Session at Trent</w:t>
            </w:r>
            <w:r>
              <w:rPr>
                <w:sz w:val="20"/>
              </w:rPr>
              <w:t xml:space="preserve"> and discussing with students what they would like to see</w:t>
            </w:r>
          </w:p>
          <w:p w:rsidR="00B767D4" w:rsidRDefault="00B767D4" w:rsidP="00B767D4">
            <w:pPr>
              <w:numPr>
                <w:ilvl w:val="1"/>
                <w:numId w:val="29"/>
              </w:numPr>
              <w:rPr>
                <w:rFonts w:cs="Arial"/>
                <w:b/>
                <w:sz w:val="20"/>
              </w:rPr>
            </w:pPr>
            <w:r>
              <w:rPr>
                <w:sz w:val="20"/>
              </w:rPr>
              <w:t>Conducting analyses regarding assessment t</w:t>
            </w:r>
            <w:r w:rsidRPr="000A041D">
              <w:rPr>
                <w:sz w:val="20"/>
              </w:rPr>
              <w:t>esting results</w:t>
            </w:r>
            <w:r>
              <w:rPr>
                <w:sz w:val="20"/>
              </w:rPr>
              <w:t xml:space="preserve"> (Accuplacer) and whether they</w:t>
            </w:r>
            <w:r w:rsidRPr="000A041D">
              <w:rPr>
                <w:sz w:val="20"/>
              </w:rPr>
              <w:t xml:space="preserve"> inform/predict student success</w:t>
            </w:r>
          </w:p>
          <w:p w:rsidR="0001560C" w:rsidRDefault="0001560C" w:rsidP="00276F6B">
            <w:pPr>
              <w:rPr>
                <w:rFonts w:cs="Arial"/>
                <w:b/>
                <w:sz w:val="20"/>
              </w:rPr>
            </w:pPr>
          </w:p>
          <w:p w:rsidR="00195C26" w:rsidRPr="00561F4E" w:rsidRDefault="00136A38" w:rsidP="00561F4E">
            <w:pPr>
              <w:jc w:val="both"/>
              <w:rPr>
                <w:rFonts w:cs="Arial"/>
                <w:sz w:val="20"/>
              </w:rPr>
            </w:pPr>
            <w:r>
              <w:rPr>
                <w:rFonts w:cs="Arial"/>
                <w:sz w:val="20"/>
              </w:rPr>
              <w:t>The 2006 to 2011</w:t>
            </w:r>
            <w:r w:rsidR="00195C26" w:rsidRPr="00561F4E">
              <w:rPr>
                <w:rFonts w:cs="Arial"/>
                <w:sz w:val="20"/>
              </w:rPr>
              <w:t xml:space="preserve"> applications and registrations stat</w:t>
            </w:r>
            <w:r w:rsidR="00561F4E">
              <w:rPr>
                <w:rFonts w:cs="Arial"/>
                <w:sz w:val="20"/>
              </w:rPr>
              <w:t>istic</w:t>
            </w:r>
            <w:r w:rsidR="00195C26" w:rsidRPr="00561F4E">
              <w:rPr>
                <w:rFonts w:cs="Arial"/>
                <w:sz w:val="20"/>
              </w:rPr>
              <w:t xml:space="preserve">s for all colleges </w:t>
            </w:r>
            <w:r w:rsidR="00561F4E">
              <w:rPr>
                <w:rFonts w:cs="Arial"/>
                <w:sz w:val="20"/>
              </w:rPr>
              <w:t xml:space="preserve">of one year GAS programs </w:t>
            </w:r>
            <w:r w:rsidR="00195C26" w:rsidRPr="00561F4E">
              <w:rPr>
                <w:rFonts w:cs="Arial"/>
                <w:sz w:val="20"/>
              </w:rPr>
              <w:t xml:space="preserve">are collected currently under one number </w:t>
            </w:r>
            <w:r w:rsidR="00561F4E">
              <w:rPr>
                <w:rFonts w:cs="Arial"/>
                <w:sz w:val="20"/>
              </w:rPr>
              <w:t xml:space="preserve">- #44700 - </w:t>
            </w:r>
            <w:r w:rsidR="00195C26" w:rsidRPr="00561F4E">
              <w:rPr>
                <w:rFonts w:cs="Arial"/>
                <w:sz w:val="20"/>
              </w:rPr>
              <w:t>and are stored at:</w:t>
            </w:r>
          </w:p>
          <w:p w:rsidR="00195C26" w:rsidRPr="00561F4E" w:rsidRDefault="00195C26" w:rsidP="00561F4E">
            <w:pPr>
              <w:jc w:val="both"/>
              <w:rPr>
                <w:rFonts w:cs="Arial"/>
                <w:sz w:val="20"/>
              </w:rPr>
            </w:pPr>
          </w:p>
          <w:p w:rsidR="00F56DBB" w:rsidRDefault="00195C26" w:rsidP="00561F4E">
            <w:pPr>
              <w:jc w:val="both"/>
              <w:rPr>
                <w:rFonts w:cs="Arial"/>
                <w:sz w:val="20"/>
              </w:rPr>
            </w:pPr>
            <w:r w:rsidRPr="00561F4E">
              <w:rPr>
                <w:rFonts w:cs="Arial"/>
                <w:sz w:val="20"/>
              </w:rPr>
              <w:t>S:\shared data\CLT\New Program Development\New Programs Research\All College Programs Applications, Registrations Data</w:t>
            </w:r>
            <w:r w:rsidR="00136A38">
              <w:rPr>
                <w:rFonts w:cs="Arial"/>
                <w:sz w:val="20"/>
              </w:rPr>
              <w:t xml:space="preserve"> </w:t>
            </w:r>
            <w:r w:rsidR="00136A38" w:rsidRPr="00F46942">
              <w:rPr>
                <w:rFonts w:cs="Arial"/>
                <w:sz w:val="20"/>
                <w:highlight w:val="cyan"/>
              </w:rPr>
              <w:t xml:space="preserve">(see Appendix </w:t>
            </w:r>
            <w:r w:rsidR="00E01626">
              <w:rPr>
                <w:rFonts w:cs="Arial"/>
                <w:sz w:val="20"/>
                <w:highlight w:val="cyan"/>
              </w:rPr>
              <w:t>H</w:t>
            </w:r>
            <w:r w:rsidR="00136A38" w:rsidRPr="00F46942">
              <w:rPr>
                <w:rFonts w:cs="Arial"/>
                <w:sz w:val="20"/>
                <w:highlight w:val="cyan"/>
              </w:rPr>
              <w:t>).</w:t>
            </w:r>
            <w:r w:rsidR="00136A38">
              <w:rPr>
                <w:rFonts w:cs="Arial"/>
                <w:sz w:val="20"/>
              </w:rPr>
              <w:t xml:space="preserve">  </w:t>
            </w:r>
          </w:p>
          <w:p w:rsidR="00F56DBB" w:rsidRDefault="00F56DBB" w:rsidP="00561F4E">
            <w:pPr>
              <w:jc w:val="both"/>
              <w:rPr>
                <w:rFonts w:cs="Arial"/>
                <w:sz w:val="20"/>
              </w:rPr>
            </w:pPr>
          </w:p>
          <w:p w:rsidR="00195C26" w:rsidRDefault="00136A38" w:rsidP="00561F4E">
            <w:pPr>
              <w:jc w:val="both"/>
              <w:rPr>
                <w:rFonts w:cs="Arial"/>
                <w:sz w:val="20"/>
              </w:rPr>
            </w:pPr>
            <w:r>
              <w:rPr>
                <w:rFonts w:cs="Arial"/>
                <w:sz w:val="20"/>
              </w:rPr>
              <w:t xml:space="preserve">Applications across all one-year programs have increased, on average, by 3%.  Confirmations have increased by 8% overall.  </w:t>
            </w:r>
          </w:p>
          <w:p w:rsidR="00136A38" w:rsidRPr="00561F4E" w:rsidRDefault="00136A38" w:rsidP="00561F4E">
            <w:pPr>
              <w:jc w:val="both"/>
              <w:rPr>
                <w:rFonts w:cs="Arial"/>
                <w:sz w:val="20"/>
              </w:rPr>
            </w:pPr>
          </w:p>
          <w:p w:rsidR="0095704B" w:rsidRPr="00136A38" w:rsidRDefault="0095704B" w:rsidP="00136A38">
            <w:pPr>
              <w:jc w:val="both"/>
              <w:rPr>
                <w:rFonts w:cs="Arial"/>
                <w:sz w:val="20"/>
              </w:rPr>
            </w:pPr>
            <w:r w:rsidRPr="00136A38">
              <w:rPr>
                <w:rFonts w:cs="Arial"/>
                <w:sz w:val="20"/>
              </w:rPr>
              <w:t xml:space="preserve">Administrative members of the Heads of Interdisciplinary Studies (HOIS) - which is made up of the Ontario College Language &amp; Communication Council (OCLCC), the Ontario Math Council (OMC) and the Ontario College Liberal Arts &amp; Sciences Council (OCLASC) - met as a group in May 2011. HOIS reports to the Coordinating Committee of Vice-Presidents Academic (CCVPA) on an annual basis.  </w:t>
            </w:r>
          </w:p>
          <w:p w:rsidR="0095704B" w:rsidRPr="00136A38" w:rsidRDefault="0095704B" w:rsidP="00136A38">
            <w:pPr>
              <w:jc w:val="both"/>
              <w:rPr>
                <w:rFonts w:cs="Arial"/>
                <w:sz w:val="20"/>
              </w:rPr>
            </w:pPr>
            <w:r w:rsidRPr="00136A38">
              <w:rPr>
                <w:rFonts w:cs="Arial"/>
                <w:sz w:val="20"/>
              </w:rPr>
              <w:t xml:space="preserve"> </w:t>
            </w:r>
          </w:p>
          <w:p w:rsidR="0095704B" w:rsidRPr="00136A38" w:rsidRDefault="0095704B" w:rsidP="00136A38">
            <w:pPr>
              <w:jc w:val="both"/>
              <w:rPr>
                <w:rFonts w:cs="Arial"/>
                <w:sz w:val="20"/>
              </w:rPr>
            </w:pPr>
            <w:r w:rsidRPr="00136A38">
              <w:rPr>
                <w:rFonts w:cs="Arial"/>
                <w:sz w:val="20"/>
              </w:rPr>
              <w:t>The mandate of OCLASC (which includes General Education &amp; General Arts &amp; Science) is to make recommendations and/or carry out projects on educational policies and objectives of a province-wide nature with respect to curriculum, assessment and evaluation, methodology, program standards, admission requirements and the promotion of student access to college (within and between colleges) and university partners, including credit transfer agreements, as well as other academic matters.  At the May 2011 meeting, it was agreed by members of OCLASC that the first priority of this group was to undertake mapping exercises for all the programs that fall under General Arts &amp; Science (GAS).  The mapping will be conducted on all 1 year certificate, bridging and diploma and other pathway programs so that a clearer understanding of provincial levels could be determined.  This report is anticipated to be reading for the next HOIS meeting scheduled for November 2011.  Second, a sub-committee was formed to examine provincial outcomes of GAS programs and to update them as needed.  The goal of this second priority was to align GAS program outcomes, admission standards and transfer agreements across the college system.</w:t>
            </w:r>
          </w:p>
          <w:p w:rsidR="0095704B" w:rsidRPr="00136A38" w:rsidRDefault="0095704B" w:rsidP="00136A38">
            <w:pPr>
              <w:jc w:val="both"/>
              <w:rPr>
                <w:rFonts w:cs="Arial"/>
                <w:sz w:val="20"/>
              </w:rPr>
            </w:pPr>
          </w:p>
          <w:p w:rsidR="00195C26" w:rsidRPr="00136A38" w:rsidRDefault="0095704B" w:rsidP="00136A38">
            <w:pPr>
              <w:jc w:val="both"/>
              <w:rPr>
                <w:rFonts w:cs="Arial"/>
                <w:sz w:val="20"/>
              </w:rPr>
            </w:pPr>
            <w:r w:rsidRPr="00136A38">
              <w:rPr>
                <w:rFonts w:cs="Arial"/>
                <w:sz w:val="20"/>
              </w:rPr>
              <w:t>These initiatives are priorities of HOIS and OCLASC given the consensus that there is no consistent approach for students wishing to enter or transfer from college to college or college to university.</w:t>
            </w:r>
            <w:r w:rsidR="00136A38">
              <w:rPr>
                <w:rFonts w:cs="Arial"/>
                <w:sz w:val="20"/>
              </w:rPr>
              <w:t xml:space="preserve">  At the time of this report’s preparation, no updated information was available.</w:t>
            </w:r>
          </w:p>
          <w:p w:rsidR="0095704B" w:rsidRPr="00B067D8" w:rsidRDefault="0095704B" w:rsidP="0095704B">
            <w:pPr>
              <w:rPr>
                <w:rFonts w:cs="Arial"/>
                <w:b/>
                <w:sz w:val="20"/>
              </w:rPr>
            </w:pPr>
          </w:p>
          <w:p w:rsidR="002A1172" w:rsidRDefault="009A3D6E" w:rsidP="002A1172">
            <w:pPr>
              <w:jc w:val="both"/>
              <w:rPr>
                <w:rFonts w:cs="Arial"/>
                <w:sz w:val="20"/>
              </w:rPr>
            </w:pPr>
            <w:r w:rsidRPr="00604D8A">
              <w:rPr>
                <w:rFonts w:cs="Arial"/>
                <w:sz w:val="20"/>
              </w:rPr>
              <w:t xml:space="preserve">In the Fall 2011 </w:t>
            </w:r>
            <w:r w:rsidR="002A1172">
              <w:rPr>
                <w:rFonts w:cs="Arial"/>
                <w:sz w:val="20"/>
              </w:rPr>
              <w:t>semester</w:t>
            </w:r>
            <w:r w:rsidRPr="00604D8A">
              <w:rPr>
                <w:rFonts w:cs="Arial"/>
                <w:sz w:val="20"/>
              </w:rPr>
              <w:t xml:space="preserve">, incoming </w:t>
            </w:r>
            <w:r w:rsidR="002A1172">
              <w:rPr>
                <w:rFonts w:cs="Arial"/>
                <w:sz w:val="20"/>
              </w:rPr>
              <w:t>UT</w:t>
            </w:r>
            <w:r w:rsidRPr="00604D8A">
              <w:rPr>
                <w:rFonts w:cs="Arial"/>
                <w:sz w:val="20"/>
              </w:rPr>
              <w:t xml:space="preserve"> students were asked to complete an </w:t>
            </w:r>
            <w:r w:rsidR="009511D4">
              <w:rPr>
                <w:rFonts w:cs="Arial"/>
                <w:sz w:val="20"/>
              </w:rPr>
              <w:t>“</w:t>
            </w:r>
            <w:r w:rsidRPr="00604D8A">
              <w:rPr>
                <w:rFonts w:cs="Arial"/>
                <w:sz w:val="20"/>
              </w:rPr>
              <w:t>Accuplacer</w:t>
            </w:r>
            <w:r w:rsidR="009511D4">
              <w:rPr>
                <w:rFonts w:cs="Arial"/>
                <w:sz w:val="20"/>
              </w:rPr>
              <w:t>”</w:t>
            </w:r>
            <w:r w:rsidRPr="00604D8A">
              <w:rPr>
                <w:rFonts w:cs="Arial"/>
                <w:sz w:val="20"/>
              </w:rPr>
              <w:t xml:space="preserve"> assessment</w:t>
            </w:r>
            <w:r w:rsidR="009511D4">
              <w:rPr>
                <w:rFonts w:cs="Arial"/>
                <w:sz w:val="20"/>
              </w:rPr>
              <w:t xml:space="preserve"> </w:t>
            </w:r>
            <w:r w:rsidRPr="00604D8A">
              <w:rPr>
                <w:rFonts w:cs="Arial"/>
                <w:sz w:val="20"/>
              </w:rPr>
              <w:t xml:space="preserve">which provides an index of students’ preparedness for college in terms of reading comprehension and </w:t>
            </w:r>
            <w:r w:rsidRPr="00604D8A">
              <w:rPr>
                <w:rFonts w:cs="Arial"/>
                <w:sz w:val="20"/>
              </w:rPr>
              <w:lastRenderedPageBreak/>
              <w:t xml:space="preserve">writing skills.  </w:t>
            </w:r>
            <w:r w:rsidR="002A1172">
              <w:rPr>
                <w:rFonts w:cs="Arial"/>
                <w:sz w:val="20"/>
              </w:rPr>
              <w:t>Students wi</w:t>
            </w:r>
            <w:r w:rsidR="009511D4">
              <w:rPr>
                <w:rFonts w:cs="Arial"/>
                <w:sz w:val="20"/>
              </w:rPr>
              <w:t>th Accuplacer scores less than 6</w:t>
            </w:r>
            <w:r w:rsidR="002A1172">
              <w:rPr>
                <w:rFonts w:cs="Arial"/>
                <w:sz w:val="20"/>
              </w:rPr>
              <w:t xml:space="preserve">5 were considered “at risk” and in need of additional support.  </w:t>
            </w:r>
            <w:r w:rsidR="009511D4">
              <w:rPr>
                <w:rFonts w:cs="Arial"/>
                <w:sz w:val="20"/>
              </w:rPr>
              <w:t xml:space="preserve">5 </w:t>
            </w:r>
            <w:r w:rsidR="002A1172">
              <w:rPr>
                <w:rFonts w:cs="Arial"/>
                <w:sz w:val="20"/>
              </w:rPr>
              <w:t>out of 60 students who took the assessment had scores in this “at-risk” range.</w:t>
            </w:r>
            <w:r w:rsidR="009511D4">
              <w:rPr>
                <w:rFonts w:cs="Arial"/>
                <w:sz w:val="20"/>
              </w:rPr>
              <w:t xml:space="preserve">  34 out of 60 students (57%) were considered to be “college-ready” with Accuplacer scores in the “66 – 95” range.  21 out of 60 students (35%) had Accuplacer scores greater than 95 and were considered to be entering the program with solid foundational reading comprehension and writing skills. </w:t>
            </w:r>
          </w:p>
          <w:p w:rsidR="002A1172" w:rsidRDefault="002A1172" w:rsidP="002A1172">
            <w:pPr>
              <w:jc w:val="both"/>
              <w:rPr>
                <w:rFonts w:cs="Arial"/>
                <w:sz w:val="20"/>
              </w:rPr>
            </w:pPr>
          </w:p>
          <w:p w:rsidR="002709C5" w:rsidRPr="00604D8A" w:rsidRDefault="009A3D6E" w:rsidP="002A1172">
            <w:pPr>
              <w:jc w:val="both"/>
              <w:rPr>
                <w:rFonts w:cs="Arial"/>
                <w:sz w:val="20"/>
              </w:rPr>
            </w:pPr>
            <w:r w:rsidRPr="00604D8A">
              <w:rPr>
                <w:rFonts w:cs="Arial"/>
                <w:sz w:val="20"/>
              </w:rPr>
              <w:t>Those students who were identified as having low scores on this assessment were advised to attend weekly “drop-in” session where the program coordinator could assist students with writing assignments.</w:t>
            </w:r>
          </w:p>
        </w:tc>
      </w:tr>
      <w:tr w:rsidR="00276F6B" w:rsidRPr="000C3BAA" w:rsidTr="004563C6">
        <w:trPr>
          <w:trHeight w:val="1412"/>
        </w:trPr>
        <w:tc>
          <w:tcPr>
            <w:tcW w:w="3545" w:type="dxa"/>
            <w:gridSpan w:val="2"/>
            <w:tcMar>
              <w:top w:w="113" w:type="dxa"/>
              <w:bottom w:w="113" w:type="dxa"/>
            </w:tcMar>
          </w:tcPr>
          <w:p w:rsidR="00276F6B" w:rsidRPr="000C3BAA" w:rsidRDefault="00276F6B" w:rsidP="00276F6B">
            <w:pPr>
              <w:rPr>
                <w:rFonts w:cs="Arial"/>
                <w:b/>
                <w:sz w:val="20"/>
              </w:rPr>
            </w:pPr>
            <w:r w:rsidRPr="000C3BAA">
              <w:rPr>
                <w:rFonts w:cs="Arial"/>
                <w:b/>
                <w:sz w:val="20"/>
              </w:rPr>
              <w:lastRenderedPageBreak/>
              <w:t>2.9 Learning Pathways</w:t>
            </w:r>
          </w:p>
          <w:p w:rsidR="00276F6B" w:rsidRPr="000C3BAA" w:rsidRDefault="00276F6B" w:rsidP="00276F6B">
            <w:pPr>
              <w:rPr>
                <w:rFonts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pStyle w:val="Title"/>
              <w:numPr>
                <w:ilvl w:val="0"/>
                <w:numId w:val="24"/>
              </w:numPr>
              <w:tabs>
                <w:tab w:val="clear" w:pos="720"/>
                <w:tab w:val="num" w:pos="360"/>
              </w:tabs>
              <w:ind w:left="360"/>
              <w:jc w:val="left"/>
              <w:rPr>
                <w:rFonts w:ascii="Arial" w:hAnsi="Arial" w:cs="Arial"/>
                <w:b/>
                <w:sz w:val="20"/>
              </w:rPr>
            </w:pPr>
            <w:r w:rsidRPr="000C3BAA">
              <w:rPr>
                <w:rFonts w:ascii="Arial" w:hAnsi="Arial" w:cs="Arial"/>
                <w:sz w:val="20"/>
              </w:rPr>
              <w:t>Recent or anticipated initiatives that promote student pathways including high school articulations, dual credit, program laddering, dual diplomas, and university transfer, articulations, and partnerships</w:t>
            </w:r>
          </w:p>
        </w:tc>
        <w:tc>
          <w:tcPr>
            <w:tcW w:w="9699" w:type="dxa"/>
            <w:gridSpan w:val="2"/>
            <w:tcMar>
              <w:top w:w="113" w:type="dxa"/>
              <w:bottom w:w="113" w:type="dxa"/>
            </w:tcMar>
          </w:tcPr>
          <w:p w:rsidR="008637E1" w:rsidRPr="00CB50F1" w:rsidRDefault="00CB50F1" w:rsidP="00CB50F1">
            <w:pPr>
              <w:jc w:val="both"/>
              <w:rPr>
                <w:rFonts w:cs="Arial"/>
                <w:sz w:val="20"/>
              </w:rPr>
            </w:pPr>
            <w:r w:rsidRPr="00CB50F1">
              <w:rPr>
                <w:rFonts w:cs="Arial"/>
                <w:sz w:val="20"/>
              </w:rPr>
              <w:t>The Dean of GAS has been exploring many partnerships and has initiated discussions with UOIT, Seneca and Carleton University.  The plan is to continue forming partnerships and forging new articulation agreements in the new year.</w:t>
            </w:r>
            <w:r>
              <w:rPr>
                <w:rFonts w:cs="Arial"/>
                <w:sz w:val="20"/>
              </w:rPr>
              <w:t xml:space="preserve">  The discussions have been positive to date.</w:t>
            </w:r>
            <w:r w:rsidR="00F56DBB">
              <w:rPr>
                <w:rFonts w:cs="Arial"/>
                <w:sz w:val="20"/>
              </w:rPr>
              <w:t xml:space="preserve">  (See Recommendation #1). </w:t>
            </w:r>
          </w:p>
          <w:p w:rsidR="00CB50F1" w:rsidRPr="00CB50F1" w:rsidRDefault="00CB50F1" w:rsidP="00CB50F1">
            <w:pPr>
              <w:jc w:val="both"/>
              <w:rPr>
                <w:rFonts w:cs="Arial"/>
                <w:sz w:val="20"/>
              </w:rPr>
            </w:pPr>
          </w:p>
          <w:p w:rsidR="005D598A" w:rsidRPr="00CB50F1" w:rsidRDefault="005D598A" w:rsidP="00CB50F1">
            <w:pPr>
              <w:jc w:val="both"/>
              <w:rPr>
                <w:rFonts w:cs="Arial"/>
                <w:sz w:val="20"/>
              </w:rPr>
            </w:pPr>
            <w:r w:rsidRPr="00CB50F1">
              <w:rPr>
                <w:rFonts w:cs="Arial"/>
                <w:sz w:val="20"/>
              </w:rPr>
              <w:t>Seneca College has recently received MTCU approval to offer a 2 + 2 college/university p</w:t>
            </w:r>
            <w:r w:rsidR="00431A0C" w:rsidRPr="00CB50F1">
              <w:rPr>
                <w:rFonts w:cs="Arial"/>
                <w:sz w:val="20"/>
              </w:rPr>
              <w:t>rogram in partnership with the U</w:t>
            </w:r>
            <w:r w:rsidRPr="00CB50F1">
              <w:rPr>
                <w:rFonts w:cs="Arial"/>
                <w:sz w:val="20"/>
              </w:rPr>
              <w:t>niversity of Toronto.</w:t>
            </w:r>
            <w:r w:rsidR="00CB50F1">
              <w:rPr>
                <w:rFonts w:cs="Arial"/>
                <w:sz w:val="20"/>
              </w:rPr>
              <w:t xml:space="preserve"> </w:t>
            </w:r>
            <w:r w:rsidRPr="00CB50F1">
              <w:rPr>
                <w:rFonts w:cs="Arial"/>
                <w:sz w:val="20"/>
              </w:rPr>
              <w:t xml:space="preserve">Discussions </w:t>
            </w:r>
            <w:r w:rsidR="00CB50F1" w:rsidRPr="00CB50F1">
              <w:rPr>
                <w:rFonts w:cs="Arial"/>
                <w:sz w:val="20"/>
              </w:rPr>
              <w:t>have taken place</w:t>
            </w:r>
            <w:r w:rsidRPr="00CB50F1">
              <w:rPr>
                <w:rFonts w:cs="Arial"/>
                <w:sz w:val="20"/>
              </w:rPr>
              <w:t xml:space="preserve"> in the Fall 2011 </w:t>
            </w:r>
            <w:r w:rsidR="00CB50F1" w:rsidRPr="00CB50F1">
              <w:rPr>
                <w:rFonts w:cs="Arial"/>
                <w:sz w:val="20"/>
              </w:rPr>
              <w:t xml:space="preserve">semester </w:t>
            </w:r>
            <w:r w:rsidRPr="00CB50F1">
              <w:rPr>
                <w:rFonts w:cs="Arial"/>
                <w:sz w:val="20"/>
              </w:rPr>
              <w:t>with Seneca to explore the possibilities of students completing 1 year of the University Transfer program at Fleming and then transferring to Seneca to do their 2</w:t>
            </w:r>
            <w:r w:rsidRPr="00CB50F1">
              <w:rPr>
                <w:rFonts w:cs="Arial"/>
                <w:sz w:val="20"/>
                <w:vertAlign w:val="superscript"/>
              </w:rPr>
              <w:t>nd</w:t>
            </w:r>
            <w:r w:rsidRPr="00CB50F1">
              <w:rPr>
                <w:rFonts w:cs="Arial"/>
                <w:sz w:val="20"/>
              </w:rPr>
              <w:t xml:space="preserve"> year of college.  Students would then have the opportunity to complete their degree at UofT.</w:t>
            </w:r>
          </w:p>
          <w:p w:rsidR="005D598A" w:rsidRPr="009A3D6E" w:rsidRDefault="005D598A" w:rsidP="005D598A">
            <w:pPr>
              <w:rPr>
                <w:rFonts w:cs="Arial"/>
                <w:b/>
                <w:sz w:val="20"/>
                <w:highlight w:val="yellow"/>
              </w:rPr>
            </w:pPr>
          </w:p>
          <w:p w:rsidR="005D598A" w:rsidRPr="00CB50F1" w:rsidRDefault="005D598A" w:rsidP="005D598A">
            <w:pPr>
              <w:rPr>
                <w:rFonts w:cs="Arial"/>
                <w:sz w:val="20"/>
              </w:rPr>
            </w:pPr>
            <w:r w:rsidRPr="00CB50F1">
              <w:rPr>
                <w:rFonts w:cs="Arial"/>
                <w:sz w:val="20"/>
              </w:rPr>
              <w:t>As noted in section 2.8, OCLASC is currently gathering data that will be presented to CCVPA in November regarding a consistent process for students wishing to transfer from college to university province-wide.</w:t>
            </w:r>
          </w:p>
          <w:p w:rsidR="005D598A" w:rsidRPr="00CB50F1" w:rsidRDefault="005D598A" w:rsidP="005D598A">
            <w:pPr>
              <w:rPr>
                <w:rFonts w:cs="Arial"/>
                <w:sz w:val="20"/>
              </w:rPr>
            </w:pPr>
          </w:p>
          <w:p w:rsidR="005D598A" w:rsidRPr="00CB50F1" w:rsidRDefault="005D598A" w:rsidP="005D598A">
            <w:pPr>
              <w:rPr>
                <w:rFonts w:cs="Arial"/>
                <w:sz w:val="20"/>
              </w:rPr>
            </w:pPr>
            <w:r w:rsidRPr="00CB50F1">
              <w:rPr>
                <w:rFonts w:cs="Arial"/>
                <w:sz w:val="20"/>
              </w:rPr>
              <w:t xml:space="preserve">Discussions will start in the </w:t>
            </w:r>
            <w:r w:rsidR="00CB50F1">
              <w:rPr>
                <w:rFonts w:cs="Arial"/>
                <w:sz w:val="20"/>
              </w:rPr>
              <w:t xml:space="preserve">winter </w:t>
            </w:r>
            <w:r w:rsidRPr="00CB50F1">
              <w:rPr>
                <w:rFonts w:cs="Arial"/>
                <w:sz w:val="20"/>
              </w:rPr>
              <w:t>with members of a local high school (KP</w:t>
            </w:r>
            <w:r w:rsidR="00CB50F1">
              <w:rPr>
                <w:rFonts w:cs="Arial"/>
                <w:sz w:val="20"/>
              </w:rPr>
              <w:t xml:space="preserve">RDSB) </w:t>
            </w:r>
            <w:r w:rsidRPr="00CB50F1">
              <w:rPr>
                <w:rFonts w:cs="Arial"/>
                <w:sz w:val="20"/>
              </w:rPr>
              <w:t xml:space="preserve">regarding the possibility of linking students in the International Baccalaureate (IB) program to the UT program at Fleming.  </w:t>
            </w:r>
          </w:p>
          <w:p w:rsidR="00724533" w:rsidRDefault="00724533" w:rsidP="005D598A">
            <w:pPr>
              <w:rPr>
                <w:rFonts w:cs="Arial"/>
                <w:color w:val="FF0000"/>
                <w:sz w:val="20"/>
                <w:highlight w:val="yellow"/>
              </w:rPr>
            </w:pPr>
          </w:p>
          <w:p w:rsidR="004563C6" w:rsidRPr="00CB50F1" w:rsidRDefault="004563C6" w:rsidP="004563C6">
            <w:pPr>
              <w:rPr>
                <w:rFonts w:cs="Arial"/>
                <w:sz w:val="20"/>
              </w:rPr>
            </w:pPr>
            <w:r w:rsidRPr="00CB50F1">
              <w:rPr>
                <w:rFonts w:cs="Arial"/>
                <w:sz w:val="20"/>
              </w:rPr>
              <w:t xml:space="preserve">Discussions will </w:t>
            </w:r>
            <w:r>
              <w:rPr>
                <w:rFonts w:cs="Arial"/>
                <w:sz w:val="20"/>
              </w:rPr>
              <w:t xml:space="preserve">also </w:t>
            </w:r>
            <w:r w:rsidRPr="00CB50F1">
              <w:rPr>
                <w:rFonts w:cs="Arial"/>
                <w:sz w:val="20"/>
              </w:rPr>
              <w:t xml:space="preserve">start in the </w:t>
            </w:r>
            <w:r>
              <w:rPr>
                <w:rFonts w:cs="Arial"/>
                <w:sz w:val="20"/>
              </w:rPr>
              <w:t xml:space="preserve">winter </w:t>
            </w:r>
            <w:r w:rsidRPr="00CB50F1">
              <w:rPr>
                <w:rFonts w:cs="Arial"/>
                <w:sz w:val="20"/>
              </w:rPr>
              <w:t xml:space="preserve">with </w:t>
            </w:r>
            <w:r>
              <w:rPr>
                <w:rFonts w:cs="Arial"/>
                <w:sz w:val="20"/>
              </w:rPr>
              <w:t xml:space="preserve">our </w:t>
            </w:r>
            <w:r w:rsidRPr="00CB50F1">
              <w:rPr>
                <w:rFonts w:cs="Arial"/>
                <w:sz w:val="20"/>
              </w:rPr>
              <w:t xml:space="preserve">local high school </w:t>
            </w:r>
            <w:r>
              <w:rPr>
                <w:rFonts w:cs="Arial"/>
                <w:sz w:val="20"/>
              </w:rPr>
              <w:t>partners and Trent with regards to possibilities of UT program courses being offered as dual-credits</w:t>
            </w:r>
            <w:r w:rsidRPr="00CB50F1">
              <w:rPr>
                <w:rFonts w:cs="Arial"/>
                <w:sz w:val="20"/>
              </w:rPr>
              <w:t xml:space="preserve">.  </w:t>
            </w:r>
            <w:r w:rsidR="00F56DBB">
              <w:rPr>
                <w:rFonts w:cs="Arial"/>
                <w:sz w:val="20"/>
              </w:rPr>
              <w:t>(See Recommendation #11).</w:t>
            </w:r>
          </w:p>
          <w:p w:rsidR="00F56DBB" w:rsidRDefault="00F56DBB" w:rsidP="00864E4B">
            <w:pPr>
              <w:rPr>
                <w:rFonts w:cs="Arial"/>
                <w:b/>
                <w:sz w:val="20"/>
              </w:rPr>
            </w:pPr>
          </w:p>
          <w:p w:rsidR="00864E4B" w:rsidRPr="00F56DBB" w:rsidRDefault="00F56DBB" w:rsidP="00864E4B">
            <w:pPr>
              <w:rPr>
                <w:rFonts w:cs="Arial"/>
                <w:sz w:val="20"/>
              </w:rPr>
            </w:pPr>
            <w:r w:rsidRPr="00F56DBB">
              <w:rPr>
                <w:rFonts w:cs="Arial"/>
                <w:sz w:val="20"/>
              </w:rPr>
              <w:t>C</w:t>
            </w:r>
            <w:r w:rsidR="00717E4E" w:rsidRPr="00F56DBB">
              <w:rPr>
                <w:rFonts w:cs="Arial"/>
                <w:sz w:val="20"/>
              </w:rPr>
              <w:t xml:space="preserve">urrent </w:t>
            </w:r>
            <w:r w:rsidRPr="00F56DBB">
              <w:rPr>
                <w:rFonts w:cs="Arial"/>
                <w:sz w:val="20"/>
              </w:rPr>
              <w:t xml:space="preserve">Partnership Agreements: </w:t>
            </w:r>
          </w:p>
          <w:p w:rsidR="00F56DBB" w:rsidRPr="00F56DBB" w:rsidRDefault="003175DE" w:rsidP="003175DE">
            <w:pPr>
              <w:pStyle w:val="NormalWeb"/>
              <w:rPr>
                <w:rStyle w:val="Strong"/>
                <w:sz w:val="20"/>
                <w:szCs w:val="20"/>
              </w:rPr>
            </w:pPr>
            <w:r w:rsidRPr="00F56DBB">
              <w:rPr>
                <w:rStyle w:val="Strong"/>
                <w:sz w:val="20"/>
                <w:szCs w:val="20"/>
              </w:rPr>
              <w:t>Trent/Fleming Partnership Agreements:</w:t>
            </w:r>
            <w:r w:rsidRPr="00F56DBB">
              <w:rPr>
                <w:sz w:val="20"/>
                <w:szCs w:val="20"/>
              </w:rPr>
              <w:t> </w:t>
            </w:r>
            <w:r w:rsidRPr="00F56DBB">
              <w:rPr>
                <w:rStyle w:val="Strong"/>
                <w:sz w:val="20"/>
                <w:szCs w:val="20"/>
              </w:rPr>
              <w:t>Bachelor of Arts - Bachelor of Science</w:t>
            </w:r>
          </w:p>
          <w:p w:rsidR="003175DE" w:rsidRDefault="003175DE" w:rsidP="003175DE">
            <w:pPr>
              <w:pStyle w:val="NormalWeb"/>
              <w:rPr>
                <w:sz w:val="20"/>
                <w:szCs w:val="20"/>
              </w:rPr>
            </w:pPr>
            <w:r w:rsidRPr="00B067D8">
              <w:rPr>
                <w:sz w:val="20"/>
                <w:szCs w:val="20"/>
              </w:rPr>
              <w:t>Graduates of the General Arts and Science - University Transfer program with an overall 70% average and no grade less than 65% in any credit transfer course, are eligible to apply for advance standing admission into these degree programs at the second year level. Trent University will grant direct entry and assign four credits (of five required for the first year) towards the degree, and students must complete the additional credits required in the Trent program selected.</w:t>
            </w:r>
          </w:p>
          <w:p w:rsidR="003175DE" w:rsidRPr="00B067D8" w:rsidRDefault="003175DE" w:rsidP="00F56DBB">
            <w:pPr>
              <w:spacing w:before="100" w:beforeAutospacing="1" w:after="100" w:afterAutospacing="1"/>
              <w:outlineLvl w:val="2"/>
              <w:rPr>
                <w:rFonts w:ascii="Times New Roman" w:hAnsi="Times New Roman"/>
                <w:sz w:val="20"/>
              </w:rPr>
            </w:pPr>
            <w:r w:rsidRPr="00B067D8">
              <w:rPr>
                <w:rFonts w:ascii="Times New Roman" w:hAnsi="Times New Roman"/>
                <w:b/>
                <w:bCs/>
                <w:sz w:val="20"/>
              </w:rPr>
              <w:t>University of Windsor</w:t>
            </w:r>
            <w:r w:rsidR="00F56DBB">
              <w:rPr>
                <w:rFonts w:ascii="Times New Roman" w:hAnsi="Times New Roman"/>
                <w:b/>
                <w:bCs/>
                <w:sz w:val="20"/>
              </w:rPr>
              <w:t xml:space="preserve"> </w:t>
            </w:r>
            <w:r w:rsidRPr="00B067D8">
              <w:rPr>
                <w:rFonts w:ascii="Times New Roman" w:hAnsi="Times New Roman"/>
                <w:b/>
                <w:bCs/>
                <w:sz w:val="20"/>
              </w:rPr>
              <w:t>Bachelor of Social Work or Bachelor of Arts</w:t>
            </w:r>
            <w:r w:rsidRPr="00B067D8">
              <w:rPr>
                <w:rFonts w:ascii="Times New Roman" w:hAnsi="Times New Roman"/>
                <w:sz w:val="20"/>
              </w:rPr>
              <w:br/>
            </w:r>
            <w:r w:rsidRPr="00B067D8">
              <w:rPr>
                <w:rFonts w:ascii="Times New Roman" w:hAnsi="Times New Roman"/>
                <w:sz w:val="20"/>
              </w:rPr>
              <w:lastRenderedPageBreak/>
              <w:t>Graduates of the following Fleming programs are eligible to apply for admission to the Bachelor of Social Work or Bachelor of Arts degree programs.</w:t>
            </w:r>
          </w:p>
          <w:p w:rsidR="003175DE" w:rsidRPr="00B067D8" w:rsidRDefault="003175DE" w:rsidP="003175DE">
            <w:pPr>
              <w:numPr>
                <w:ilvl w:val="0"/>
                <w:numId w:val="28"/>
              </w:numPr>
              <w:spacing w:before="100" w:beforeAutospacing="1" w:after="100" w:afterAutospacing="1"/>
              <w:rPr>
                <w:rFonts w:ascii="Times New Roman" w:hAnsi="Times New Roman"/>
                <w:sz w:val="20"/>
              </w:rPr>
            </w:pPr>
            <w:r w:rsidRPr="00B067D8">
              <w:rPr>
                <w:rFonts w:ascii="Times New Roman" w:hAnsi="Times New Roman"/>
                <w:sz w:val="20"/>
              </w:rPr>
              <w:t xml:space="preserve">Law and Security Administration - Customs Administration or Law and Security - Security and Risk Management (formerly Fire, Safety and Security Management): Graduates with a cumulative average grade of B or better may receive credit equivalent to five courses (15.00 credits) towards a B.A. OR B.S.W. degree. Transfer credit is awarded for approved  courses with a minimum grade B- or better.  </w:t>
            </w:r>
          </w:p>
          <w:p w:rsidR="003175DE" w:rsidRPr="00B067D8" w:rsidRDefault="003175DE" w:rsidP="003175DE">
            <w:pPr>
              <w:numPr>
                <w:ilvl w:val="0"/>
                <w:numId w:val="28"/>
              </w:numPr>
              <w:spacing w:before="100" w:beforeAutospacing="1" w:after="100" w:afterAutospacing="1"/>
              <w:rPr>
                <w:rFonts w:ascii="Times New Roman" w:hAnsi="Times New Roman"/>
                <w:sz w:val="20"/>
              </w:rPr>
            </w:pPr>
            <w:r w:rsidRPr="00B067D8">
              <w:rPr>
                <w:rFonts w:ascii="Times New Roman" w:hAnsi="Times New Roman"/>
                <w:sz w:val="20"/>
              </w:rPr>
              <w:t>General Arts and Science – University Transfer: Graduates with a cumulative average grade of B may receive up to five semester courses (one semester) . For complete details refer to the Ontario College University Transfer Guide at </w:t>
            </w:r>
            <w:hyperlink r:id="rId9" w:history="1">
              <w:r w:rsidRPr="00B067D8">
                <w:rPr>
                  <w:rFonts w:ascii="Times New Roman" w:hAnsi="Times New Roman"/>
                  <w:color w:val="0000FF"/>
                  <w:sz w:val="20"/>
                  <w:u w:val="single"/>
                </w:rPr>
                <w:t>www.ocutg.on.ca</w:t>
              </w:r>
            </w:hyperlink>
            <w:r w:rsidRPr="00B067D8">
              <w:rPr>
                <w:rFonts w:ascii="Times New Roman" w:hAnsi="Times New Roman"/>
                <w:sz w:val="20"/>
              </w:rPr>
              <w:t xml:space="preserve">. </w:t>
            </w:r>
          </w:p>
          <w:p w:rsidR="00864E4B" w:rsidRDefault="00864E4B" w:rsidP="004563C6">
            <w:pPr>
              <w:spacing w:before="100" w:beforeAutospacing="1" w:after="100" w:afterAutospacing="1"/>
              <w:rPr>
                <w:rFonts w:cs="Arial"/>
                <w:sz w:val="20"/>
              </w:rPr>
            </w:pPr>
          </w:p>
          <w:p w:rsidR="00E01626" w:rsidRDefault="00E01626" w:rsidP="004563C6">
            <w:pPr>
              <w:spacing w:before="100" w:beforeAutospacing="1" w:after="100" w:afterAutospacing="1"/>
              <w:rPr>
                <w:rFonts w:cs="Arial"/>
                <w:sz w:val="20"/>
              </w:rPr>
            </w:pPr>
          </w:p>
          <w:p w:rsidR="00E01626" w:rsidRDefault="00E01626" w:rsidP="004563C6">
            <w:pPr>
              <w:spacing w:before="100" w:beforeAutospacing="1" w:after="100" w:afterAutospacing="1"/>
              <w:rPr>
                <w:rFonts w:cs="Arial"/>
                <w:sz w:val="20"/>
              </w:rPr>
            </w:pPr>
          </w:p>
          <w:p w:rsidR="00E01626" w:rsidRDefault="00E01626" w:rsidP="004563C6">
            <w:pPr>
              <w:spacing w:before="100" w:beforeAutospacing="1" w:after="100" w:afterAutospacing="1"/>
              <w:rPr>
                <w:rFonts w:cs="Arial"/>
                <w:sz w:val="20"/>
              </w:rPr>
            </w:pPr>
          </w:p>
          <w:p w:rsidR="00E01626" w:rsidRDefault="00E01626" w:rsidP="004563C6">
            <w:pPr>
              <w:spacing w:before="100" w:beforeAutospacing="1" w:after="100" w:afterAutospacing="1"/>
              <w:rPr>
                <w:rFonts w:cs="Arial"/>
                <w:sz w:val="20"/>
              </w:rPr>
            </w:pPr>
          </w:p>
          <w:p w:rsidR="00E01626" w:rsidRDefault="00E01626" w:rsidP="004563C6">
            <w:pPr>
              <w:spacing w:before="100" w:beforeAutospacing="1" w:after="100" w:afterAutospacing="1"/>
              <w:rPr>
                <w:rFonts w:cs="Arial"/>
                <w:sz w:val="20"/>
              </w:rPr>
            </w:pPr>
          </w:p>
          <w:p w:rsidR="00E01626" w:rsidRDefault="00E01626" w:rsidP="004563C6">
            <w:pPr>
              <w:spacing w:before="100" w:beforeAutospacing="1" w:after="100" w:afterAutospacing="1"/>
              <w:rPr>
                <w:rFonts w:cs="Arial"/>
                <w:sz w:val="20"/>
              </w:rPr>
            </w:pPr>
          </w:p>
          <w:p w:rsidR="009528D7" w:rsidRPr="004563C6" w:rsidRDefault="009528D7" w:rsidP="004563C6">
            <w:pPr>
              <w:spacing w:before="100" w:beforeAutospacing="1" w:after="100" w:afterAutospacing="1"/>
              <w:rPr>
                <w:rFonts w:cs="Arial"/>
                <w:sz w:val="20"/>
              </w:rPr>
            </w:pPr>
          </w:p>
        </w:tc>
      </w:tr>
      <w:tr w:rsidR="00276F6B" w:rsidRPr="000C3BAA" w:rsidTr="004563C6">
        <w:trPr>
          <w:gridBefore w:val="1"/>
          <w:wBefore w:w="176" w:type="dxa"/>
        </w:trPr>
        <w:tc>
          <w:tcPr>
            <w:tcW w:w="6534" w:type="dxa"/>
            <w:gridSpan w:val="2"/>
            <w:shd w:val="clear" w:color="auto" w:fill="C0C0C0"/>
            <w:tcMar>
              <w:top w:w="113" w:type="dxa"/>
              <w:bottom w:w="113" w:type="dxa"/>
            </w:tcMar>
          </w:tcPr>
          <w:p w:rsidR="00276F6B" w:rsidRPr="000C3BAA" w:rsidRDefault="00276F6B" w:rsidP="000C3BAA">
            <w:pPr>
              <w:tabs>
                <w:tab w:val="left" w:pos="72"/>
              </w:tabs>
              <w:rPr>
                <w:rFonts w:cs="Arial"/>
                <w:b/>
              </w:rPr>
            </w:pPr>
            <w:r w:rsidRPr="000C3BAA">
              <w:rPr>
                <w:rFonts w:cs="Arial"/>
                <w:b/>
                <w:lang w:val="en-CA"/>
              </w:rPr>
              <w:lastRenderedPageBreak/>
              <w:t>3.0 Student and Graduate Satisfaction</w:t>
            </w:r>
          </w:p>
        </w:tc>
        <w:tc>
          <w:tcPr>
            <w:tcW w:w="6534" w:type="dxa"/>
            <w:shd w:val="clear" w:color="auto" w:fill="C0C0C0"/>
            <w:tcMar>
              <w:top w:w="113" w:type="dxa"/>
              <w:bottom w:w="113" w:type="dxa"/>
            </w:tcMar>
          </w:tcPr>
          <w:p w:rsidR="00276F6B" w:rsidRPr="000C3BAA" w:rsidRDefault="00276F6B" w:rsidP="00276F6B">
            <w:pPr>
              <w:rPr>
                <w:rFonts w:cs="Arial"/>
                <w:b/>
              </w:rPr>
            </w:pPr>
            <w:r w:rsidRPr="000C3BAA">
              <w:rPr>
                <w:rFonts w:cs="Arial"/>
                <w:b/>
              </w:rPr>
              <w:t>Summary of Key Findings</w:t>
            </w:r>
          </w:p>
        </w:tc>
      </w:tr>
      <w:tr w:rsidR="00276F6B" w:rsidRPr="000C3BAA" w:rsidTr="004563C6">
        <w:trPr>
          <w:gridBefore w:val="1"/>
          <w:wBefore w:w="176" w:type="dxa"/>
          <w:trHeight w:val="3188"/>
        </w:trPr>
        <w:tc>
          <w:tcPr>
            <w:tcW w:w="6534" w:type="dxa"/>
            <w:gridSpan w:val="2"/>
            <w:tcMar>
              <w:top w:w="113" w:type="dxa"/>
              <w:bottom w:w="113" w:type="dxa"/>
            </w:tcMar>
          </w:tcPr>
          <w:p w:rsidR="00276F6B" w:rsidRPr="000C3BAA" w:rsidRDefault="00276F6B" w:rsidP="00276F6B">
            <w:pPr>
              <w:rPr>
                <w:rFonts w:cs="Arial"/>
                <w:b/>
                <w:bCs/>
                <w:sz w:val="20"/>
              </w:rPr>
            </w:pPr>
            <w:r w:rsidRPr="000C3BAA">
              <w:rPr>
                <w:rFonts w:cs="Arial"/>
                <w:b/>
                <w:bCs/>
                <w:sz w:val="20"/>
              </w:rPr>
              <w:lastRenderedPageBreak/>
              <w:t>3.1 Formal Measures of Student and / or Graduate Satisfaction</w:t>
            </w:r>
          </w:p>
          <w:p w:rsidR="00276F6B" w:rsidRPr="000C3BAA" w:rsidRDefault="00276F6B" w:rsidP="00276F6B">
            <w:pPr>
              <w:rPr>
                <w:rFonts w:cs="Arial"/>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24"/>
              </w:numPr>
              <w:tabs>
                <w:tab w:val="clear" w:pos="720"/>
                <w:tab w:val="num" w:pos="360"/>
              </w:tabs>
              <w:ind w:left="360"/>
              <w:rPr>
                <w:rFonts w:cs="Arial"/>
                <w:sz w:val="20"/>
              </w:rPr>
            </w:pPr>
            <w:r w:rsidRPr="000C3BAA">
              <w:rPr>
                <w:rFonts w:cs="Arial"/>
                <w:sz w:val="20"/>
              </w:rPr>
              <w:t>Key Performance Indicator results for the program with a focus on #s  4, 8, 9, and 11</w:t>
            </w:r>
          </w:p>
          <w:p w:rsidR="00276F6B" w:rsidRPr="000C3BAA" w:rsidRDefault="00276F6B" w:rsidP="000C3BAA">
            <w:pPr>
              <w:numPr>
                <w:ilvl w:val="0"/>
                <w:numId w:val="24"/>
              </w:numPr>
              <w:tabs>
                <w:tab w:val="clear" w:pos="720"/>
                <w:tab w:val="num" w:pos="360"/>
              </w:tabs>
              <w:ind w:left="360"/>
              <w:rPr>
                <w:rFonts w:cs="Arial"/>
                <w:sz w:val="20"/>
              </w:rPr>
            </w:pPr>
            <w:r w:rsidRPr="000C3BAA">
              <w:rPr>
                <w:rFonts w:cs="Arial"/>
                <w:sz w:val="20"/>
              </w:rPr>
              <w:t>Program status and positioning in relation to the KPIs of other programs of a similar type (where applicable)</w:t>
            </w:r>
          </w:p>
          <w:p w:rsidR="00276F6B" w:rsidRPr="000C3BAA" w:rsidRDefault="00276F6B" w:rsidP="000C3BAA">
            <w:pPr>
              <w:numPr>
                <w:ilvl w:val="0"/>
                <w:numId w:val="24"/>
              </w:numPr>
              <w:tabs>
                <w:tab w:val="clear" w:pos="720"/>
                <w:tab w:val="num" w:pos="360"/>
              </w:tabs>
              <w:ind w:left="360"/>
              <w:rPr>
                <w:rFonts w:cs="Arial"/>
                <w:sz w:val="20"/>
              </w:rPr>
            </w:pPr>
            <w:r w:rsidRPr="000C3BAA">
              <w:rPr>
                <w:rFonts w:cs="Arial"/>
                <w:sz w:val="20"/>
              </w:rPr>
              <w:t xml:space="preserve">Feedback and summary report from Learning Support Services (LSS) summary </w:t>
            </w:r>
          </w:p>
          <w:p w:rsidR="00276F6B" w:rsidRPr="000C3BAA" w:rsidRDefault="00276F6B" w:rsidP="000C3BAA">
            <w:pPr>
              <w:numPr>
                <w:ilvl w:val="0"/>
                <w:numId w:val="24"/>
              </w:numPr>
              <w:tabs>
                <w:tab w:val="clear" w:pos="720"/>
                <w:tab w:val="num" w:pos="360"/>
              </w:tabs>
              <w:ind w:left="360"/>
              <w:rPr>
                <w:rFonts w:cs="Arial"/>
                <w:sz w:val="20"/>
              </w:rPr>
            </w:pPr>
            <w:r w:rsidRPr="000C3BAA">
              <w:rPr>
                <w:rFonts w:cs="Arial"/>
                <w:sz w:val="20"/>
              </w:rPr>
              <w:t xml:space="preserve">Themes or issues emerging from a review of course evaluation summaries </w:t>
            </w:r>
          </w:p>
          <w:p w:rsidR="00276F6B" w:rsidRPr="000C3BAA" w:rsidRDefault="00276F6B" w:rsidP="00276F6B">
            <w:pPr>
              <w:rPr>
                <w:sz w:val="20"/>
                <w:lang w:val="en-CA"/>
              </w:rPr>
            </w:pPr>
          </w:p>
          <w:p w:rsidR="00276F6B" w:rsidRPr="000C3BAA" w:rsidRDefault="00276F6B" w:rsidP="00276F6B">
            <w:pPr>
              <w:rPr>
                <w:sz w:val="20"/>
                <w:lang w:val="en-CA"/>
              </w:rPr>
            </w:pPr>
          </w:p>
          <w:p w:rsidR="00276F6B" w:rsidRPr="000C3BAA" w:rsidRDefault="00276F6B" w:rsidP="00276F6B">
            <w:pPr>
              <w:rPr>
                <w:sz w:val="20"/>
                <w:lang w:val="en-CA"/>
              </w:rPr>
            </w:pPr>
          </w:p>
        </w:tc>
        <w:tc>
          <w:tcPr>
            <w:tcW w:w="6534" w:type="dxa"/>
            <w:tcMar>
              <w:top w:w="113" w:type="dxa"/>
              <w:bottom w:w="113" w:type="dxa"/>
            </w:tcMar>
          </w:tcPr>
          <w:p w:rsidR="009A3D6E" w:rsidRPr="00DE436A" w:rsidRDefault="009A3D6E" w:rsidP="00DE436A">
            <w:pPr>
              <w:jc w:val="both"/>
              <w:rPr>
                <w:sz w:val="20"/>
                <w:lang w:val="en-CA"/>
              </w:rPr>
            </w:pPr>
            <w:r w:rsidRPr="00DE436A">
              <w:rPr>
                <w:sz w:val="20"/>
                <w:lang w:val="en-CA"/>
              </w:rPr>
              <w:t xml:space="preserve">In an examination of KPI data across </w:t>
            </w:r>
            <w:r w:rsidR="00DE436A">
              <w:rPr>
                <w:sz w:val="20"/>
                <w:lang w:val="en-CA"/>
              </w:rPr>
              <w:t>the last five years (2006 – 2011</w:t>
            </w:r>
            <w:r w:rsidRPr="00DE436A">
              <w:rPr>
                <w:sz w:val="20"/>
                <w:lang w:val="en-CA"/>
              </w:rPr>
              <w:t>) on 2 questions (Q#14 – Knowledge and skills that will be useful in your future and Q#26 – Overall quality of learning experiences) trends have shown variable rates of satisfaction.</w:t>
            </w:r>
          </w:p>
          <w:p w:rsidR="009A3D6E" w:rsidRPr="00DE436A" w:rsidRDefault="009A3D6E" w:rsidP="00DE436A">
            <w:pPr>
              <w:pStyle w:val="ListParagraph"/>
              <w:numPr>
                <w:ilvl w:val="0"/>
                <w:numId w:val="25"/>
              </w:numPr>
              <w:jc w:val="both"/>
              <w:rPr>
                <w:sz w:val="20"/>
                <w:lang w:val="en-CA"/>
              </w:rPr>
            </w:pPr>
            <w:r w:rsidRPr="00DE436A">
              <w:rPr>
                <w:b/>
                <w:sz w:val="20"/>
                <w:u w:val="single"/>
                <w:lang w:val="en-CA"/>
              </w:rPr>
              <w:t>On average</w:t>
            </w:r>
            <w:r w:rsidRPr="00DE436A">
              <w:rPr>
                <w:sz w:val="20"/>
                <w:lang w:val="en-CA"/>
              </w:rPr>
              <w:t xml:space="preserve">, </w:t>
            </w:r>
            <w:r w:rsidR="00DE436A">
              <w:rPr>
                <w:sz w:val="20"/>
                <w:lang w:val="en-CA"/>
              </w:rPr>
              <w:t>80.5</w:t>
            </w:r>
            <w:r w:rsidRPr="00DE436A">
              <w:rPr>
                <w:sz w:val="20"/>
                <w:lang w:val="en-CA"/>
              </w:rPr>
              <w:t>% of students responded they were very satisfied/satisfied on Q#14</w:t>
            </w:r>
          </w:p>
          <w:p w:rsidR="009A3D6E" w:rsidRPr="00DE436A" w:rsidRDefault="009A3D6E" w:rsidP="00DE436A">
            <w:pPr>
              <w:pStyle w:val="ListParagraph"/>
              <w:numPr>
                <w:ilvl w:val="0"/>
                <w:numId w:val="25"/>
              </w:numPr>
              <w:jc w:val="both"/>
              <w:rPr>
                <w:sz w:val="20"/>
                <w:lang w:val="en-CA"/>
              </w:rPr>
            </w:pPr>
            <w:r w:rsidRPr="00564CE9">
              <w:rPr>
                <w:b/>
                <w:sz w:val="20"/>
                <w:u w:val="single"/>
                <w:lang w:val="en-CA"/>
              </w:rPr>
              <w:t>On average</w:t>
            </w:r>
            <w:r w:rsidRPr="00DE436A">
              <w:rPr>
                <w:sz w:val="20"/>
                <w:lang w:val="en-CA"/>
              </w:rPr>
              <w:t xml:space="preserve">, </w:t>
            </w:r>
            <w:r w:rsidR="00DE436A">
              <w:rPr>
                <w:sz w:val="20"/>
                <w:lang w:val="en-CA"/>
              </w:rPr>
              <w:t>90</w:t>
            </w:r>
            <w:r w:rsidRPr="00DE436A">
              <w:rPr>
                <w:sz w:val="20"/>
                <w:lang w:val="en-CA"/>
              </w:rPr>
              <w:t xml:space="preserve">% of students responded they were very satisfied/satisfied on Q#26. </w:t>
            </w:r>
            <w:r w:rsidR="00564CE9" w:rsidRPr="00F46942">
              <w:rPr>
                <w:sz w:val="20"/>
                <w:highlight w:val="cyan"/>
                <w:lang w:val="en-CA"/>
              </w:rPr>
              <w:t xml:space="preserve">(See Appendix </w:t>
            </w:r>
            <w:r w:rsidR="00E01626">
              <w:rPr>
                <w:sz w:val="20"/>
                <w:highlight w:val="cyan"/>
                <w:lang w:val="en-CA"/>
              </w:rPr>
              <w:t>I</w:t>
            </w:r>
            <w:r w:rsidR="00564CE9" w:rsidRPr="00F46942">
              <w:rPr>
                <w:sz w:val="20"/>
                <w:highlight w:val="cyan"/>
                <w:lang w:val="en-CA"/>
              </w:rPr>
              <w:t>)</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 xml:space="preserve">Data from the 2010/11 KPI Student Satisfaction Survey </w:t>
            </w:r>
            <w:r w:rsidR="00564CE9">
              <w:rPr>
                <w:sz w:val="20"/>
                <w:lang w:val="en-CA"/>
              </w:rPr>
              <w:t xml:space="preserve">and a review of the data from the past five years </w:t>
            </w:r>
            <w:r w:rsidRPr="00DE436A">
              <w:rPr>
                <w:sz w:val="20"/>
                <w:lang w:val="en-CA"/>
              </w:rPr>
              <w:t>suggest the percentages of student satisfaction in the GSU program are lower than those reported provincially on those items that related to the “Impact of Learning Experiences on Future”</w:t>
            </w:r>
            <w:r w:rsidR="00564CE9">
              <w:rPr>
                <w:sz w:val="20"/>
                <w:lang w:val="en-CA"/>
              </w:rPr>
              <w:t xml:space="preserve"> </w:t>
            </w:r>
            <w:r w:rsidR="000176C5">
              <w:rPr>
                <w:sz w:val="20"/>
                <w:highlight w:val="cyan"/>
                <w:lang w:val="en-CA"/>
              </w:rPr>
              <w:t xml:space="preserve">(See Appendix </w:t>
            </w:r>
            <w:r w:rsidR="00E01626">
              <w:rPr>
                <w:sz w:val="20"/>
                <w:highlight w:val="cyan"/>
                <w:lang w:val="en-CA"/>
              </w:rPr>
              <w:t>I</w:t>
            </w:r>
            <w:r w:rsidR="00564CE9" w:rsidRPr="00F46942">
              <w:rPr>
                <w:sz w:val="20"/>
                <w:highlight w:val="cyan"/>
                <w:lang w:val="en-CA"/>
              </w:rPr>
              <w:t>)</w:t>
            </w:r>
            <w:r w:rsidRPr="00F46942">
              <w:rPr>
                <w:sz w:val="20"/>
                <w:highlight w:val="cyan"/>
                <w:lang w:val="en-CA"/>
              </w:rPr>
              <w:t>.</w:t>
            </w:r>
            <w:r w:rsidRPr="00DE436A">
              <w:rPr>
                <w:sz w:val="20"/>
                <w:lang w:val="en-CA"/>
              </w:rPr>
              <w:t xml:space="preserve">  Numbers below are reports of students who are Very Satisfied/Satisfied</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 xml:space="preserve">Q#4 – Includes topics relevant to your future success </w:t>
            </w:r>
          </w:p>
          <w:p w:rsidR="009A3D6E" w:rsidRPr="00DE436A" w:rsidRDefault="009A3D6E" w:rsidP="00DE436A">
            <w:pPr>
              <w:jc w:val="both"/>
              <w:rPr>
                <w:sz w:val="20"/>
                <w:lang w:val="en-CA"/>
              </w:rPr>
            </w:pPr>
            <w:r w:rsidRPr="00DE436A">
              <w:rPr>
                <w:sz w:val="20"/>
                <w:lang w:val="en-CA"/>
              </w:rPr>
              <w:t>GSU = 61.2% vs. 75% provincially (-13.8% difference)</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Q#8 – Develops your ability to solve problems using math techniques</w:t>
            </w:r>
          </w:p>
          <w:p w:rsidR="009A3D6E" w:rsidRPr="00DE436A" w:rsidRDefault="009A3D6E" w:rsidP="00DE436A">
            <w:pPr>
              <w:jc w:val="both"/>
              <w:rPr>
                <w:sz w:val="20"/>
                <w:lang w:val="en-CA"/>
              </w:rPr>
            </w:pPr>
            <w:r w:rsidRPr="00DE436A">
              <w:rPr>
                <w:sz w:val="20"/>
                <w:lang w:val="en-CA"/>
              </w:rPr>
              <w:t>GSU = 18.8% vs. 60% provincially (-41.2% difference)</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Q#9 – Develops your ability to work with others</w:t>
            </w:r>
          </w:p>
          <w:p w:rsidR="009A3D6E" w:rsidRPr="00DE436A" w:rsidRDefault="009A3D6E" w:rsidP="00DE436A">
            <w:pPr>
              <w:jc w:val="both"/>
              <w:rPr>
                <w:sz w:val="20"/>
                <w:lang w:val="en-CA"/>
              </w:rPr>
            </w:pPr>
            <w:r w:rsidRPr="00DE436A">
              <w:rPr>
                <w:sz w:val="20"/>
                <w:lang w:val="en-CA"/>
              </w:rPr>
              <w:t>GSU = 62% vs. 71.7% provincially (-9.7% difference)</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Q#11 – Develops your computer skills</w:t>
            </w:r>
          </w:p>
          <w:p w:rsidR="009A3D6E" w:rsidRPr="00DE436A" w:rsidRDefault="009A3D6E" w:rsidP="00DE436A">
            <w:pPr>
              <w:jc w:val="both"/>
              <w:rPr>
                <w:sz w:val="20"/>
                <w:lang w:val="en-CA"/>
              </w:rPr>
            </w:pPr>
            <w:r w:rsidRPr="00DE436A">
              <w:rPr>
                <w:sz w:val="20"/>
                <w:lang w:val="en-CA"/>
              </w:rPr>
              <w:t>GSU = 22.2% vs. 56.1% provincially (-33.9%)</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Although lower than the provincial average on the KPI questions above, it is important to note that specific math courses and/or computer skills are not part of the current GSU curriculum.  Rather, a stronger emphasis is placed on critical thinking and writing</w:t>
            </w:r>
            <w:r w:rsidR="009528D7">
              <w:rPr>
                <w:sz w:val="20"/>
                <w:lang w:val="en-CA"/>
              </w:rPr>
              <w:t xml:space="preserve"> as noted in the Program Vocational Learning Outcomes.  </w:t>
            </w:r>
            <w:r w:rsidR="00EB0A84">
              <w:rPr>
                <w:sz w:val="20"/>
                <w:lang w:val="en-CA"/>
              </w:rPr>
              <w:t>(See Recommendation #5).</w:t>
            </w:r>
            <w:r w:rsidRPr="00DE436A">
              <w:rPr>
                <w:sz w:val="20"/>
                <w:lang w:val="en-CA"/>
              </w:rPr>
              <w:t xml:space="preserve">  </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There were some KPI indicators where the GSU program scored higher than the provincial average.  They were on the following KPI questions</w:t>
            </w:r>
          </w:p>
          <w:p w:rsidR="009A3D6E" w:rsidRPr="00DE436A" w:rsidRDefault="009A3D6E" w:rsidP="00DE436A">
            <w:pPr>
              <w:jc w:val="both"/>
              <w:rPr>
                <w:sz w:val="20"/>
                <w:lang w:val="en-CA"/>
              </w:rPr>
            </w:pPr>
            <w:r w:rsidRPr="00DE436A">
              <w:rPr>
                <w:sz w:val="20"/>
                <w:lang w:val="en-CA"/>
              </w:rPr>
              <w:t xml:space="preserve">Q#6 – Develops your writing skills (90.2% vs. 70.4% provincially – </w:t>
            </w:r>
            <w:r w:rsidRPr="00DE436A">
              <w:rPr>
                <w:sz w:val="20"/>
                <w:lang w:val="en-CA"/>
              </w:rPr>
              <w:lastRenderedPageBreak/>
              <w:t>difference of +19.8%)</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Q#7 – Develops your speaking skills (58% vs. 55.1% provincially – difference of +2.9%)</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Q#10 – Develops your ability to solve problems (69.6% vs. 67% provincially – difference of +2.6%)</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Q#12 – Provides you with opportunities to further your education about graduation (90% vs. 77.5% provincially – difference of +12.5%)</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Q#13 – Provides you with the experience that will be useful to your future life outside of work (72.3% vs. 66.3% provincially – difference of +6%)</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The 2010/11 KPI Student Satisfaction results on items related to “Teachers and Courses” suggest slightly higher trends when compared to the provincial averages.  For example:</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 xml:space="preserve">Q#15 – Teachers’ knowledge of their subjects </w:t>
            </w:r>
          </w:p>
          <w:p w:rsidR="009A3D6E" w:rsidRPr="00DE436A" w:rsidRDefault="009A3D6E" w:rsidP="00DE436A">
            <w:pPr>
              <w:jc w:val="both"/>
              <w:rPr>
                <w:sz w:val="20"/>
                <w:lang w:val="en-CA"/>
              </w:rPr>
            </w:pPr>
            <w:r w:rsidRPr="00DE436A">
              <w:rPr>
                <w:sz w:val="20"/>
                <w:lang w:val="en-CA"/>
              </w:rPr>
              <w:t>GSU = 94% vs. 87.9% provincially (6.1% difference)</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Q#16 – Teachers are up-to-date in their fields</w:t>
            </w:r>
          </w:p>
          <w:p w:rsidR="009A3D6E" w:rsidRPr="00DE436A" w:rsidRDefault="009A3D6E" w:rsidP="00DE436A">
            <w:pPr>
              <w:jc w:val="both"/>
              <w:rPr>
                <w:sz w:val="20"/>
                <w:lang w:val="en-CA"/>
              </w:rPr>
            </w:pPr>
            <w:r w:rsidRPr="00DE436A">
              <w:rPr>
                <w:sz w:val="20"/>
                <w:lang w:val="en-CA"/>
              </w:rPr>
              <w:t>GSU = 96.1% vs. 85.1% provincially (11% difference)</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Q#17 – Teachers’ presentation of the subject material</w:t>
            </w:r>
          </w:p>
          <w:p w:rsidR="009A3D6E" w:rsidRPr="00DE436A" w:rsidRDefault="009A3D6E" w:rsidP="00DE436A">
            <w:pPr>
              <w:jc w:val="both"/>
              <w:rPr>
                <w:sz w:val="20"/>
                <w:lang w:val="en-CA"/>
              </w:rPr>
            </w:pPr>
            <w:r w:rsidRPr="00DE436A">
              <w:rPr>
                <w:sz w:val="20"/>
                <w:lang w:val="en-CA"/>
              </w:rPr>
              <w:t>GSU = 84% vs. 74% provincially (10% difference)</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Q#18 = Helpfulness of teachers outside of class</w:t>
            </w:r>
          </w:p>
          <w:p w:rsidR="009A3D6E" w:rsidRPr="00DE436A" w:rsidRDefault="009A3D6E" w:rsidP="00DE436A">
            <w:pPr>
              <w:jc w:val="both"/>
              <w:rPr>
                <w:sz w:val="20"/>
                <w:lang w:val="en-CA"/>
              </w:rPr>
            </w:pPr>
            <w:r w:rsidRPr="00DE436A">
              <w:rPr>
                <w:sz w:val="20"/>
                <w:lang w:val="en-CA"/>
              </w:rPr>
              <w:t>GSU = 70% vs. 67.5% provincially (3.5% difference)</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 xml:space="preserve">The OVERALL quality of the learning experience in the GSU program was equivalent to the provincial average.  80.4% of students were very satisfied or satisfied with the program.  </w:t>
            </w:r>
          </w:p>
          <w:p w:rsidR="009A3D6E" w:rsidRPr="00DE436A" w:rsidRDefault="009A3D6E" w:rsidP="00DE436A">
            <w:pPr>
              <w:jc w:val="both"/>
              <w:rPr>
                <w:sz w:val="20"/>
                <w:lang w:val="en-CA"/>
              </w:rPr>
            </w:pPr>
          </w:p>
          <w:p w:rsidR="009A3D6E" w:rsidRPr="00DE436A" w:rsidRDefault="009A3D6E" w:rsidP="00DE436A">
            <w:pPr>
              <w:jc w:val="both"/>
              <w:rPr>
                <w:sz w:val="20"/>
                <w:lang w:val="en-CA"/>
              </w:rPr>
            </w:pPr>
            <w:r w:rsidRPr="00DE436A">
              <w:rPr>
                <w:sz w:val="20"/>
                <w:lang w:val="en-CA"/>
              </w:rPr>
              <w:t xml:space="preserve">The greatest gaps were noted for lab/shop facilities and equipment (GSU = 26.3% vs. 65.4% provincially) and Quality of lab/shop learning (GSU = 42.9% vs. 59.7% provincially).  </w:t>
            </w:r>
          </w:p>
          <w:p w:rsidR="009A3D6E" w:rsidRPr="00DE436A" w:rsidRDefault="009A3D6E" w:rsidP="00DE436A">
            <w:pPr>
              <w:jc w:val="both"/>
              <w:rPr>
                <w:sz w:val="20"/>
                <w:lang w:val="en-CA"/>
              </w:rPr>
            </w:pPr>
          </w:p>
          <w:p w:rsidR="00564CE9" w:rsidRDefault="009A3D6E" w:rsidP="00DE436A">
            <w:pPr>
              <w:jc w:val="both"/>
              <w:rPr>
                <w:sz w:val="20"/>
                <w:lang w:val="en-CA"/>
              </w:rPr>
            </w:pPr>
            <w:r w:rsidRPr="00564CE9">
              <w:rPr>
                <w:sz w:val="20"/>
                <w:lang w:val="en-CA"/>
              </w:rPr>
              <w:lastRenderedPageBreak/>
              <w:t>In terms of data provided by Learning Support Services, there have been requests for tutors and assistance for the psychology and philosophy courses.  LSS has hired previous GSU graduates to assist students in the program.</w:t>
            </w:r>
            <w:r w:rsidR="00564CE9">
              <w:rPr>
                <w:sz w:val="20"/>
                <w:lang w:val="en-CA"/>
              </w:rPr>
              <w:t xml:space="preserve">  </w:t>
            </w:r>
            <w:r w:rsidR="000F1F8B">
              <w:rPr>
                <w:sz w:val="20"/>
                <w:lang w:val="en-CA"/>
              </w:rPr>
              <w:t xml:space="preserve">However, this service is limited to willingness of graduates to participate.  </w:t>
            </w:r>
            <w:r w:rsidR="00287D7B">
              <w:rPr>
                <w:sz w:val="20"/>
                <w:lang w:val="en-CA"/>
              </w:rPr>
              <w:t>(See Recommendation #2, #8 and #12).</w:t>
            </w:r>
          </w:p>
          <w:p w:rsidR="00564CE9" w:rsidRDefault="00564CE9" w:rsidP="00DE436A">
            <w:pPr>
              <w:jc w:val="both"/>
              <w:rPr>
                <w:sz w:val="20"/>
                <w:lang w:val="en-CA"/>
              </w:rPr>
            </w:pPr>
          </w:p>
          <w:p w:rsidR="009A3D6E" w:rsidRPr="00DE436A" w:rsidRDefault="00564CE9" w:rsidP="00DE436A">
            <w:pPr>
              <w:jc w:val="both"/>
              <w:rPr>
                <w:sz w:val="20"/>
                <w:lang w:val="en-CA"/>
              </w:rPr>
            </w:pPr>
            <w:r>
              <w:rPr>
                <w:sz w:val="20"/>
                <w:lang w:val="en-CA"/>
              </w:rPr>
              <w:t xml:space="preserve">Course completion rates were also investigated from Fall 2000 to 2010.  English Literature I (48%) and Early Modern Philosophy (46%) had the highest percentages of non-completion rates within the program followed by Critically Aware Thinking (42%) and Language Composition (41%).  </w:t>
            </w:r>
          </w:p>
          <w:p w:rsidR="009A3D6E" w:rsidRPr="008637E1" w:rsidRDefault="009A3D6E" w:rsidP="00DE436A">
            <w:pPr>
              <w:jc w:val="both"/>
              <w:rPr>
                <w:b/>
                <w:color w:val="C0504D"/>
                <w:sz w:val="24"/>
                <w:szCs w:val="24"/>
                <w:lang w:val="en-CA"/>
              </w:rPr>
            </w:pPr>
          </w:p>
        </w:tc>
      </w:tr>
      <w:tr w:rsidR="00276F6B" w:rsidRPr="000C3BAA" w:rsidTr="004563C6">
        <w:trPr>
          <w:gridBefore w:val="1"/>
          <w:wBefore w:w="176" w:type="dxa"/>
        </w:trPr>
        <w:tc>
          <w:tcPr>
            <w:tcW w:w="6534" w:type="dxa"/>
            <w:gridSpan w:val="2"/>
          </w:tcPr>
          <w:p w:rsidR="00276F6B" w:rsidRPr="000C3BAA" w:rsidRDefault="00276F6B" w:rsidP="000C3BAA">
            <w:pPr>
              <w:ind w:left="360" w:hanging="360"/>
              <w:rPr>
                <w:rFonts w:cs="Arial"/>
                <w:b/>
                <w:sz w:val="20"/>
              </w:rPr>
            </w:pPr>
          </w:p>
          <w:p w:rsidR="00276F6B" w:rsidRPr="000C3BAA" w:rsidRDefault="00276F6B" w:rsidP="000C3BAA">
            <w:pPr>
              <w:ind w:left="360" w:hanging="360"/>
              <w:rPr>
                <w:rFonts w:cs="Arial"/>
                <w:b/>
                <w:sz w:val="20"/>
              </w:rPr>
            </w:pPr>
            <w:r w:rsidRPr="000C3BAA">
              <w:rPr>
                <w:rFonts w:cs="Arial"/>
                <w:b/>
                <w:sz w:val="20"/>
              </w:rPr>
              <w:t>3.2 Other Measures of Student and Graduate Satisfaction</w:t>
            </w:r>
          </w:p>
          <w:p w:rsidR="00276F6B" w:rsidRPr="000C3BAA" w:rsidRDefault="00276F6B" w:rsidP="000C3BAA">
            <w:pPr>
              <w:ind w:left="360" w:hanging="360"/>
              <w:rPr>
                <w:rFonts w:cs="Arial"/>
                <w:b/>
                <w:sz w:val="20"/>
              </w:rPr>
            </w:pPr>
          </w:p>
          <w:p w:rsidR="00276F6B" w:rsidRPr="000C3BAA" w:rsidRDefault="00276F6B" w:rsidP="000C3BAA">
            <w:pPr>
              <w:ind w:left="360" w:hanging="360"/>
              <w:rPr>
                <w:rFonts w:cs="Arial"/>
                <w:b/>
                <w:bCs/>
                <w:sz w:val="20"/>
              </w:rPr>
            </w:pPr>
            <w:r w:rsidRPr="000C3BAA">
              <w:rPr>
                <w:rFonts w:cs="Arial"/>
                <w:b/>
                <w:bCs/>
                <w:sz w:val="20"/>
              </w:rPr>
              <w:t>Review / discuss outcomes from:</w:t>
            </w:r>
          </w:p>
          <w:p w:rsidR="00276F6B" w:rsidRPr="000C3BAA" w:rsidRDefault="00276F6B" w:rsidP="000C3BAA">
            <w:pPr>
              <w:ind w:left="360" w:hanging="360"/>
              <w:rPr>
                <w:rFonts w:cs="Arial"/>
                <w:b/>
                <w:bCs/>
                <w:sz w:val="20"/>
              </w:rPr>
            </w:pPr>
          </w:p>
          <w:p w:rsidR="00276F6B" w:rsidRPr="000C3BAA" w:rsidRDefault="00276F6B" w:rsidP="000C3BAA">
            <w:pPr>
              <w:numPr>
                <w:ilvl w:val="0"/>
                <w:numId w:val="8"/>
              </w:numPr>
              <w:tabs>
                <w:tab w:val="clear" w:pos="720"/>
                <w:tab w:val="num" w:pos="360"/>
              </w:tabs>
              <w:ind w:left="360"/>
              <w:rPr>
                <w:rFonts w:cs="Arial"/>
                <w:sz w:val="20"/>
              </w:rPr>
            </w:pPr>
            <w:r w:rsidRPr="000C3BAA">
              <w:rPr>
                <w:rFonts w:cs="Arial"/>
                <w:sz w:val="20"/>
              </w:rPr>
              <w:t xml:space="preserve">Student or graduate focus groups </w:t>
            </w:r>
          </w:p>
          <w:p w:rsidR="00276F6B" w:rsidRPr="000C3BAA" w:rsidRDefault="00276F6B" w:rsidP="000C3BAA">
            <w:pPr>
              <w:numPr>
                <w:ilvl w:val="0"/>
                <w:numId w:val="8"/>
              </w:numPr>
              <w:tabs>
                <w:tab w:val="clear" w:pos="720"/>
                <w:tab w:val="num" w:pos="360"/>
              </w:tabs>
              <w:ind w:left="360"/>
              <w:rPr>
                <w:rFonts w:cs="Arial"/>
                <w:sz w:val="20"/>
              </w:rPr>
            </w:pPr>
            <w:r w:rsidRPr="000C3BAA">
              <w:rPr>
                <w:rFonts w:cs="Arial"/>
                <w:sz w:val="20"/>
              </w:rPr>
              <w:t>Student Advisor observations / reports</w:t>
            </w:r>
          </w:p>
          <w:p w:rsidR="00276F6B" w:rsidRPr="000C3BAA" w:rsidRDefault="00276F6B" w:rsidP="000C3BAA">
            <w:pPr>
              <w:numPr>
                <w:ilvl w:val="0"/>
                <w:numId w:val="8"/>
              </w:numPr>
              <w:tabs>
                <w:tab w:val="clear" w:pos="720"/>
                <w:tab w:val="num" w:pos="360"/>
              </w:tabs>
              <w:ind w:left="360"/>
              <w:rPr>
                <w:rFonts w:cs="Arial"/>
                <w:sz w:val="20"/>
              </w:rPr>
            </w:pPr>
            <w:r w:rsidRPr="000C3BAA">
              <w:rPr>
                <w:rFonts w:cs="Arial"/>
                <w:sz w:val="20"/>
              </w:rPr>
              <w:t>Formal or informal discussions with students and graduates such as class councils, class representatives, individuals or delegations</w:t>
            </w:r>
          </w:p>
          <w:p w:rsidR="00276F6B" w:rsidRPr="000C3BAA" w:rsidRDefault="00276F6B" w:rsidP="000C3BAA">
            <w:pPr>
              <w:numPr>
                <w:ilvl w:val="0"/>
                <w:numId w:val="8"/>
              </w:numPr>
              <w:tabs>
                <w:tab w:val="clear" w:pos="720"/>
                <w:tab w:val="num" w:pos="360"/>
              </w:tabs>
              <w:ind w:left="360"/>
              <w:rPr>
                <w:rFonts w:cs="Arial"/>
                <w:sz w:val="20"/>
              </w:rPr>
            </w:pPr>
            <w:r w:rsidRPr="000C3BAA">
              <w:rPr>
                <w:rFonts w:cs="Arial"/>
                <w:sz w:val="20"/>
              </w:rPr>
              <w:t>Debriefing sessions following a field placement, clinical placement, or practicum</w:t>
            </w:r>
          </w:p>
          <w:p w:rsidR="00276F6B" w:rsidRPr="000C3BAA" w:rsidRDefault="00276F6B" w:rsidP="00276F6B">
            <w:pPr>
              <w:rPr>
                <w:sz w:val="20"/>
                <w:lang w:val="en-CA"/>
              </w:rPr>
            </w:pPr>
          </w:p>
        </w:tc>
        <w:tc>
          <w:tcPr>
            <w:tcW w:w="6534" w:type="dxa"/>
          </w:tcPr>
          <w:p w:rsidR="00276F6B" w:rsidRPr="00F46942" w:rsidRDefault="00676C3B" w:rsidP="00F46942">
            <w:pPr>
              <w:jc w:val="both"/>
              <w:rPr>
                <w:sz w:val="20"/>
                <w:lang w:val="en-CA"/>
              </w:rPr>
            </w:pPr>
            <w:r w:rsidRPr="00F46942">
              <w:rPr>
                <w:sz w:val="20"/>
                <w:lang w:val="en-CA"/>
              </w:rPr>
              <w:t xml:space="preserve">Student focus groups (all documented and housed on the GAS homepage within WebCT) provide both individual and course feedback from student and program focus groups.  Focus groups (captured either electronically, face-to-face or paper-based) have allowed for constructive feedback in courses and a starting point to make positive change to curriculum and delivery where and when appropriate.  </w:t>
            </w:r>
            <w:r w:rsidRPr="00F46942">
              <w:rPr>
                <w:sz w:val="20"/>
                <w:highlight w:val="cyan"/>
                <w:lang w:val="en-CA"/>
              </w:rPr>
              <w:t>See Appendix</w:t>
            </w:r>
            <w:r w:rsidRPr="00C2328F">
              <w:rPr>
                <w:sz w:val="20"/>
                <w:highlight w:val="cyan"/>
                <w:lang w:val="en-CA"/>
              </w:rPr>
              <w:t xml:space="preserve"> </w:t>
            </w:r>
            <w:r w:rsidR="00E01626" w:rsidRPr="00C2328F">
              <w:rPr>
                <w:sz w:val="20"/>
                <w:highlight w:val="cyan"/>
                <w:lang w:val="en-CA"/>
              </w:rPr>
              <w:t>J</w:t>
            </w:r>
            <w:r w:rsidRPr="00F46942">
              <w:rPr>
                <w:sz w:val="20"/>
                <w:lang w:val="en-CA"/>
              </w:rPr>
              <w:t xml:space="preserve"> for samples of the focus group questions and responses.</w:t>
            </w:r>
          </w:p>
          <w:p w:rsidR="00AC0738" w:rsidRPr="00B067D8" w:rsidRDefault="00AC0738" w:rsidP="000A041D">
            <w:pPr>
              <w:rPr>
                <w:b/>
                <w:sz w:val="20"/>
                <w:lang w:val="en-CA"/>
              </w:rPr>
            </w:pPr>
          </w:p>
          <w:p w:rsidR="00B067D8" w:rsidRPr="00F15B66" w:rsidRDefault="00B067D8" w:rsidP="00B067D8">
            <w:pPr>
              <w:rPr>
                <w:sz w:val="20"/>
              </w:rPr>
            </w:pPr>
            <w:r w:rsidRPr="00F15B66">
              <w:rPr>
                <w:sz w:val="20"/>
                <w:lang w:val="en-CA"/>
              </w:rPr>
              <w:t>Karen Maki</w:t>
            </w:r>
            <w:r w:rsidR="000A041D" w:rsidRPr="00F15B66">
              <w:rPr>
                <w:sz w:val="20"/>
                <w:lang w:val="en-CA"/>
              </w:rPr>
              <w:t>, Director, Post-Secondary Partnerships, Trent University</w:t>
            </w:r>
            <w:r w:rsidR="00F15B66" w:rsidRPr="00F15B66">
              <w:rPr>
                <w:sz w:val="20"/>
                <w:lang w:val="en-CA"/>
              </w:rPr>
              <w:t xml:space="preserve"> comments on</w:t>
            </w:r>
            <w:r w:rsidRPr="00F15B66">
              <w:rPr>
                <w:color w:val="9BBB59"/>
                <w:sz w:val="20"/>
                <w:lang w:val="en-CA"/>
              </w:rPr>
              <w:t xml:space="preserve"> </w:t>
            </w:r>
            <w:r w:rsidR="00F15B66" w:rsidRPr="00F15B66">
              <w:rPr>
                <w:sz w:val="20"/>
                <w:lang w:val="en-CA"/>
              </w:rPr>
              <w:t>o</w:t>
            </w:r>
            <w:r w:rsidRPr="00F15B66">
              <w:rPr>
                <w:sz w:val="20"/>
              </w:rPr>
              <w:t xml:space="preserve">ther </w:t>
            </w:r>
            <w:r w:rsidR="00F15B66" w:rsidRPr="00F15B66">
              <w:rPr>
                <w:sz w:val="20"/>
              </w:rPr>
              <w:t>m</w:t>
            </w:r>
            <w:r w:rsidRPr="00F15B66">
              <w:rPr>
                <w:sz w:val="20"/>
              </w:rPr>
              <w:t>easures of Student and Graduate Satisfaction</w:t>
            </w:r>
            <w:r w:rsidR="00F15B66" w:rsidRPr="00F15B66">
              <w:rPr>
                <w:sz w:val="20"/>
              </w:rPr>
              <w:t>:</w:t>
            </w:r>
          </w:p>
          <w:p w:rsidR="00B067D8" w:rsidRDefault="00B067D8" w:rsidP="00B067D8">
            <w:pPr>
              <w:numPr>
                <w:ilvl w:val="0"/>
                <w:numId w:val="30"/>
              </w:numPr>
              <w:rPr>
                <w:sz w:val="20"/>
              </w:rPr>
            </w:pPr>
            <w:r w:rsidRPr="00B067D8">
              <w:rPr>
                <w:sz w:val="20"/>
              </w:rPr>
              <w:t xml:space="preserve">Focus groups, co-led by Trent and Fleming, have been held at Trent University in the past, and have proven to be very informative.  </w:t>
            </w:r>
          </w:p>
          <w:p w:rsidR="00AC0738" w:rsidRPr="00B067D8" w:rsidRDefault="00AC0738" w:rsidP="00EF4869">
            <w:pPr>
              <w:ind w:left="720"/>
              <w:rPr>
                <w:sz w:val="20"/>
              </w:rPr>
            </w:pPr>
          </w:p>
          <w:p w:rsidR="00B067D8" w:rsidRPr="00B767D4" w:rsidRDefault="00B067D8" w:rsidP="00B767D4">
            <w:pPr>
              <w:jc w:val="both"/>
              <w:rPr>
                <w:sz w:val="20"/>
                <w:lang w:val="en-CA"/>
              </w:rPr>
            </w:pPr>
            <w:r w:rsidRPr="00B767D4">
              <w:rPr>
                <w:sz w:val="20"/>
                <w:lang w:val="en-CA"/>
              </w:rPr>
              <w:t xml:space="preserve">Trent hosts the Fleming group each year (usually </w:t>
            </w:r>
            <w:r w:rsidR="00F46942" w:rsidRPr="00B767D4">
              <w:rPr>
                <w:sz w:val="20"/>
                <w:lang w:val="en-CA"/>
              </w:rPr>
              <w:t xml:space="preserve">in </w:t>
            </w:r>
            <w:r w:rsidRPr="00B767D4">
              <w:rPr>
                <w:sz w:val="20"/>
                <w:lang w:val="en-CA"/>
              </w:rPr>
              <w:t>Feb</w:t>
            </w:r>
            <w:r w:rsidR="00F46942" w:rsidRPr="00B767D4">
              <w:rPr>
                <w:sz w:val="20"/>
                <w:lang w:val="en-CA"/>
              </w:rPr>
              <w:t>ruary or March</w:t>
            </w:r>
            <w:r w:rsidRPr="00B767D4">
              <w:rPr>
                <w:sz w:val="20"/>
                <w:lang w:val="en-CA"/>
              </w:rPr>
              <w:t>) for a campus tour and info</w:t>
            </w:r>
            <w:r w:rsidR="00B767D4" w:rsidRPr="00B767D4">
              <w:rPr>
                <w:sz w:val="20"/>
                <w:lang w:val="en-CA"/>
              </w:rPr>
              <w:t>rmation</w:t>
            </w:r>
            <w:r w:rsidRPr="00B767D4">
              <w:rPr>
                <w:sz w:val="20"/>
                <w:lang w:val="en-CA"/>
              </w:rPr>
              <w:t xml:space="preserve"> session, providing lunch and an opportunity to meet and mingle with Trent faculty and UT grads currently at Trent. Perhaps these yearly sessions could segue into </w:t>
            </w:r>
            <w:r w:rsidR="000A041D" w:rsidRPr="00B767D4">
              <w:rPr>
                <w:sz w:val="20"/>
                <w:lang w:val="en-CA"/>
              </w:rPr>
              <w:t>student focus groups with the UT grads in attendance. This would ensure regular feedback f</w:t>
            </w:r>
            <w:r w:rsidR="00B767D4" w:rsidRPr="00B767D4">
              <w:rPr>
                <w:sz w:val="20"/>
                <w:lang w:val="en-CA"/>
              </w:rPr>
              <w:t>rom a student focus group.</w:t>
            </w:r>
          </w:p>
          <w:p w:rsidR="00B067D8" w:rsidRPr="00B767D4" w:rsidRDefault="00B067D8" w:rsidP="00B767D4">
            <w:pPr>
              <w:jc w:val="both"/>
              <w:rPr>
                <w:sz w:val="20"/>
                <w:lang w:val="en-CA"/>
              </w:rPr>
            </w:pPr>
          </w:p>
          <w:p w:rsidR="00E01626" w:rsidRPr="00B767D4" w:rsidRDefault="00E01626" w:rsidP="00B767D4">
            <w:pPr>
              <w:jc w:val="both"/>
              <w:rPr>
                <w:sz w:val="20"/>
                <w:lang w:val="en-CA"/>
              </w:rPr>
            </w:pPr>
            <w:r>
              <w:rPr>
                <w:sz w:val="20"/>
                <w:lang w:val="en-CA"/>
              </w:rPr>
              <w:t xml:space="preserve">Student advisor information was also available for students in the UT program for Fall 2009, Winter 2010, Fall 2010 and Winter 2011 (See </w:t>
            </w:r>
            <w:r w:rsidRPr="00E01626">
              <w:rPr>
                <w:sz w:val="20"/>
                <w:highlight w:val="cyan"/>
                <w:lang w:val="en-CA"/>
              </w:rPr>
              <w:t>Appendix K).</w:t>
            </w:r>
            <w:r>
              <w:rPr>
                <w:sz w:val="20"/>
                <w:lang w:val="en-CA"/>
              </w:rPr>
              <w:t xml:space="preserve">  It was observed that </w:t>
            </w:r>
            <w:r w:rsidR="00C2328F">
              <w:rPr>
                <w:sz w:val="20"/>
                <w:lang w:val="en-CA"/>
              </w:rPr>
              <w:t xml:space="preserve">UT </w:t>
            </w:r>
            <w:r>
              <w:rPr>
                <w:sz w:val="20"/>
                <w:lang w:val="en-CA"/>
              </w:rPr>
              <w:t xml:space="preserve">students who had “coaches” (i.e., faculty who met face-to-face a minimum of twice a month) were </w:t>
            </w:r>
            <w:r>
              <w:rPr>
                <w:sz w:val="20"/>
                <w:lang w:val="en-CA"/>
              </w:rPr>
              <w:lastRenderedPageBreak/>
              <w:t>retained at a higher level (65%)</w:t>
            </w:r>
            <w:r w:rsidR="00C2328F">
              <w:rPr>
                <w:sz w:val="20"/>
                <w:lang w:val="en-CA"/>
              </w:rPr>
              <w:t xml:space="preserve"> </w:t>
            </w:r>
            <w:r>
              <w:rPr>
                <w:sz w:val="20"/>
                <w:lang w:val="en-CA"/>
              </w:rPr>
              <w:t>in comparison to students with advisors (52.1%)</w:t>
            </w:r>
            <w:r w:rsidR="00C2328F">
              <w:rPr>
                <w:sz w:val="20"/>
                <w:lang w:val="en-CA"/>
              </w:rPr>
              <w:t>.  Fall 2010 GPAs were also higher when students were assigned to coaches vs. Advisors.</w:t>
            </w:r>
          </w:p>
          <w:p w:rsidR="00300274" w:rsidRPr="00333F76" w:rsidRDefault="00300274" w:rsidP="00104938">
            <w:pPr>
              <w:rPr>
                <w:b/>
                <w:color w:val="C0504D"/>
                <w:sz w:val="24"/>
                <w:szCs w:val="24"/>
                <w:lang w:val="en-CA"/>
              </w:rPr>
            </w:pPr>
          </w:p>
        </w:tc>
      </w:tr>
    </w:tbl>
    <w:p w:rsidR="00276F6B" w:rsidRDefault="00276F6B" w:rsidP="00276F6B">
      <w:pPr>
        <w:rPr>
          <w:rFonts w:cs="Arial"/>
          <w:b/>
        </w:rPr>
      </w:pPr>
    </w:p>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gridCol w:w="7468"/>
      </w:tblGrid>
      <w:tr w:rsidR="00276F6B" w:rsidRPr="000C3BAA" w:rsidTr="000C3BAA">
        <w:tc>
          <w:tcPr>
            <w:tcW w:w="6534" w:type="dxa"/>
            <w:shd w:val="clear" w:color="auto" w:fill="C0C0C0"/>
            <w:tcMar>
              <w:top w:w="113" w:type="dxa"/>
              <w:bottom w:w="113" w:type="dxa"/>
            </w:tcMar>
          </w:tcPr>
          <w:p w:rsidR="00276F6B" w:rsidRPr="000C3BAA" w:rsidRDefault="00276F6B" w:rsidP="000C3BAA">
            <w:pPr>
              <w:tabs>
                <w:tab w:val="left" w:pos="72"/>
              </w:tabs>
              <w:rPr>
                <w:rFonts w:cs="Arial"/>
                <w:b/>
              </w:rPr>
            </w:pPr>
            <w:r w:rsidRPr="000C3BAA">
              <w:rPr>
                <w:rFonts w:cs="Arial"/>
                <w:b/>
              </w:rPr>
              <w:t>4.0 Employment Trends</w:t>
            </w:r>
          </w:p>
        </w:tc>
        <w:tc>
          <w:tcPr>
            <w:tcW w:w="6534" w:type="dxa"/>
            <w:shd w:val="clear" w:color="auto" w:fill="C0C0C0"/>
            <w:tcMar>
              <w:top w:w="113" w:type="dxa"/>
              <w:bottom w:w="113" w:type="dxa"/>
            </w:tcMar>
          </w:tcPr>
          <w:p w:rsidR="00276F6B" w:rsidRPr="000C3BAA" w:rsidRDefault="00276F6B" w:rsidP="00276F6B">
            <w:pPr>
              <w:rPr>
                <w:rFonts w:cs="Arial"/>
                <w:b/>
              </w:rPr>
            </w:pPr>
            <w:r w:rsidRPr="000C3BAA">
              <w:rPr>
                <w:rFonts w:cs="Arial"/>
                <w:b/>
              </w:rPr>
              <w:t>Summary of Key Findings</w:t>
            </w:r>
          </w:p>
        </w:tc>
      </w:tr>
      <w:tr w:rsidR="00276F6B" w:rsidRPr="000C3BAA" w:rsidTr="000C3BAA">
        <w:tc>
          <w:tcPr>
            <w:tcW w:w="6534"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4.1 Employment</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pStyle w:val="Title"/>
              <w:numPr>
                <w:ilvl w:val="0"/>
                <w:numId w:val="6"/>
              </w:numPr>
              <w:tabs>
                <w:tab w:val="clear" w:pos="720"/>
                <w:tab w:val="num" w:pos="360"/>
              </w:tabs>
              <w:ind w:left="360"/>
              <w:jc w:val="left"/>
              <w:rPr>
                <w:rFonts w:ascii="Arial" w:hAnsi="Arial" w:cs="Arial"/>
                <w:sz w:val="20"/>
              </w:rPr>
            </w:pPr>
            <w:r w:rsidRPr="000C3BAA">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276F6B" w:rsidRPr="000C3BAA" w:rsidRDefault="00276F6B" w:rsidP="000C3BAA">
            <w:pPr>
              <w:pStyle w:val="Title"/>
              <w:numPr>
                <w:ilvl w:val="0"/>
                <w:numId w:val="6"/>
              </w:numPr>
              <w:tabs>
                <w:tab w:val="clear" w:pos="720"/>
                <w:tab w:val="num" w:pos="360"/>
              </w:tabs>
              <w:ind w:left="360"/>
              <w:jc w:val="left"/>
              <w:rPr>
                <w:rFonts w:ascii="Arial" w:hAnsi="Arial" w:cs="Arial"/>
                <w:sz w:val="20"/>
              </w:rPr>
            </w:pPr>
            <w:r w:rsidRPr="000C3BAA">
              <w:rPr>
                <w:rFonts w:ascii="Arial" w:hAnsi="Arial" w:cs="Arial"/>
                <w:sz w:val="20"/>
              </w:rPr>
              <w:t>Student preparedness for entry-level positions</w:t>
            </w:r>
          </w:p>
          <w:p w:rsidR="00276F6B" w:rsidRPr="000C3BAA" w:rsidRDefault="00276F6B" w:rsidP="000C3BAA">
            <w:pPr>
              <w:numPr>
                <w:ilvl w:val="0"/>
                <w:numId w:val="6"/>
              </w:numPr>
              <w:tabs>
                <w:tab w:val="clear" w:pos="720"/>
              </w:tabs>
              <w:ind w:left="360"/>
              <w:rPr>
                <w:sz w:val="20"/>
                <w:lang w:val="en-CA"/>
              </w:rPr>
            </w:pPr>
            <w:r w:rsidRPr="000C3BAA">
              <w:rPr>
                <w:rFonts w:cs="Arial"/>
                <w:sz w:val="20"/>
              </w:rPr>
              <w:t>Emergent employment trends such as new types of positions, changing job market, regional distinctions, changing employer profile, or emerging skill shortages</w:t>
            </w:r>
          </w:p>
          <w:p w:rsidR="00276F6B" w:rsidRPr="000C3BAA" w:rsidRDefault="00276F6B" w:rsidP="00276F6B">
            <w:pPr>
              <w:rPr>
                <w:sz w:val="20"/>
                <w:lang w:val="en-CA"/>
              </w:rPr>
            </w:pPr>
          </w:p>
        </w:tc>
        <w:tc>
          <w:tcPr>
            <w:tcW w:w="6534" w:type="dxa"/>
            <w:tcMar>
              <w:top w:w="113" w:type="dxa"/>
              <w:bottom w:w="113" w:type="dxa"/>
            </w:tcMar>
          </w:tcPr>
          <w:p w:rsidR="0023015B" w:rsidRPr="00C2328F" w:rsidRDefault="0023015B" w:rsidP="00C2328F">
            <w:pPr>
              <w:jc w:val="both"/>
              <w:rPr>
                <w:sz w:val="20"/>
                <w:lang w:val="en-CA"/>
              </w:rPr>
            </w:pPr>
            <w:r w:rsidRPr="00C2328F">
              <w:rPr>
                <w:sz w:val="20"/>
                <w:lang w:val="en-CA"/>
              </w:rPr>
              <w:t>A review of the graduate placement data gathered by Fleming Data Research suggests that overall, students are unavailable for work</w:t>
            </w:r>
            <w:r w:rsidR="00C2328F">
              <w:rPr>
                <w:sz w:val="20"/>
                <w:lang w:val="en-CA"/>
              </w:rPr>
              <w:t xml:space="preserve"> </w:t>
            </w:r>
            <w:r w:rsidR="00C2328F" w:rsidRPr="00C2328F">
              <w:rPr>
                <w:sz w:val="20"/>
                <w:highlight w:val="cyan"/>
                <w:lang w:val="en-CA"/>
              </w:rPr>
              <w:t>(See Appendix L)</w:t>
            </w:r>
            <w:r w:rsidRPr="00C2328F">
              <w:rPr>
                <w:sz w:val="20"/>
                <w:highlight w:val="cyan"/>
                <w:lang w:val="en-CA"/>
              </w:rPr>
              <w:t>.</w:t>
            </w:r>
            <w:r w:rsidRPr="00C2328F">
              <w:rPr>
                <w:sz w:val="20"/>
                <w:lang w:val="en-CA"/>
              </w:rPr>
              <w:t xml:space="preserve">  These statistics of course make sense given that the purpose of the 1-year certificate program is to create a pathway to university.  Noneth</w:t>
            </w:r>
            <w:r w:rsidR="00C2328F">
              <w:rPr>
                <w:sz w:val="20"/>
                <w:lang w:val="en-CA"/>
              </w:rPr>
              <w:t>e</w:t>
            </w:r>
            <w:r w:rsidRPr="00C2328F">
              <w:rPr>
                <w:sz w:val="20"/>
                <w:lang w:val="en-CA"/>
              </w:rPr>
              <w:t>less, the data are provided below:</w:t>
            </w:r>
          </w:p>
          <w:p w:rsidR="0023015B" w:rsidRDefault="0023015B" w:rsidP="00C2328F">
            <w:pPr>
              <w:jc w:val="both"/>
              <w:rPr>
                <w:b/>
                <w:color w:val="FF0000"/>
                <w:sz w:val="20"/>
                <w:lang w:val="en-CA"/>
              </w:rPr>
            </w:pPr>
          </w:p>
          <w:p w:rsidR="0023015B" w:rsidRDefault="0023015B" w:rsidP="0023015B">
            <w:pPr>
              <w:rPr>
                <w:b/>
                <w:color w:val="FF0000"/>
                <w:sz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81"/>
              <w:gridCol w:w="821"/>
              <w:gridCol w:w="1106"/>
              <w:gridCol w:w="1159"/>
              <w:gridCol w:w="1159"/>
              <w:gridCol w:w="1159"/>
            </w:tblGrid>
            <w:tr w:rsidR="0023015B" w:rsidTr="0023015B">
              <w:tc>
                <w:tcPr>
                  <w:tcW w:w="857" w:type="dxa"/>
                </w:tcPr>
                <w:p w:rsidR="0023015B" w:rsidRPr="0023015B" w:rsidRDefault="0023015B" w:rsidP="00443209">
                  <w:pPr>
                    <w:rPr>
                      <w:b/>
                      <w:color w:val="FF0000"/>
                      <w:sz w:val="20"/>
                      <w:lang w:val="en-CA"/>
                    </w:rPr>
                  </w:pPr>
                </w:p>
              </w:tc>
              <w:tc>
                <w:tcPr>
                  <w:tcW w:w="981" w:type="dxa"/>
                </w:tcPr>
                <w:p w:rsidR="0023015B" w:rsidRPr="0023015B" w:rsidRDefault="0023015B" w:rsidP="00443209">
                  <w:pPr>
                    <w:rPr>
                      <w:b/>
                      <w:color w:val="FF0000"/>
                      <w:sz w:val="16"/>
                      <w:szCs w:val="16"/>
                      <w:lang w:val="en-CA"/>
                    </w:rPr>
                  </w:pPr>
                  <w:r w:rsidRPr="0023015B">
                    <w:rPr>
                      <w:b/>
                      <w:color w:val="FF0000"/>
                      <w:sz w:val="16"/>
                      <w:szCs w:val="16"/>
                      <w:lang w:val="en-CA"/>
                    </w:rPr>
                    <w:t># of graduates</w:t>
                  </w:r>
                </w:p>
              </w:tc>
              <w:tc>
                <w:tcPr>
                  <w:tcW w:w="821" w:type="dxa"/>
                </w:tcPr>
                <w:p w:rsidR="0023015B" w:rsidRPr="0023015B" w:rsidRDefault="0023015B" w:rsidP="00443209">
                  <w:pPr>
                    <w:rPr>
                      <w:b/>
                      <w:color w:val="FF0000"/>
                      <w:sz w:val="16"/>
                      <w:szCs w:val="16"/>
                      <w:lang w:val="en-CA"/>
                    </w:rPr>
                  </w:pPr>
                  <w:r w:rsidRPr="0023015B">
                    <w:rPr>
                      <w:b/>
                      <w:color w:val="FF0000"/>
                      <w:sz w:val="16"/>
                      <w:szCs w:val="16"/>
                      <w:lang w:val="en-CA"/>
                    </w:rPr>
                    <w:t># of surveys</w:t>
                  </w:r>
                </w:p>
              </w:tc>
              <w:tc>
                <w:tcPr>
                  <w:tcW w:w="1106" w:type="dxa"/>
                </w:tcPr>
                <w:p w:rsidR="0023015B" w:rsidRPr="0023015B" w:rsidRDefault="0023015B" w:rsidP="00443209">
                  <w:pPr>
                    <w:rPr>
                      <w:b/>
                      <w:color w:val="FF0000"/>
                      <w:sz w:val="16"/>
                      <w:szCs w:val="16"/>
                      <w:lang w:val="en-CA"/>
                    </w:rPr>
                  </w:pPr>
                  <w:r w:rsidRPr="0023015B">
                    <w:rPr>
                      <w:b/>
                      <w:color w:val="FF0000"/>
                      <w:sz w:val="16"/>
                      <w:szCs w:val="16"/>
                      <w:lang w:val="en-CA"/>
                    </w:rPr>
                    <w:t>Unavailable for work – continuing education</w:t>
                  </w:r>
                </w:p>
              </w:tc>
              <w:tc>
                <w:tcPr>
                  <w:tcW w:w="1159" w:type="dxa"/>
                </w:tcPr>
                <w:p w:rsidR="0023015B" w:rsidRPr="0023015B" w:rsidRDefault="0023015B" w:rsidP="00443209">
                  <w:pPr>
                    <w:rPr>
                      <w:b/>
                      <w:color w:val="FF0000"/>
                      <w:sz w:val="16"/>
                      <w:szCs w:val="16"/>
                      <w:lang w:val="en-CA"/>
                    </w:rPr>
                  </w:pPr>
                  <w:r w:rsidRPr="0023015B">
                    <w:rPr>
                      <w:b/>
                      <w:color w:val="FF0000"/>
                      <w:sz w:val="16"/>
                      <w:szCs w:val="16"/>
                      <w:lang w:val="en-CA"/>
                    </w:rPr>
                    <w:t>Unavailable for work – not seeking employment</w:t>
                  </w:r>
                </w:p>
              </w:tc>
              <w:tc>
                <w:tcPr>
                  <w:tcW w:w="1159" w:type="dxa"/>
                </w:tcPr>
                <w:p w:rsidR="0023015B" w:rsidRPr="0023015B" w:rsidRDefault="0023015B" w:rsidP="00443209">
                  <w:pPr>
                    <w:rPr>
                      <w:b/>
                      <w:color w:val="FF0000"/>
                      <w:sz w:val="16"/>
                      <w:szCs w:val="16"/>
                      <w:lang w:val="en-CA"/>
                    </w:rPr>
                  </w:pPr>
                  <w:r w:rsidRPr="0023015B">
                    <w:rPr>
                      <w:b/>
                      <w:color w:val="FF0000"/>
                      <w:sz w:val="16"/>
                      <w:szCs w:val="16"/>
                      <w:lang w:val="en-CA"/>
                    </w:rPr>
                    <w:t>Overall employment - # available for work</w:t>
                  </w:r>
                </w:p>
              </w:tc>
              <w:tc>
                <w:tcPr>
                  <w:tcW w:w="1159" w:type="dxa"/>
                </w:tcPr>
                <w:p w:rsidR="0023015B" w:rsidRPr="0023015B" w:rsidRDefault="0023015B" w:rsidP="00443209">
                  <w:pPr>
                    <w:rPr>
                      <w:b/>
                      <w:color w:val="FF0000"/>
                      <w:sz w:val="16"/>
                      <w:szCs w:val="16"/>
                      <w:lang w:val="en-CA"/>
                    </w:rPr>
                  </w:pPr>
                  <w:r w:rsidRPr="0023015B">
                    <w:rPr>
                      <w:b/>
                      <w:color w:val="FF0000"/>
                      <w:sz w:val="16"/>
                      <w:szCs w:val="16"/>
                      <w:lang w:val="en-CA"/>
                    </w:rPr>
                    <w:t>Overall employment # working</w:t>
                  </w:r>
                </w:p>
              </w:tc>
            </w:tr>
            <w:tr w:rsidR="0023015B" w:rsidTr="0023015B">
              <w:tc>
                <w:tcPr>
                  <w:tcW w:w="857" w:type="dxa"/>
                </w:tcPr>
                <w:p w:rsidR="0023015B" w:rsidRPr="0023015B" w:rsidRDefault="0023015B" w:rsidP="00443209">
                  <w:pPr>
                    <w:rPr>
                      <w:b/>
                      <w:color w:val="FF0000"/>
                      <w:sz w:val="16"/>
                      <w:szCs w:val="16"/>
                      <w:lang w:val="en-CA"/>
                    </w:rPr>
                  </w:pPr>
                  <w:r w:rsidRPr="0023015B">
                    <w:rPr>
                      <w:b/>
                      <w:color w:val="FF0000"/>
                      <w:sz w:val="16"/>
                      <w:szCs w:val="16"/>
                      <w:lang w:val="en-CA"/>
                    </w:rPr>
                    <w:t>Summer 06, Fall 06, Winter 07</w:t>
                  </w:r>
                </w:p>
              </w:tc>
              <w:tc>
                <w:tcPr>
                  <w:tcW w:w="981" w:type="dxa"/>
                </w:tcPr>
                <w:p w:rsidR="0023015B" w:rsidRPr="0023015B" w:rsidRDefault="0023015B" w:rsidP="0023015B">
                  <w:pPr>
                    <w:jc w:val="center"/>
                    <w:rPr>
                      <w:b/>
                      <w:color w:val="FF0000"/>
                      <w:sz w:val="20"/>
                      <w:lang w:val="en-CA"/>
                    </w:rPr>
                  </w:pPr>
                  <w:r w:rsidRPr="0023015B">
                    <w:rPr>
                      <w:b/>
                      <w:color w:val="FF0000"/>
                      <w:sz w:val="20"/>
                      <w:lang w:val="en-CA"/>
                    </w:rPr>
                    <w:t>33</w:t>
                  </w:r>
                </w:p>
              </w:tc>
              <w:tc>
                <w:tcPr>
                  <w:tcW w:w="821" w:type="dxa"/>
                </w:tcPr>
                <w:p w:rsidR="0023015B" w:rsidRPr="0023015B" w:rsidRDefault="0023015B" w:rsidP="0023015B">
                  <w:pPr>
                    <w:jc w:val="center"/>
                    <w:rPr>
                      <w:b/>
                      <w:color w:val="FF0000"/>
                      <w:sz w:val="20"/>
                      <w:lang w:val="en-CA"/>
                    </w:rPr>
                  </w:pPr>
                  <w:r w:rsidRPr="0023015B">
                    <w:rPr>
                      <w:b/>
                      <w:color w:val="FF0000"/>
                      <w:sz w:val="20"/>
                      <w:lang w:val="en-CA"/>
                    </w:rPr>
                    <w:t>19</w:t>
                  </w:r>
                </w:p>
              </w:tc>
              <w:tc>
                <w:tcPr>
                  <w:tcW w:w="1106" w:type="dxa"/>
                </w:tcPr>
                <w:p w:rsidR="0023015B" w:rsidRPr="0023015B" w:rsidRDefault="0023015B" w:rsidP="0023015B">
                  <w:pPr>
                    <w:jc w:val="center"/>
                    <w:rPr>
                      <w:b/>
                      <w:color w:val="FF0000"/>
                      <w:sz w:val="20"/>
                      <w:lang w:val="en-CA"/>
                    </w:rPr>
                  </w:pPr>
                  <w:r w:rsidRPr="0023015B">
                    <w:rPr>
                      <w:b/>
                      <w:color w:val="FF0000"/>
                      <w:sz w:val="20"/>
                      <w:lang w:val="en-CA"/>
                    </w:rPr>
                    <w:t>18</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0</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1</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1</w:t>
                  </w:r>
                </w:p>
              </w:tc>
            </w:tr>
            <w:tr w:rsidR="0023015B" w:rsidTr="0023015B">
              <w:tc>
                <w:tcPr>
                  <w:tcW w:w="857" w:type="dxa"/>
                </w:tcPr>
                <w:p w:rsidR="0023015B" w:rsidRPr="0023015B" w:rsidRDefault="0023015B" w:rsidP="00443209">
                  <w:pPr>
                    <w:rPr>
                      <w:b/>
                      <w:color w:val="FF0000"/>
                      <w:sz w:val="16"/>
                      <w:szCs w:val="16"/>
                      <w:lang w:val="en-CA"/>
                    </w:rPr>
                  </w:pPr>
                  <w:r w:rsidRPr="0023015B">
                    <w:rPr>
                      <w:b/>
                      <w:color w:val="FF0000"/>
                      <w:sz w:val="16"/>
                      <w:szCs w:val="16"/>
                      <w:lang w:val="en-CA"/>
                    </w:rPr>
                    <w:t>Summer 07, Fall 07, Winter 08</w:t>
                  </w:r>
                </w:p>
              </w:tc>
              <w:tc>
                <w:tcPr>
                  <w:tcW w:w="981" w:type="dxa"/>
                </w:tcPr>
                <w:p w:rsidR="0023015B" w:rsidRPr="0023015B" w:rsidRDefault="0023015B" w:rsidP="0023015B">
                  <w:pPr>
                    <w:jc w:val="center"/>
                    <w:rPr>
                      <w:b/>
                      <w:color w:val="FF0000"/>
                      <w:sz w:val="20"/>
                      <w:lang w:val="en-CA"/>
                    </w:rPr>
                  </w:pPr>
                  <w:r w:rsidRPr="0023015B">
                    <w:rPr>
                      <w:b/>
                      <w:color w:val="FF0000"/>
                      <w:sz w:val="20"/>
                      <w:lang w:val="en-CA"/>
                    </w:rPr>
                    <w:t>43</w:t>
                  </w:r>
                </w:p>
              </w:tc>
              <w:tc>
                <w:tcPr>
                  <w:tcW w:w="821" w:type="dxa"/>
                </w:tcPr>
                <w:p w:rsidR="0023015B" w:rsidRPr="0023015B" w:rsidRDefault="0023015B" w:rsidP="0023015B">
                  <w:pPr>
                    <w:jc w:val="center"/>
                    <w:rPr>
                      <w:b/>
                      <w:color w:val="FF0000"/>
                      <w:sz w:val="20"/>
                      <w:lang w:val="en-CA"/>
                    </w:rPr>
                  </w:pPr>
                  <w:r w:rsidRPr="0023015B">
                    <w:rPr>
                      <w:b/>
                      <w:color w:val="FF0000"/>
                      <w:sz w:val="20"/>
                      <w:lang w:val="en-CA"/>
                    </w:rPr>
                    <w:t>28</w:t>
                  </w:r>
                </w:p>
              </w:tc>
              <w:tc>
                <w:tcPr>
                  <w:tcW w:w="1106" w:type="dxa"/>
                </w:tcPr>
                <w:p w:rsidR="0023015B" w:rsidRPr="0023015B" w:rsidRDefault="0023015B" w:rsidP="0023015B">
                  <w:pPr>
                    <w:jc w:val="center"/>
                    <w:rPr>
                      <w:b/>
                      <w:color w:val="FF0000"/>
                      <w:sz w:val="20"/>
                      <w:lang w:val="en-CA"/>
                    </w:rPr>
                  </w:pPr>
                  <w:r w:rsidRPr="0023015B">
                    <w:rPr>
                      <w:b/>
                      <w:color w:val="FF0000"/>
                      <w:sz w:val="20"/>
                      <w:lang w:val="en-CA"/>
                    </w:rPr>
                    <w:t>21</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1</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5</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4</w:t>
                  </w:r>
                </w:p>
              </w:tc>
            </w:tr>
            <w:tr w:rsidR="0023015B" w:rsidTr="0023015B">
              <w:tc>
                <w:tcPr>
                  <w:tcW w:w="857" w:type="dxa"/>
                </w:tcPr>
                <w:p w:rsidR="0023015B" w:rsidRPr="0023015B" w:rsidRDefault="0023015B" w:rsidP="00443209">
                  <w:pPr>
                    <w:rPr>
                      <w:b/>
                      <w:color w:val="FF0000"/>
                      <w:sz w:val="16"/>
                      <w:szCs w:val="16"/>
                      <w:lang w:val="en-CA"/>
                    </w:rPr>
                  </w:pPr>
                  <w:r w:rsidRPr="0023015B">
                    <w:rPr>
                      <w:b/>
                      <w:color w:val="FF0000"/>
                      <w:sz w:val="16"/>
                      <w:szCs w:val="16"/>
                      <w:lang w:val="en-CA"/>
                    </w:rPr>
                    <w:t>Summer 08, Fall 08, Winter 09</w:t>
                  </w:r>
                </w:p>
              </w:tc>
              <w:tc>
                <w:tcPr>
                  <w:tcW w:w="981" w:type="dxa"/>
                </w:tcPr>
                <w:p w:rsidR="0023015B" w:rsidRPr="0023015B" w:rsidRDefault="0023015B" w:rsidP="0023015B">
                  <w:pPr>
                    <w:jc w:val="center"/>
                    <w:rPr>
                      <w:b/>
                      <w:color w:val="FF0000"/>
                      <w:sz w:val="20"/>
                      <w:lang w:val="en-CA"/>
                    </w:rPr>
                  </w:pPr>
                  <w:r w:rsidRPr="0023015B">
                    <w:rPr>
                      <w:b/>
                      <w:color w:val="FF0000"/>
                      <w:sz w:val="20"/>
                      <w:lang w:val="en-CA"/>
                    </w:rPr>
                    <w:t>40</w:t>
                  </w:r>
                </w:p>
              </w:tc>
              <w:tc>
                <w:tcPr>
                  <w:tcW w:w="821" w:type="dxa"/>
                </w:tcPr>
                <w:p w:rsidR="0023015B" w:rsidRPr="0023015B" w:rsidRDefault="0023015B" w:rsidP="0023015B">
                  <w:pPr>
                    <w:jc w:val="center"/>
                    <w:rPr>
                      <w:b/>
                      <w:color w:val="FF0000"/>
                      <w:sz w:val="20"/>
                      <w:lang w:val="en-CA"/>
                    </w:rPr>
                  </w:pPr>
                  <w:r w:rsidRPr="0023015B">
                    <w:rPr>
                      <w:b/>
                      <w:color w:val="FF0000"/>
                      <w:sz w:val="20"/>
                      <w:lang w:val="en-CA"/>
                    </w:rPr>
                    <w:t>27</w:t>
                  </w:r>
                </w:p>
              </w:tc>
              <w:tc>
                <w:tcPr>
                  <w:tcW w:w="1106" w:type="dxa"/>
                </w:tcPr>
                <w:p w:rsidR="0023015B" w:rsidRPr="0023015B" w:rsidRDefault="0023015B" w:rsidP="0023015B">
                  <w:pPr>
                    <w:jc w:val="center"/>
                    <w:rPr>
                      <w:b/>
                      <w:color w:val="FF0000"/>
                      <w:sz w:val="20"/>
                      <w:lang w:val="en-CA"/>
                    </w:rPr>
                  </w:pPr>
                  <w:r w:rsidRPr="0023015B">
                    <w:rPr>
                      <w:b/>
                      <w:color w:val="FF0000"/>
                      <w:sz w:val="20"/>
                      <w:lang w:val="en-CA"/>
                    </w:rPr>
                    <w:t>26</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0</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2</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2</w:t>
                  </w:r>
                </w:p>
              </w:tc>
            </w:tr>
            <w:tr w:rsidR="0023015B" w:rsidTr="0023015B">
              <w:tc>
                <w:tcPr>
                  <w:tcW w:w="857" w:type="dxa"/>
                </w:tcPr>
                <w:p w:rsidR="0023015B" w:rsidRPr="0023015B" w:rsidRDefault="0023015B" w:rsidP="00443209">
                  <w:pPr>
                    <w:rPr>
                      <w:b/>
                      <w:color w:val="FF0000"/>
                      <w:sz w:val="16"/>
                      <w:szCs w:val="16"/>
                      <w:lang w:val="en-CA"/>
                    </w:rPr>
                  </w:pPr>
                  <w:r w:rsidRPr="0023015B">
                    <w:rPr>
                      <w:b/>
                      <w:color w:val="FF0000"/>
                      <w:sz w:val="16"/>
                      <w:szCs w:val="16"/>
                      <w:lang w:val="en-CA"/>
                    </w:rPr>
                    <w:t>Summer 09, Fall 09, Winter 10</w:t>
                  </w:r>
                </w:p>
              </w:tc>
              <w:tc>
                <w:tcPr>
                  <w:tcW w:w="981" w:type="dxa"/>
                </w:tcPr>
                <w:p w:rsidR="0023015B" w:rsidRPr="0023015B" w:rsidRDefault="0023015B" w:rsidP="0023015B">
                  <w:pPr>
                    <w:jc w:val="center"/>
                    <w:rPr>
                      <w:b/>
                      <w:color w:val="FF0000"/>
                      <w:sz w:val="20"/>
                      <w:lang w:val="en-CA"/>
                    </w:rPr>
                  </w:pPr>
                  <w:r w:rsidRPr="0023015B">
                    <w:rPr>
                      <w:b/>
                      <w:color w:val="FF0000"/>
                      <w:sz w:val="20"/>
                      <w:lang w:val="en-CA"/>
                    </w:rPr>
                    <w:t>47</w:t>
                  </w:r>
                </w:p>
              </w:tc>
              <w:tc>
                <w:tcPr>
                  <w:tcW w:w="821" w:type="dxa"/>
                </w:tcPr>
                <w:p w:rsidR="0023015B" w:rsidRPr="0023015B" w:rsidRDefault="0023015B" w:rsidP="0023015B">
                  <w:pPr>
                    <w:jc w:val="center"/>
                    <w:rPr>
                      <w:b/>
                      <w:color w:val="FF0000"/>
                      <w:sz w:val="20"/>
                      <w:lang w:val="en-CA"/>
                    </w:rPr>
                  </w:pPr>
                  <w:r w:rsidRPr="0023015B">
                    <w:rPr>
                      <w:b/>
                      <w:color w:val="FF0000"/>
                      <w:sz w:val="20"/>
                      <w:lang w:val="en-CA"/>
                    </w:rPr>
                    <w:t>24</w:t>
                  </w:r>
                </w:p>
              </w:tc>
              <w:tc>
                <w:tcPr>
                  <w:tcW w:w="1106" w:type="dxa"/>
                </w:tcPr>
                <w:p w:rsidR="0023015B" w:rsidRPr="0023015B" w:rsidRDefault="0023015B" w:rsidP="0023015B">
                  <w:pPr>
                    <w:jc w:val="center"/>
                    <w:rPr>
                      <w:b/>
                      <w:color w:val="FF0000"/>
                      <w:sz w:val="20"/>
                      <w:lang w:val="en-CA"/>
                    </w:rPr>
                  </w:pPr>
                  <w:r w:rsidRPr="0023015B">
                    <w:rPr>
                      <w:b/>
                      <w:color w:val="FF0000"/>
                      <w:sz w:val="20"/>
                      <w:lang w:val="en-CA"/>
                    </w:rPr>
                    <w:t>22</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1</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1</w:t>
                  </w:r>
                </w:p>
              </w:tc>
              <w:tc>
                <w:tcPr>
                  <w:tcW w:w="1159" w:type="dxa"/>
                </w:tcPr>
                <w:p w:rsidR="0023015B" w:rsidRPr="0023015B" w:rsidRDefault="0023015B" w:rsidP="0023015B">
                  <w:pPr>
                    <w:jc w:val="center"/>
                    <w:rPr>
                      <w:b/>
                      <w:color w:val="FF0000"/>
                      <w:sz w:val="20"/>
                      <w:lang w:val="en-CA"/>
                    </w:rPr>
                  </w:pPr>
                  <w:r w:rsidRPr="0023015B">
                    <w:rPr>
                      <w:b/>
                      <w:color w:val="FF0000"/>
                      <w:sz w:val="20"/>
                      <w:lang w:val="en-CA"/>
                    </w:rPr>
                    <w:t>1</w:t>
                  </w:r>
                </w:p>
              </w:tc>
            </w:tr>
          </w:tbl>
          <w:p w:rsidR="0030400B" w:rsidRPr="0030400B" w:rsidRDefault="0030400B" w:rsidP="00714834">
            <w:pPr>
              <w:rPr>
                <w:b/>
                <w:color w:val="00B050"/>
                <w:sz w:val="20"/>
                <w:lang w:val="en-CA"/>
              </w:rPr>
            </w:pPr>
          </w:p>
        </w:tc>
      </w:tr>
      <w:tr w:rsidR="00276F6B" w:rsidRPr="000C3BAA" w:rsidTr="000C3BAA">
        <w:tc>
          <w:tcPr>
            <w:tcW w:w="6534"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4.2 Other Graduate Destinations</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pStyle w:val="Title"/>
              <w:numPr>
                <w:ilvl w:val="0"/>
                <w:numId w:val="20"/>
              </w:numPr>
              <w:tabs>
                <w:tab w:val="clear" w:pos="720"/>
                <w:tab w:val="num" w:pos="360"/>
              </w:tabs>
              <w:ind w:left="360"/>
              <w:jc w:val="left"/>
              <w:rPr>
                <w:rFonts w:ascii="Arial" w:hAnsi="Arial" w:cs="Arial"/>
                <w:sz w:val="20"/>
              </w:rPr>
            </w:pPr>
            <w:r w:rsidRPr="000C3BAA">
              <w:rPr>
                <w:rFonts w:ascii="Arial" w:hAnsi="Arial" w:cs="Arial"/>
                <w:sz w:val="20"/>
              </w:rPr>
              <w:t>Alternative graduate destinations such as further education, international opportunities, volunteer service, or other experiences</w:t>
            </w:r>
          </w:p>
        </w:tc>
        <w:tc>
          <w:tcPr>
            <w:tcW w:w="6534" w:type="dxa"/>
            <w:tcMar>
              <w:top w:w="113" w:type="dxa"/>
              <w:bottom w:w="113" w:type="dxa"/>
            </w:tcMar>
          </w:tcPr>
          <w:p w:rsidR="00714834" w:rsidRDefault="004563C6" w:rsidP="00C2328F">
            <w:pPr>
              <w:jc w:val="both"/>
              <w:rPr>
                <w:rFonts w:cs="Arial"/>
                <w:sz w:val="20"/>
              </w:rPr>
            </w:pPr>
            <w:r w:rsidRPr="004563C6">
              <w:rPr>
                <w:rFonts w:cs="Arial"/>
                <w:sz w:val="20"/>
              </w:rPr>
              <w:lastRenderedPageBreak/>
              <w:t xml:space="preserve">With regard to pathway opportunities for GSU students within Fleming, from Fall 2007 to Fall 2009, 15% of students (35 / 236) moved from the University Transfer program into another Fleming Diploma Program.  The program choices varied </w:t>
            </w:r>
            <w:r w:rsidRPr="004563C6">
              <w:rPr>
                <w:rFonts w:cs="Arial"/>
                <w:sz w:val="20"/>
              </w:rPr>
              <w:lastRenderedPageBreak/>
              <w:t>from health service areas (PSW, SSW, DA, PN) to Business and Law &amp; Justice programs</w:t>
            </w:r>
            <w:r>
              <w:rPr>
                <w:rFonts w:cs="Arial"/>
                <w:sz w:val="20"/>
              </w:rPr>
              <w:t xml:space="preserve"> </w:t>
            </w:r>
            <w:r w:rsidRPr="00C2328F">
              <w:rPr>
                <w:rFonts w:cs="Arial"/>
                <w:sz w:val="20"/>
                <w:highlight w:val="cyan"/>
              </w:rPr>
              <w:t xml:space="preserve">(see Appendix </w:t>
            </w:r>
            <w:r w:rsidR="00C2328F" w:rsidRPr="00C2328F">
              <w:rPr>
                <w:rFonts w:cs="Arial"/>
                <w:sz w:val="20"/>
                <w:highlight w:val="cyan"/>
              </w:rPr>
              <w:t>M</w:t>
            </w:r>
            <w:r w:rsidRPr="00C2328F">
              <w:rPr>
                <w:rFonts w:cs="Arial"/>
                <w:sz w:val="20"/>
                <w:highlight w:val="cyan"/>
              </w:rPr>
              <w:t>).</w:t>
            </w:r>
          </w:p>
          <w:p w:rsidR="004563C6" w:rsidRPr="00F91EEE" w:rsidRDefault="004563C6" w:rsidP="00C2328F">
            <w:pPr>
              <w:jc w:val="both"/>
              <w:rPr>
                <w:b/>
                <w:sz w:val="24"/>
                <w:szCs w:val="24"/>
                <w:lang w:val="en-CA"/>
              </w:rPr>
            </w:pPr>
          </w:p>
          <w:p w:rsidR="00714834" w:rsidRPr="00C2328F" w:rsidRDefault="0030400B" w:rsidP="00C2328F">
            <w:pPr>
              <w:jc w:val="both"/>
              <w:rPr>
                <w:sz w:val="20"/>
                <w:lang w:val="en-CA"/>
              </w:rPr>
            </w:pPr>
            <w:r w:rsidRPr="00C2328F">
              <w:rPr>
                <w:sz w:val="20"/>
                <w:lang w:val="en-CA"/>
              </w:rPr>
              <w:t>Our own students often return to Fleming’s college programs as a pathway choice, sometimes even with the intention of returning to a university pathway. For example, one student completed the UT program but did not achieve articulation. She returned to Fleming’s Social Service Worker program and was very successful, qualifying for some course exemptions on the merits of her UT experience, fast-tracking through her SSW program, and then moving into U of Windsor’s BSW program with her UT and SSW credentials.</w:t>
            </w:r>
          </w:p>
        </w:tc>
      </w:tr>
    </w:tbl>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4"/>
        <w:gridCol w:w="6534"/>
      </w:tblGrid>
      <w:tr w:rsidR="00276F6B" w:rsidRPr="000C3BAA" w:rsidTr="000C3BAA">
        <w:tc>
          <w:tcPr>
            <w:tcW w:w="6534" w:type="dxa"/>
            <w:shd w:val="clear" w:color="auto" w:fill="C0C0C0"/>
            <w:tcMar>
              <w:top w:w="113" w:type="dxa"/>
              <w:bottom w:w="113" w:type="dxa"/>
            </w:tcMar>
          </w:tcPr>
          <w:p w:rsidR="00276F6B" w:rsidRPr="000C3BAA" w:rsidRDefault="00276F6B" w:rsidP="000C3BAA">
            <w:pPr>
              <w:tabs>
                <w:tab w:val="left" w:pos="72"/>
              </w:tabs>
              <w:rPr>
                <w:rFonts w:cs="Arial"/>
                <w:b/>
              </w:rPr>
            </w:pPr>
            <w:r>
              <w:rPr>
                <w:rFonts w:cs="Arial"/>
                <w:b/>
              </w:rPr>
              <w:br w:type="page"/>
            </w:r>
            <w:r w:rsidRPr="000C3BAA">
              <w:rPr>
                <w:rFonts w:cs="Arial"/>
                <w:b/>
              </w:rPr>
              <w:t>5.0 Strategic Positioning</w:t>
            </w:r>
          </w:p>
        </w:tc>
        <w:tc>
          <w:tcPr>
            <w:tcW w:w="6534" w:type="dxa"/>
            <w:shd w:val="clear" w:color="auto" w:fill="C0C0C0"/>
            <w:tcMar>
              <w:top w:w="113" w:type="dxa"/>
              <w:bottom w:w="113" w:type="dxa"/>
            </w:tcMar>
          </w:tcPr>
          <w:p w:rsidR="00276F6B" w:rsidRPr="000C3BAA" w:rsidRDefault="00276F6B" w:rsidP="00276F6B">
            <w:pPr>
              <w:rPr>
                <w:rFonts w:cs="Arial"/>
                <w:b/>
              </w:rPr>
            </w:pPr>
            <w:r w:rsidRPr="000C3BAA">
              <w:rPr>
                <w:rFonts w:cs="Arial"/>
                <w:b/>
              </w:rPr>
              <w:t>Summary of Key Findings</w:t>
            </w:r>
          </w:p>
        </w:tc>
      </w:tr>
      <w:tr w:rsidR="00276F6B" w:rsidRPr="000C3BAA" w:rsidTr="000C3BAA">
        <w:tc>
          <w:tcPr>
            <w:tcW w:w="6534"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5.1</w:t>
            </w:r>
            <w:r w:rsidRPr="000C3BAA">
              <w:rPr>
                <w:rFonts w:ascii="Arial" w:hAnsi="Arial" w:cs="Arial"/>
                <w:sz w:val="20"/>
              </w:rPr>
              <w:t xml:space="preserve"> </w:t>
            </w:r>
            <w:r w:rsidRPr="000C3BAA">
              <w:rPr>
                <w:rFonts w:ascii="Arial" w:hAnsi="Arial" w:cs="Arial"/>
                <w:b/>
                <w:sz w:val="20"/>
              </w:rPr>
              <w:t>College Alignment</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pStyle w:val="Title"/>
              <w:numPr>
                <w:ilvl w:val="0"/>
                <w:numId w:val="9"/>
              </w:numPr>
              <w:tabs>
                <w:tab w:val="clear" w:pos="720"/>
                <w:tab w:val="num" w:pos="360"/>
              </w:tabs>
              <w:ind w:left="360"/>
              <w:jc w:val="left"/>
              <w:rPr>
                <w:rFonts w:ascii="Arial" w:hAnsi="Arial" w:cs="Arial"/>
                <w:sz w:val="20"/>
              </w:rPr>
            </w:pPr>
            <w:r w:rsidRPr="000C3BAA">
              <w:rPr>
                <w:rFonts w:ascii="Arial" w:hAnsi="Arial" w:cs="Arial"/>
                <w:sz w:val="20"/>
              </w:rPr>
              <w:t xml:space="preserve">Program alignment with college priorities such as vision, mission, values, </w:t>
            </w:r>
            <w:r w:rsidRPr="000C3BAA">
              <w:rPr>
                <w:rFonts w:ascii="Arial" w:hAnsi="Arial" w:cs="Arial"/>
                <w:bCs/>
                <w:sz w:val="20"/>
              </w:rPr>
              <w:t xml:space="preserve">strategic plan, academic framework, and the educational mandate, and / or academic priorities of the School </w:t>
            </w:r>
          </w:p>
          <w:p w:rsidR="00276F6B" w:rsidRPr="000C3BAA" w:rsidRDefault="00276F6B" w:rsidP="000C3BAA">
            <w:pPr>
              <w:pStyle w:val="Title"/>
              <w:numPr>
                <w:ilvl w:val="0"/>
                <w:numId w:val="9"/>
              </w:numPr>
              <w:tabs>
                <w:tab w:val="clear" w:pos="720"/>
                <w:tab w:val="num" w:pos="360"/>
              </w:tabs>
              <w:ind w:left="360"/>
              <w:jc w:val="left"/>
              <w:rPr>
                <w:rFonts w:cs="Arial"/>
                <w:sz w:val="20"/>
                <w:lang w:val="en-CA"/>
              </w:rPr>
            </w:pPr>
            <w:r w:rsidRPr="000C3BAA">
              <w:rPr>
                <w:rFonts w:ascii="Arial" w:hAnsi="Arial" w:cs="Arial"/>
                <w:sz w:val="20"/>
              </w:rPr>
              <w:t>Opportunities for new program initiatives based on Program, School, or community strengths and alliances</w:t>
            </w:r>
          </w:p>
        </w:tc>
        <w:tc>
          <w:tcPr>
            <w:tcW w:w="6534" w:type="dxa"/>
            <w:tcMar>
              <w:top w:w="113" w:type="dxa"/>
              <w:bottom w:w="113" w:type="dxa"/>
            </w:tcMar>
          </w:tcPr>
          <w:p w:rsidR="00276F6B" w:rsidRPr="000D6491" w:rsidRDefault="000D6491" w:rsidP="000D6491">
            <w:pPr>
              <w:jc w:val="both"/>
              <w:rPr>
                <w:rFonts w:cs="Arial"/>
                <w:sz w:val="20"/>
                <w:lang w:val="en-CA"/>
              </w:rPr>
            </w:pPr>
            <w:r>
              <w:rPr>
                <w:rFonts w:cs="Arial"/>
                <w:sz w:val="20"/>
                <w:lang w:val="en-CA"/>
              </w:rPr>
              <w:t>Learn Belong B</w:t>
            </w:r>
            <w:r w:rsidR="00CE01B7" w:rsidRPr="000D6491">
              <w:rPr>
                <w:rFonts w:cs="Arial"/>
                <w:sz w:val="20"/>
                <w:lang w:val="en-CA"/>
              </w:rPr>
              <w:t xml:space="preserve">ecome </w:t>
            </w:r>
            <w:r>
              <w:rPr>
                <w:rFonts w:cs="Arial"/>
                <w:sz w:val="20"/>
                <w:lang w:val="en-CA"/>
              </w:rPr>
              <w:t>Core Promise</w:t>
            </w:r>
            <w:r w:rsidR="00CE01B7" w:rsidRPr="000D6491">
              <w:rPr>
                <w:rFonts w:cs="Arial"/>
                <w:sz w:val="20"/>
                <w:lang w:val="en-CA"/>
              </w:rPr>
              <w:t xml:space="preserve"> – </w:t>
            </w:r>
          </w:p>
          <w:p w:rsidR="000D6491" w:rsidRDefault="000D6491" w:rsidP="000D6491">
            <w:pPr>
              <w:jc w:val="both"/>
              <w:rPr>
                <w:rFonts w:cs="Arial"/>
                <w:sz w:val="20"/>
                <w:lang w:val="en-CA"/>
              </w:rPr>
            </w:pPr>
            <w:r>
              <w:rPr>
                <w:rFonts w:cs="Arial"/>
                <w:sz w:val="20"/>
                <w:lang w:val="en-CA"/>
              </w:rPr>
              <w:t>This program clearly supports the strategic plan for the college, the academic business plan and the GAS business plan.  Specifically, it provides a pathway opportunity for learners to smoothly and seamlessly transition to a second</w:t>
            </w:r>
            <w:r w:rsidR="00D0422F">
              <w:rPr>
                <w:rFonts w:cs="Arial"/>
                <w:sz w:val="20"/>
                <w:lang w:val="en-CA"/>
              </w:rPr>
              <w:t>-</w:t>
            </w:r>
            <w:r>
              <w:rPr>
                <w:rFonts w:cs="Arial"/>
                <w:sz w:val="20"/>
                <w:lang w:val="en-CA"/>
              </w:rPr>
              <w:t>year university setting.  The UT program develops and nurtures essential learning and critical thinking skills that truly prepare learner</w:t>
            </w:r>
            <w:r w:rsidR="0020041E">
              <w:rPr>
                <w:rFonts w:cs="Arial"/>
                <w:sz w:val="20"/>
                <w:lang w:val="en-CA"/>
              </w:rPr>
              <w:t>s</w:t>
            </w:r>
            <w:r>
              <w:rPr>
                <w:rFonts w:cs="Arial"/>
                <w:sz w:val="20"/>
                <w:lang w:val="en-CA"/>
              </w:rPr>
              <w:t xml:space="preserve"> for their future post-secondary studies.  The program design, curriculum, assessments, academic rigour and faculty-student interactions set high expectations in order to ensure student and graduate success at university.</w:t>
            </w:r>
          </w:p>
          <w:p w:rsidR="0099772F" w:rsidRDefault="0099772F" w:rsidP="000D6491">
            <w:pPr>
              <w:jc w:val="both"/>
              <w:rPr>
                <w:rFonts w:cs="Arial"/>
                <w:sz w:val="20"/>
                <w:lang w:val="en-CA"/>
              </w:rPr>
            </w:pPr>
          </w:p>
          <w:p w:rsidR="0099772F" w:rsidRDefault="0099772F" w:rsidP="0099772F">
            <w:pPr>
              <w:jc w:val="both"/>
              <w:rPr>
                <w:rFonts w:cs="Arial"/>
                <w:sz w:val="20"/>
                <w:lang w:val="en-CA"/>
              </w:rPr>
            </w:pPr>
            <w:r>
              <w:rPr>
                <w:rFonts w:cs="Arial"/>
                <w:sz w:val="20"/>
                <w:lang w:val="en-CA"/>
              </w:rPr>
              <w:t>GAS has also approached staffing from the perspective of building a cohesive and consistent core program teaching team that consists primarily of full-time faculty.</w:t>
            </w:r>
          </w:p>
          <w:p w:rsidR="000D6491" w:rsidRDefault="000D6491" w:rsidP="0099772F">
            <w:pPr>
              <w:jc w:val="both"/>
              <w:rPr>
                <w:rFonts w:cs="Arial"/>
                <w:sz w:val="20"/>
                <w:lang w:val="en-CA"/>
              </w:rPr>
            </w:pPr>
          </w:p>
          <w:p w:rsidR="00D166C5" w:rsidRPr="000D6491" w:rsidRDefault="000D6491" w:rsidP="0099772F">
            <w:pPr>
              <w:jc w:val="both"/>
              <w:rPr>
                <w:rFonts w:cs="Arial"/>
                <w:sz w:val="20"/>
                <w:lang w:val="en-CA"/>
              </w:rPr>
            </w:pPr>
            <w:r>
              <w:rPr>
                <w:rFonts w:cs="Arial"/>
                <w:sz w:val="20"/>
                <w:lang w:val="en-CA"/>
              </w:rPr>
              <w:t>University Transfer programs are an area of growth</w:t>
            </w:r>
            <w:r w:rsidR="00333275">
              <w:rPr>
                <w:rFonts w:cs="Arial"/>
                <w:sz w:val="20"/>
                <w:lang w:val="en-CA"/>
              </w:rPr>
              <w:t>,</w:t>
            </w:r>
            <w:r>
              <w:rPr>
                <w:rFonts w:cs="Arial"/>
                <w:sz w:val="20"/>
                <w:lang w:val="en-CA"/>
              </w:rPr>
              <w:t xml:space="preserve"> particularly with the </w:t>
            </w:r>
            <w:r w:rsidR="00CE01B7" w:rsidRPr="000D6491">
              <w:rPr>
                <w:rFonts w:cs="Arial"/>
                <w:sz w:val="20"/>
                <w:lang w:val="en-CA"/>
              </w:rPr>
              <w:t xml:space="preserve">increasing number of grade 12 students </w:t>
            </w:r>
            <w:r>
              <w:rPr>
                <w:rFonts w:cs="Arial"/>
                <w:sz w:val="20"/>
                <w:lang w:val="en-CA"/>
              </w:rPr>
              <w:t xml:space="preserve">who are </w:t>
            </w:r>
            <w:r w:rsidR="00CE01B7" w:rsidRPr="000D6491">
              <w:rPr>
                <w:rFonts w:cs="Arial"/>
                <w:sz w:val="20"/>
                <w:lang w:val="en-CA"/>
              </w:rPr>
              <w:t xml:space="preserve">not yet ready </w:t>
            </w:r>
            <w:r>
              <w:rPr>
                <w:rFonts w:cs="Arial"/>
                <w:sz w:val="20"/>
                <w:lang w:val="en-CA"/>
              </w:rPr>
              <w:t xml:space="preserve">to attend university directly out of high school </w:t>
            </w:r>
            <w:r w:rsidR="00CE01B7" w:rsidRPr="000D6491">
              <w:rPr>
                <w:rFonts w:cs="Arial"/>
                <w:sz w:val="20"/>
                <w:lang w:val="en-CA"/>
              </w:rPr>
              <w:t xml:space="preserve">or </w:t>
            </w:r>
            <w:r>
              <w:rPr>
                <w:rFonts w:cs="Arial"/>
                <w:sz w:val="20"/>
                <w:lang w:val="en-CA"/>
              </w:rPr>
              <w:t xml:space="preserve"> who are not </w:t>
            </w:r>
            <w:r w:rsidR="00CE01B7" w:rsidRPr="000D6491">
              <w:rPr>
                <w:rFonts w:cs="Arial"/>
                <w:sz w:val="20"/>
                <w:lang w:val="en-CA"/>
              </w:rPr>
              <w:t>confident about where they are going</w:t>
            </w:r>
            <w:r>
              <w:rPr>
                <w:rFonts w:cs="Arial"/>
                <w:sz w:val="20"/>
                <w:lang w:val="en-CA"/>
              </w:rPr>
              <w:t xml:space="preserve"> and/or what they want to study.</w:t>
            </w:r>
            <w:r w:rsidR="002F72BA" w:rsidRPr="000D6491">
              <w:rPr>
                <w:rFonts w:cs="Arial"/>
                <w:sz w:val="20"/>
                <w:lang w:val="en-CA"/>
              </w:rPr>
              <w:t xml:space="preserve"> </w:t>
            </w:r>
            <w:r w:rsidR="0099772F">
              <w:rPr>
                <w:rFonts w:cs="Arial"/>
                <w:sz w:val="20"/>
                <w:lang w:val="en-CA"/>
              </w:rPr>
              <w:t>As commented upon earlier, there are opportunities to discuss initiatives with our high school partners to meet the needs of our community</w:t>
            </w:r>
            <w:r w:rsidR="00CF7E58">
              <w:rPr>
                <w:rFonts w:cs="Arial"/>
                <w:sz w:val="20"/>
                <w:lang w:val="en-CA"/>
              </w:rPr>
              <w:t xml:space="preserve"> and our learners</w:t>
            </w:r>
            <w:r w:rsidR="0099772F">
              <w:rPr>
                <w:rFonts w:cs="Arial"/>
                <w:sz w:val="20"/>
                <w:lang w:val="en-CA"/>
              </w:rPr>
              <w:t>.</w:t>
            </w:r>
            <w:r w:rsidR="00333275">
              <w:rPr>
                <w:rFonts w:cs="Arial"/>
                <w:sz w:val="20"/>
                <w:lang w:val="en-CA"/>
              </w:rPr>
              <w:t xml:space="preserve">  (See Recommendation #11).</w:t>
            </w:r>
          </w:p>
          <w:p w:rsidR="00C2328F" w:rsidRPr="000D6491" w:rsidRDefault="00C2328F" w:rsidP="00276F6B">
            <w:pPr>
              <w:rPr>
                <w:rFonts w:cs="Arial"/>
                <w:sz w:val="20"/>
                <w:lang w:val="en-CA"/>
              </w:rPr>
            </w:pPr>
          </w:p>
          <w:p w:rsidR="00D166C5" w:rsidRDefault="000D6491" w:rsidP="00D166C5">
            <w:pPr>
              <w:rPr>
                <w:rFonts w:cs="Arial"/>
                <w:sz w:val="20"/>
                <w:lang w:val="en-CA"/>
              </w:rPr>
            </w:pPr>
            <w:r>
              <w:rPr>
                <w:rFonts w:cs="Arial"/>
                <w:sz w:val="20"/>
                <w:lang w:val="en-CA"/>
              </w:rPr>
              <w:t xml:space="preserve">There are </w:t>
            </w:r>
            <w:r w:rsidR="0030400B" w:rsidRPr="000D6491">
              <w:rPr>
                <w:rFonts w:cs="Arial"/>
                <w:sz w:val="20"/>
                <w:lang w:val="en-CA"/>
              </w:rPr>
              <w:t>plans for a UT Speakers’ Series</w:t>
            </w:r>
            <w:r w:rsidR="002543CC">
              <w:rPr>
                <w:rFonts w:cs="Arial"/>
                <w:sz w:val="20"/>
                <w:lang w:val="en-CA"/>
              </w:rPr>
              <w:t xml:space="preserve"> and/or conference</w:t>
            </w:r>
            <w:r w:rsidR="0030400B" w:rsidRPr="000D6491">
              <w:rPr>
                <w:rFonts w:cs="Arial"/>
                <w:sz w:val="20"/>
                <w:lang w:val="en-CA"/>
              </w:rPr>
              <w:t xml:space="preserve"> (where scholars are invited to Fleming to present talks to the UT community </w:t>
            </w:r>
            <w:r w:rsidR="0030400B" w:rsidRPr="000D6491">
              <w:rPr>
                <w:rFonts w:cs="Arial"/>
                <w:sz w:val="20"/>
                <w:lang w:val="en-CA"/>
              </w:rPr>
              <w:lastRenderedPageBreak/>
              <w:t>and other interested parties)</w:t>
            </w:r>
            <w:r w:rsidR="002543CC">
              <w:rPr>
                <w:rFonts w:cs="Arial"/>
                <w:sz w:val="20"/>
                <w:lang w:val="en-CA"/>
              </w:rPr>
              <w:t xml:space="preserve">.  </w:t>
            </w:r>
          </w:p>
          <w:p w:rsidR="002543CC" w:rsidRPr="000D6491" w:rsidRDefault="002543CC" w:rsidP="00D166C5">
            <w:pPr>
              <w:rPr>
                <w:rFonts w:cs="Arial"/>
                <w:sz w:val="20"/>
                <w:lang w:val="en-CA"/>
              </w:rPr>
            </w:pPr>
          </w:p>
          <w:p w:rsidR="00FE27D9" w:rsidRDefault="00D166C5" w:rsidP="00CF7E58">
            <w:pPr>
              <w:rPr>
                <w:rFonts w:cs="Arial"/>
                <w:sz w:val="20"/>
                <w:lang w:val="en-CA"/>
              </w:rPr>
            </w:pPr>
            <w:r w:rsidRPr="000D6491">
              <w:rPr>
                <w:rFonts w:cs="Arial"/>
                <w:sz w:val="20"/>
                <w:lang w:val="en-CA"/>
              </w:rPr>
              <w:t xml:space="preserve">Mentoring / </w:t>
            </w:r>
            <w:r w:rsidR="004A4D6B" w:rsidRPr="000D6491">
              <w:rPr>
                <w:rFonts w:cs="Arial"/>
                <w:sz w:val="20"/>
                <w:lang w:val="en-CA"/>
              </w:rPr>
              <w:t>coaching program</w:t>
            </w:r>
            <w:r w:rsidR="000D6491">
              <w:rPr>
                <w:rFonts w:cs="Arial"/>
                <w:sz w:val="20"/>
                <w:lang w:val="en-CA"/>
              </w:rPr>
              <w:t xml:space="preserve"> between graduates of the UT program and current students are being put in place.</w:t>
            </w:r>
            <w:r w:rsidR="004A4D6B" w:rsidRPr="000D6491">
              <w:rPr>
                <w:rFonts w:cs="Arial"/>
                <w:sz w:val="20"/>
                <w:lang w:val="en-CA"/>
              </w:rPr>
              <w:t xml:space="preserve"> </w:t>
            </w:r>
            <w:r w:rsidR="000D6491">
              <w:rPr>
                <w:rFonts w:cs="Arial"/>
                <w:sz w:val="20"/>
                <w:lang w:val="en-CA"/>
              </w:rPr>
              <w:t xml:space="preserve">The program coordinator is also </w:t>
            </w:r>
            <w:r w:rsidR="00FE27D9" w:rsidRPr="000D6491">
              <w:rPr>
                <w:rFonts w:cs="Arial"/>
                <w:sz w:val="20"/>
                <w:lang w:val="en-CA"/>
              </w:rPr>
              <w:t xml:space="preserve">working with </w:t>
            </w:r>
            <w:r w:rsidR="000D6491">
              <w:rPr>
                <w:rFonts w:cs="Arial"/>
                <w:sz w:val="20"/>
                <w:lang w:val="en-CA"/>
              </w:rPr>
              <w:t>a Fleming Student Life Officer</w:t>
            </w:r>
            <w:r w:rsidR="00FE27D9" w:rsidRPr="000D6491">
              <w:rPr>
                <w:rFonts w:cs="Arial"/>
                <w:sz w:val="20"/>
                <w:lang w:val="en-CA"/>
              </w:rPr>
              <w:t xml:space="preserve"> to arrange mentoring for current UT students by UT grads at Trent. This is a great way to foster the connection between our university-bound students and others who have been successful in the program and currently enjoying success at Trent. Furthermore, it promotes a connection between the program and its alumnae (see section 7.1)</w:t>
            </w:r>
            <w:r w:rsidR="009D62E4">
              <w:rPr>
                <w:rFonts w:cs="Arial"/>
                <w:sz w:val="20"/>
                <w:lang w:val="en-CA"/>
              </w:rPr>
              <w:t xml:space="preserve"> (See Recommendation #2).</w:t>
            </w:r>
          </w:p>
          <w:p w:rsidR="00CF7E58" w:rsidRDefault="00CF7E58" w:rsidP="00CF7E58">
            <w:pPr>
              <w:rPr>
                <w:rFonts w:cs="Arial"/>
                <w:sz w:val="20"/>
                <w:lang w:val="en-CA"/>
              </w:rPr>
            </w:pPr>
          </w:p>
          <w:p w:rsidR="00CF7E58" w:rsidRPr="004A4D6B" w:rsidRDefault="00CF7E58" w:rsidP="00CF7E58">
            <w:pPr>
              <w:rPr>
                <w:rFonts w:cs="Arial"/>
                <w:b/>
                <w:color w:val="00B050"/>
                <w:sz w:val="20"/>
                <w:lang w:val="en-CA"/>
              </w:rPr>
            </w:pPr>
            <w:r>
              <w:rPr>
                <w:rFonts w:cs="Arial"/>
                <w:sz w:val="20"/>
                <w:lang w:val="en-CA"/>
              </w:rPr>
              <w:t>A comprehensive orientation package has also been developed for incoming students of the program that answers key questions in the initial weeks of the fall semester.  Moreover, progress or “report cards” have been piloted this fall semester to provide feedback to students regarding their progress.  These two initiatives are aligned with the school’s strategy to address retention.</w:t>
            </w:r>
            <w:r w:rsidR="008657BD">
              <w:rPr>
                <w:rFonts w:cs="Arial"/>
                <w:sz w:val="20"/>
                <w:lang w:val="en-CA"/>
              </w:rPr>
              <w:t xml:space="preserve"> (See Recommendation #9).</w:t>
            </w:r>
          </w:p>
        </w:tc>
      </w:tr>
      <w:tr w:rsidR="00276F6B" w:rsidRPr="000C3BAA" w:rsidTr="000C3BAA">
        <w:trPr>
          <w:trHeight w:val="1762"/>
        </w:trPr>
        <w:tc>
          <w:tcPr>
            <w:tcW w:w="6534" w:type="dxa"/>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lastRenderedPageBreak/>
              <w:t>5.2 Competitor Programs</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pStyle w:val="Title"/>
              <w:numPr>
                <w:ilvl w:val="0"/>
                <w:numId w:val="19"/>
              </w:numPr>
              <w:tabs>
                <w:tab w:val="clear" w:pos="720"/>
              </w:tabs>
              <w:ind w:left="360"/>
              <w:jc w:val="left"/>
              <w:rPr>
                <w:rFonts w:ascii="Arial" w:hAnsi="Arial" w:cs="Arial"/>
                <w:sz w:val="20"/>
              </w:rPr>
            </w:pPr>
            <w:r w:rsidRPr="000C3BAA">
              <w:rPr>
                <w:rFonts w:ascii="Arial" w:hAnsi="Arial" w:cs="Arial"/>
                <w:sz w:val="20"/>
              </w:rPr>
              <w:t>Key parallels and differences between this program and those of its closest competitors, where applicable</w:t>
            </w:r>
          </w:p>
          <w:p w:rsidR="00276F6B" w:rsidRPr="000C3BAA" w:rsidRDefault="00276F6B" w:rsidP="000C3BAA">
            <w:pPr>
              <w:pStyle w:val="Title"/>
              <w:numPr>
                <w:ilvl w:val="0"/>
                <w:numId w:val="18"/>
              </w:numPr>
              <w:tabs>
                <w:tab w:val="clear" w:pos="720"/>
              </w:tabs>
              <w:ind w:left="360"/>
              <w:jc w:val="left"/>
              <w:rPr>
                <w:rFonts w:ascii="Arial" w:hAnsi="Arial" w:cs="Arial"/>
                <w:b/>
                <w:sz w:val="20"/>
              </w:rPr>
            </w:pPr>
            <w:r w:rsidRPr="000C3BAA">
              <w:rPr>
                <w:rFonts w:ascii="Arial" w:hAnsi="Arial" w:cs="Arial"/>
                <w:sz w:val="20"/>
              </w:rPr>
              <w:t>’Value-added’ program distinctions and their attractiveness to prospective students</w:t>
            </w:r>
          </w:p>
        </w:tc>
        <w:tc>
          <w:tcPr>
            <w:tcW w:w="6534" w:type="dxa"/>
            <w:tcMar>
              <w:top w:w="113" w:type="dxa"/>
              <w:bottom w:w="113" w:type="dxa"/>
            </w:tcMar>
          </w:tcPr>
          <w:p w:rsidR="00BE6DD7" w:rsidRPr="00CF7E58" w:rsidRDefault="00AC0738" w:rsidP="00CE01B7">
            <w:pPr>
              <w:rPr>
                <w:rFonts w:cs="Arial"/>
                <w:sz w:val="20"/>
              </w:rPr>
            </w:pPr>
            <w:r w:rsidRPr="00CF7E58">
              <w:rPr>
                <w:rFonts w:cs="Arial"/>
                <w:b/>
                <w:sz w:val="20"/>
                <w:lang w:val="en-CA"/>
              </w:rPr>
              <w:t xml:space="preserve">Algonquin College: Global Studies (GAP Year): a 26-week Certficate program </w:t>
            </w:r>
            <w:r w:rsidRPr="00CF7E58">
              <w:rPr>
                <w:rFonts w:cs="Arial"/>
                <w:sz w:val="20"/>
                <w:lang w:val="en-CA"/>
              </w:rPr>
              <w:t>that</w:t>
            </w:r>
            <w:r w:rsidRPr="00CF7E58">
              <w:rPr>
                <w:rFonts w:cs="Arial"/>
                <w:b/>
                <w:sz w:val="20"/>
                <w:lang w:val="en-CA"/>
              </w:rPr>
              <w:t xml:space="preserve"> </w:t>
            </w:r>
            <w:r w:rsidR="00BE6DD7" w:rsidRPr="00CF7E58">
              <w:rPr>
                <w:rFonts w:cs="Arial"/>
                <w:sz w:val="20"/>
                <w:lang w:val="en-CA"/>
              </w:rPr>
              <w:t>“</w:t>
            </w:r>
            <w:r w:rsidRPr="00CF7E58">
              <w:rPr>
                <w:rFonts w:cs="Arial"/>
                <w:sz w:val="20"/>
              </w:rPr>
              <w:t>prepares students for a successful transition into the next stage of their education and beyond. Students benefit from educational opportunities that are geared toward developing leadership qualities, lifestyle skills, international/cultural awareness and strategies for postsecondary academic success.</w:t>
            </w:r>
            <w:r w:rsidR="00BE6DD7" w:rsidRPr="00CF7E58">
              <w:rPr>
                <w:rFonts w:cs="Arial"/>
                <w:sz w:val="20"/>
              </w:rPr>
              <w:t xml:space="preserve">” </w:t>
            </w:r>
            <w:r w:rsidR="0084769E" w:rsidRPr="00CF7E58">
              <w:rPr>
                <w:rFonts w:cs="Arial"/>
                <w:sz w:val="20"/>
              </w:rPr>
              <w:t>Program costs are in excess of $14 000 for two semesters.</w:t>
            </w:r>
          </w:p>
          <w:p w:rsidR="00BE6DD7" w:rsidRPr="00CF7E58" w:rsidRDefault="00BE6DD7" w:rsidP="00BE6DD7">
            <w:pPr>
              <w:numPr>
                <w:ilvl w:val="0"/>
                <w:numId w:val="32"/>
              </w:numPr>
              <w:rPr>
                <w:rFonts w:cs="Arial"/>
                <w:b/>
                <w:sz w:val="20"/>
                <w:lang w:val="en-CA"/>
              </w:rPr>
            </w:pPr>
            <w:r w:rsidRPr="00CF7E58">
              <w:rPr>
                <w:rFonts w:cs="Arial"/>
                <w:sz w:val="20"/>
              </w:rPr>
              <w:t xml:space="preserve">Focus on personal development, readiness for postsecondary education and global citizenship. Students participate in community service, outdoor leadership activities, international travel and academic course work for both college and university credit. </w:t>
            </w:r>
          </w:p>
          <w:p w:rsidR="00AC0738" w:rsidRPr="00CF7E58" w:rsidRDefault="00BE6DD7" w:rsidP="00BE6DD7">
            <w:pPr>
              <w:numPr>
                <w:ilvl w:val="0"/>
                <w:numId w:val="32"/>
              </w:numPr>
              <w:rPr>
                <w:rFonts w:cs="Arial"/>
                <w:b/>
                <w:sz w:val="20"/>
                <w:lang w:val="en-CA"/>
              </w:rPr>
            </w:pPr>
            <w:r w:rsidRPr="00CF7E58">
              <w:rPr>
                <w:rFonts w:cs="Arial"/>
                <w:sz w:val="20"/>
              </w:rPr>
              <w:t xml:space="preserve">Students receive transfer equivalency credit from the </w:t>
            </w:r>
            <w:r w:rsidR="00B13D91" w:rsidRPr="00CF7E58">
              <w:rPr>
                <w:rFonts w:cs="Arial"/>
                <w:b/>
                <w:sz w:val="20"/>
              </w:rPr>
              <w:t>U</w:t>
            </w:r>
            <w:r w:rsidRPr="00CF7E58">
              <w:rPr>
                <w:rFonts w:cs="Arial"/>
                <w:b/>
                <w:sz w:val="20"/>
              </w:rPr>
              <w:t xml:space="preserve"> of Ottawa</w:t>
            </w:r>
            <w:r w:rsidRPr="00CF7E58">
              <w:rPr>
                <w:rFonts w:cs="Arial"/>
                <w:sz w:val="20"/>
              </w:rPr>
              <w:t xml:space="preserve"> for the successful completion of </w:t>
            </w:r>
            <w:r w:rsidRPr="00CF7E58">
              <w:rPr>
                <w:rFonts w:cs="Arial"/>
                <w:b/>
                <w:sz w:val="20"/>
              </w:rPr>
              <w:t>two courses, Principles of Psychology and Elementary Spanish</w:t>
            </w:r>
            <w:r w:rsidRPr="00CF7E58">
              <w:rPr>
                <w:rFonts w:cs="Arial"/>
                <w:sz w:val="20"/>
              </w:rPr>
              <w:t>. Also, students participate in activities and events organized by the University of Ottawa and held on campus for introduction to the university community.</w:t>
            </w:r>
          </w:p>
          <w:p w:rsidR="00BE6DD7" w:rsidRPr="00CF7E58" w:rsidRDefault="00BE6DD7" w:rsidP="00BE6DD7">
            <w:pPr>
              <w:rPr>
                <w:rFonts w:cs="Arial"/>
                <w:sz w:val="20"/>
              </w:rPr>
            </w:pPr>
          </w:p>
          <w:p w:rsidR="00BE6DD7" w:rsidRPr="00CF7E58" w:rsidRDefault="00BE6DD7" w:rsidP="00BE6DD7">
            <w:pPr>
              <w:rPr>
                <w:rFonts w:cs="Arial"/>
                <w:b/>
                <w:sz w:val="20"/>
                <w:lang w:val="en-CA"/>
              </w:rPr>
            </w:pPr>
          </w:p>
          <w:p w:rsidR="0084769E" w:rsidRPr="00CF7E58" w:rsidRDefault="00BE6DD7" w:rsidP="0084769E">
            <w:pPr>
              <w:spacing w:before="68" w:after="100" w:afterAutospacing="1"/>
              <w:rPr>
                <w:rFonts w:cs="Arial"/>
                <w:sz w:val="20"/>
                <w:lang w:val="en-CA"/>
              </w:rPr>
            </w:pPr>
            <w:r w:rsidRPr="00CF7E58">
              <w:rPr>
                <w:rFonts w:cs="Arial"/>
                <w:b/>
                <w:sz w:val="20"/>
                <w:lang w:val="en-CA"/>
              </w:rPr>
              <w:lastRenderedPageBreak/>
              <w:t xml:space="preserve">Centennial College – General Arts and Science – Arts Program: </w:t>
            </w:r>
            <w:r w:rsidR="000578E1" w:rsidRPr="00CF7E58">
              <w:rPr>
                <w:rFonts w:cs="Arial"/>
                <w:b/>
                <w:sz w:val="20"/>
                <w:lang w:val="en-CA"/>
              </w:rPr>
              <w:t xml:space="preserve">a </w:t>
            </w:r>
            <w:r w:rsidRPr="00CF7E58">
              <w:rPr>
                <w:rFonts w:cs="Arial"/>
                <w:b/>
                <w:sz w:val="20"/>
                <w:lang w:val="en-CA"/>
              </w:rPr>
              <w:t xml:space="preserve">four semester </w:t>
            </w:r>
            <w:r w:rsidR="0084769E" w:rsidRPr="00CF7E58">
              <w:rPr>
                <w:rFonts w:cs="Arial"/>
                <w:b/>
                <w:sz w:val="20"/>
                <w:lang w:val="en-CA"/>
              </w:rPr>
              <w:t xml:space="preserve">Certificate </w:t>
            </w:r>
            <w:r w:rsidRPr="00CF7E58">
              <w:rPr>
                <w:rFonts w:cs="Arial"/>
                <w:b/>
                <w:sz w:val="20"/>
                <w:lang w:val="en-CA"/>
              </w:rPr>
              <w:t xml:space="preserve">program </w:t>
            </w:r>
            <w:r w:rsidR="000578E1" w:rsidRPr="00CF7E58">
              <w:rPr>
                <w:rFonts w:cs="Arial"/>
                <w:b/>
                <w:sz w:val="20"/>
                <w:lang w:val="en-CA"/>
              </w:rPr>
              <w:t xml:space="preserve">(one year without breaks or two years with breaks) </w:t>
            </w:r>
            <w:r w:rsidRPr="00CF7E58">
              <w:rPr>
                <w:rFonts w:cs="Arial"/>
                <w:sz w:val="20"/>
                <w:lang w:val="en-CA"/>
              </w:rPr>
              <w:t xml:space="preserve">aimed at students who wish to consider a range of college programs, or are interested in a university arts degree program, are undecided about their career goals, </w:t>
            </w:r>
            <w:r w:rsidR="000578E1" w:rsidRPr="00CF7E58">
              <w:rPr>
                <w:rFonts w:cs="Arial"/>
                <w:sz w:val="20"/>
                <w:lang w:val="en-CA"/>
              </w:rPr>
              <w:t xml:space="preserve">do not possess the credentials for direct entry into university, and are unsure whether university is the right choice. </w:t>
            </w:r>
          </w:p>
          <w:p w:rsidR="0084769E" w:rsidRPr="00CF7E58" w:rsidRDefault="000578E1" w:rsidP="0084769E">
            <w:pPr>
              <w:numPr>
                <w:ilvl w:val="0"/>
                <w:numId w:val="34"/>
              </w:numPr>
              <w:spacing w:before="68" w:after="100" w:afterAutospacing="1"/>
              <w:rPr>
                <w:rFonts w:cs="Arial"/>
                <w:sz w:val="20"/>
              </w:rPr>
            </w:pPr>
            <w:r w:rsidRPr="00CF7E58">
              <w:rPr>
                <w:rFonts w:cs="Arial"/>
                <w:sz w:val="20"/>
                <w:lang w:val="en-CA"/>
              </w:rPr>
              <w:t xml:space="preserve">Educational partners include </w:t>
            </w:r>
            <w:r w:rsidR="00B13D91" w:rsidRPr="00CF7E58">
              <w:rPr>
                <w:rFonts w:cs="Arial"/>
                <w:b/>
                <w:sz w:val="20"/>
                <w:lang w:val="en-CA"/>
              </w:rPr>
              <w:t xml:space="preserve">Athabasca U, Griffith U </w:t>
            </w:r>
            <w:r w:rsidR="00B13D91" w:rsidRPr="00CF7E58">
              <w:rPr>
                <w:rFonts w:cs="Arial"/>
                <w:sz w:val="20"/>
                <w:lang w:val="en-CA"/>
              </w:rPr>
              <w:t>(AUS),</w:t>
            </w:r>
            <w:r w:rsidR="00B13D91" w:rsidRPr="00CF7E58">
              <w:rPr>
                <w:rFonts w:cs="Arial"/>
                <w:b/>
                <w:sz w:val="20"/>
                <w:lang w:val="en-CA"/>
              </w:rPr>
              <w:t xml:space="preserve"> Ryerson U</w:t>
            </w:r>
            <w:r w:rsidRPr="00CF7E58">
              <w:rPr>
                <w:rFonts w:cs="Arial"/>
                <w:b/>
                <w:sz w:val="20"/>
                <w:lang w:val="en-CA"/>
              </w:rPr>
              <w:t xml:space="preserve">, </w:t>
            </w:r>
            <w:r w:rsidRPr="00CF7E58">
              <w:rPr>
                <w:rFonts w:cs="Arial"/>
                <w:sz w:val="20"/>
                <w:lang w:val="en-CA"/>
              </w:rPr>
              <w:t>and</w:t>
            </w:r>
            <w:r w:rsidRPr="00CF7E58">
              <w:rPr>
                <w:rFonts w:cs="Arial"/>
                <w:b/>
                <w:sz w:val="20"/>
                <w:lang w:val="en-CA"/>
              </w:rPr>
              <w:t xml:space="preserve"> York U</w:t>
            </w:r>
            <w:r w:rsidRPr="00CF7E58">
              <w:rPr>
                <w:rFonts w:cs="Arial"/>
                <w:sz w:val="20"/>
                <w:lang w:val="en-CA"/>
              </w:rPr>
              <w:t xml:space="preserve">. </w:t>
            </w:r>
          </w:p>
          <w:p w:rsidR="0084769E" w:rsidRPr="00CF7E58" w:rsidRDefault="0084769E" w:rsidP="0084769E">
            <w:pPr>
              <w:numPr>
                <w:ilvl w:val="0"/>
                <w:numId w:val="34"/>
              </w:numPr>
              <w:spacing w:before="68" w:after="100" w:afterAutospacing="1"/>
              <w:rPr>
                <w:rFonts w:cs="Arial"/>
                <w:sz w:val="20"/>
              </w:rPr>
            </w:pPr>
            <w:r w:rsidRPr="00CF7E58">
              <w:rPr>
                <w:rFonts w:cs="Arial"/>
                <w:sz w:val="20"/>
              </w:rPr>
              <w:t xml:space="preserve">After one year (with at least a 3.0 GPA) a student may proceed directly into year 1 of a university arts program. </w:t>
            </w:r>
          </w:p>
          <w:p w:rsidR="0084769E" w:rsidRPr="00CF7E58" w:rsidRDefault="0084769E" w:rsidP="0084769E">
            <w:pPr>
              <w:numPr>
                <w:ilvl w:val="0"/>
                <w:numId w:val="34"/>
              </w:numPr>
              <w:spacing w:before="68" w:after="100" w:afterAutospacing="1"/>
              <w:rPr>
                <w:rFonts w:cs="Arial"/>
                <w:sz w:val="20"/>
              </w:rPr>
            </w:pPr>
            <w:r w:rsidRPr="00CF7E58">
              <w:rPr>
                <w:rFonts w:cs="Arial"/>
                <w:sz w:val="20"/>
              </w:rPr>
              <w:t xml:space="preserve">Course offerings are college level (Communications and Gen Eds, for example). </w:t>
            </w:r>
          </w:p>
          <w:p w:rsidR="0084769E" w:rsidRPr="00CF7E58" w:rsidRDefault="0084769E" w:rsidP="0084769E">
            <w:pPr>
              <w:spacing w:before="68" w:after="100" w:afterAutospacing="1"/>
              <w:rPr>
                <w:rFonts w:cs="Arial"/>
                <w:sz w:val="20"/>
              </w:rPr>
            </w:pPr>
            <w:r w:rsidRPr="00CF7E58">
              <w:rPr>
                <w:rFonts w:cs="Arial"/>
                <w:b/>
                <w:sz w:val="20"/>
              </w:rPr>
              <w:t>Durham College – General Arts and Science – University Articulation</w:t>
            </w:r>
            <w:r w:rsidRPr="00CF7E58">
              <w:rPr>
                <w:rFonts w:cs="Arial"/>
                <w:sz w:val="20"/>
              </w:rPr>
              <w:t xml:space="preserve">: </w:t>
            </w:r>
            <w:r w:rsidRPr="00CF7E58">
              <w:rPr>
                <w:rFonts w:cs="Arial"/>
                <w:b/>
                <w:sz w:val="20"/>
              </w:rPr>
              <w:t xml:space="preserve">2-year Diploma program </w:t>
            </w:r>
            <w:r w:rsidRPr="00CF7E58">
              <w:rPr>
                <w:rFonts w:cs="Arial"/>
                <w:sz w:val="20"/>
              </w:rPr>
              <w:t xml:space="preserve">articulating via two streams with </w:t>
            </w:r>
            <w:r w:rsidRPr="00CF7E58">
              <w:rPr>
                <w:rFonts w:cs="Arial"/>
                <w:b/>
                <w:sz w:val="20"/>
              </w:rPr>
              <w:t>SUNY Potsdam</w:t>
            </w:r>
            <w:r w:rsidRPr="00CF7E58">
              <w:rPr>
                <w:rFonts w:cs="Arial"/>
                <w:sz w:val="20"/>
              </w:rPr>
              <w:t xml:space="preserve"> (NY) and </w:t>
            </w:r>
            <w:r w:rsidRPr="00CF7E58">
              <w:rPr>
                <w:rFonts w:cs="Arial"/>
                <w:b/>
                <w:sz w:val="20"/>
              </w:rPr>
              <w:t>Trent U</w:t>
            </w:r>
            <w:r w:rsidRPr="00CF7E58">
              <w:rPr>
                <w:rFonts w:cs="Arial"/>
                <w:sz w:val="20"/>
              </w:rPr>
              <w:t xml:space="preserve">. </w:t>
            </w:r>
          </w:p>
          <w:p w:rsidR="0084769E" w:rsidRPr="00CF7E58" w:rsidRDefault="0084769E" w:rsidP="0084769E">
            <w:pPr>
              <w:numPr>
                <w:ilvl w:val="0"/>
                <w:numId w:val="35"/>
              </w:numPr>
              <w:spacing w:before="68" w:after="100" w:afterAutospacing="1"/>
              <w:rPr>
                <w:rFonts w:cs="Arial"/>
                <w:sz w:val="20"/>
              </w:rPr>
            </w:pPr>
            <w:r w:rsidRPr="00CF7E58">
              <w:rPr>
                <w:rFonts w:cs="Arial"/>
                <w:b/>
                <w:sz w:val="20"/>
              </w:rPr>
              <w:t>SUNY Potsdam</w:t>
            </w:r>
            <w:r w:rsidR="00993CF0" w:rsidRPr="00CF7E58">
              <w:rPr>
                <w:rFonts w:cs="Arial"/>
                <w:b/>
                <w:sz w:val="20"/>
              </w:rPr>
              <w:t xml:space="preserve"> stream</w:t>
            </w:r>
            <w:r w:rsidRPr="00CF7E58">
              <w:rPr>
                <w:rFonts w:cs="Arial"/>
                <w:sz w:val="20"/>
              </w:rPr>
              <w:t xml:space="preserve">: upon completion of the 2-year program (2.5 GPA), students are given credit for two years of university. Students </w:t>
            </w:r>
            <w:r w:rsidR="00993CF0" w:rsidRPr="00CF7E58">
              <w:rPr>
                <w:rFonts w:cs="Arial"/>
                <w:sz w:val="20"/>
              </w:rPr>
              <w:t>proceed to SUNY Potsdam for two more years, completing a 4-year BA or BSc. There is an option for students (2.75 GPA) to remain another year at SUNY Potsdam for a Masters of Science in Teaching (MST); practicum arranged at Ontario schools. Curriculum at Durham partly composed of required courses and partly electives (some required by SUNY Potsdam).</w:t>
            </w:r>
          </w:p>
          <w:p w:rsidR="00993CF0" w:rsidRPr="00CF7E58" w:rsidRDefault="00B13D91" w:rsidP="0084769E">
            <w:pPr>
              <w:numPr>
                <w:ilvl w:val="0"/>
                <w:numId w:val="35"/>
              </w:numPr>
              <w:spacing w:before="68" w:after="100" w:afterAutospacing="1"/>
              <w:rPr>
                <w:rFonts w:cs="Arial"/>
                <w:sz w:val="20"/>
              </w:rPr>
            </w:pPr>
            <w:r w:rsidRPr="00CF7E58">
              <w:rPr>
                <w:rFonts w:cs="Arial"/>
                <w:b/>
                <w:sz w:val="20"/>
              </w:rPr>
              <w:t>Trent U</w:t>
            </w:r>
            <w:r w:rsidR="00993CF0" w:rsidRPr="00CF7E58">
              <w:rPr>
                <w:rFonts w:cs="Arial"/>
                <w:b/>
                <w:sz w:val="20"/>
              </w:rPr>
              <w:t xml:space="preserve"> stream</w:t>
            </w:r>
            <w:r w:rsidR="00993CF0" w:rsidRPr="00CF7E58">
              <w:rPr>
                <w:rFonts w:cs="Arial"/>
                <w:sz w:val="20"/>
              </w:rPr>
              <w:t>: upon completion of the 2-year program (3.5 GPA), students are given four unassigned credits and credit for one 100 level course at Trent. All credits contribute to a 3-year general degree at Trent</w:t>
            </w:r>
            <w:r w:rsidR="00FF7E52">
              <w:rPr>
                <w:rFonts w:cs="Arial"/>
                <w:sz w:val="20"/>
              </w:rPr>
              <w:t xml:space="preserve">.  </w:t>
            </w:r>
            <w:r w:rsidR="00993CF0" w:rsidRPr="00CF7E58">
              <w:rPr>
                <w:rFonts w:cs="Arial"/>
                <w:sz w:val="20"/>
              </w:rPr>
              <w:t>Electives include a range of Arts, Social Sciences, and Science courses.</w:t>
            </w:r>
          </w:p>
          <w:p w:rsidR="00993CF0" w:rsidRPr="00CF7E58" w:rsidRDefault="00993CF0" w:rsidP="0084769E">
            <w:pPr>
              <w:numPr>
                <w:ilvl w:val="0"/>
                <w:numId w:val="35"/>
              </w:numPr>
              <w:spacing w:before="68" w:after="100" w:afterAutospacing="1"/>
              <w:rPr>
                <w:rFonts w:cs="Arial"/>
                <w:sz w:val="20"/>
              </w:rPr>
            </w:pPr>
            <w:r w:rsidRPr="00CF7E58">
              <w:rPr>
                <w:rFonts w:cs="Arial"/>
                <w:sz w:val="20"/>
              </w:rPr>
              <w:t>There is also an articu</w:t>
            </w:r>
            <w:r w:rsidR="00B13D91" w:rsidRPr="00CF7E58">
              <w:rPr>
                <w:rFonts w:cs="Arial"/>
                <w:sz w:val="20"/>
              </w:rPr>
              <w:t>lation with Davenport U</w:t>
            </w:r>
            <w:r w:rsidRPr="00CF7E58">
              <w:rPr>
                <w:rFonts w:cs="Arial"/>
                <w:sz w:val="20"/>
              </w:rPr>
              <w:t xml:space="preserve"> for a </w:t>
            </w:r>
            <w:r w:rsidRPr="00CF7E58">
              <w:rPr>
                <w:rFonts w:cs="Arial"/>
                <w:sz w:val="20"/>
              </w:rPr>
              <w:lastRenderedPageBreak/>
              <w:t>Bachelor of Business Professional Studies.</w:t>
            </w:r>
          </w:p>
          <w:p w:rsidR="00073A42" w:rsidRPr="00CF7E58" w:rsidRDefault="00FC7C72" w:rsidP="00993CF0">
            <w:pPr>
              <w:spacing w:before="68" w:after="100" w:afterAutospacing="1"/>
              <w:rPr>
                <w:sz w:val="20"/>
              </w:rPr>
            </w:pPr>
            <w:r w:rsidRPr="00CF7E58">
              <w:rPr>
                <w:rFonts w:cs="Arial"/>
                <w:b/>
                <w:sz w:val="20"/>
              </w:rPr>
              <w:t>Fanshawe College</w:t>
            </w:r>
            <w:r w:rsidRPr="00CF7E58">
              <w:rPr>
                <w:rFonts w:cs="Arial"/>
                <w:sz w:val="20"/>
              </w:rPr>
              <w:t xml:space="preserve"> offers a number of degree pathways</w:t>
            </w:r>
            <w:r w:rsidR="00073A42" w:rsidRPr="00CF7E58">
              <w:rPr>
                <w:rFonts w:cs="Arial"/>
                <w:sz w:val="20"/>
              </w:rPr>
              <w:t xml:space="preserve"> in various programs</w:t>
            </w:r>
            <w:r w:rsidRPr="00CF7E58">
              <w:rPr>
                <w:rFonts w:cs="Arial"/>
                <w:sz w:val="20"/>
              </w:rPr>
              <w:t xml:space="preserve">, partnering with a long </w:t>
            </w:r>
            <w:r w:rsidR="00073A42" w:rsidRPr="00CF7E58">
              <w:rPr>
                <w:rFonts w:cs="Arial"/>
                <w:sz w:val="20"/>
              </w:rPr>
              <w:t xml:space="preserve">list of universities (over 30; most in Ontario, some in other provinces, a few in the US, one in the UK, and a few in Australia). Interested students “are </w:t>
            </w:r>
            <w:r w:rsidR="00073A42" w:rsidRPr="00CF7E58">
              <w:rPr>
                <w:sz w:val="20"/>
              </w:rPr>
              <w:t xml:space="preserve">advised to contact the appropriate university and to consult with the admissions office at the receiving institution” regarding transfer credits. </w:t>
            </w:r>
          </w:p>
          <w:p w:rsidR="00993CF0" w:rsidRPr="00CF7E58" w:rsidRDefault="00073A42" w:rsidP="00993CF0">
            <w:pPr>
              <w:spacing w:before="68" w:after="100" w:afterAutospacing="1"/>
              <w:rPr>
                <w:sz w:val="20"/>
              </w:rPr>
            </w:pPr>
            <w:r w:rsidRPr="00CF7E58">
              <w:rPr>
                <w:b/>
                <w:sz w:val="20"/>
              </w:rPr>
              <w:t>Humber College</w:t>
            </w:r>
            <w:r w:rsidRPr="00CF7E58">
              <w:rPr>
                <w:sz w:val="20"/>
              </w:rPr>
              <w:t xml:space="preserve"> also offers a number of degree pathways with an extensive list of university partners</w:t>
            </w:r>
            <w:r w:rsidR="00B13D91" w:rsidRPr="00CF7E58">
              <w:rPr>
                <w:sz w:val="20"/>
              </w:rPr>
              <w:t xml:space="preserve"> (over 6</w:t>
            </w:r>
            <w:r w:rsidRPr="00CF7E58">
              <w:rPr>
                <w:sz w:val="20"/>
              </w:rPr>
              <w:t xml:space="preserve">0; many in Ontario, some in other provinces, a number in the US, a few in the UK and Australia). Each university offers clickable info on the web site where students can learn about the </w:t>
            </w:r>
            <w:r w:rsidR="00EC2607" w:rsidRPr="00CF7E58">
              <w:rPr>
                <w:sz w:val="20"/>
              </w:rPr>
              <w:t xml:space="preserve">nature of the transfer agreement for their program at a particular institution. For example, </w:t>
            </w:r>
            <w:r w:rsidR="00B13D91" w:rsidRPr="00CF7E58">
              <w:rPr>
                <w:sz w:val="20"/>
              </w:rPr>
              <w:t xml:space="preserve">a </w:t>
            </w:r>
            <w:r w:rsidR="00EC2607" w:rsidRPr="00CF7E58">
              <w:rPr>
                <w:sz w:val="20"/>
              </w:rPr>
              <w:t>Humber graduate with &gt;80% average in a 2-year Accounting Diploma program can receive 45 transfer credits for Algoma University College’s Bachelor of Business Administration program. Those with &gt;70-79% will receive 30 credits, and those with &gt;60-69% will receive 15 credits (30 credits are equivalent to one academic year).</w:t>
            </w:r>
          </w:p>
          <w:p w:rsidR="00EC2607" w:rsidRPr="00CF7E58" w:rsidRDefault="00EC2607" w:rsidP="00993CF0">
            <w:pPr>
              <w:spacing w:before="68" w:after="100" w:afterAutospacing="1"/>
              <w:rPr>
                <w:rFonts w:cs="Arial"/>
                <w:sz w:val="20"/>
              </w:rPr>
            </w:pPr>
            <w:r w:rsidRPr="00CF7E58">
              <w:rPr>
                <w:rFonts w:cs="Arial"/>
                <w:b/>
                <w:sz w:val="20"/>
              </w:rPr>
              <w:t>Niagara College</w:t>
            </w:r>
            <w:r w:rsidRPr="00CF7E58">
              <w:rPr>
                <w:rFonts w:cs="Arial"/>
                <w:sz w:val="20"/>
              </w:rPr>
              <w:t xml:space="preserve"> offers a similar transfer arrangement</w:t>
            </w:r>
            <w:r w:rsidR="00B13D91" w:rsidRPr="00CF7E58">
              <w:rPr>
                <w:rFonts w:cs="Arial"/>
                <w:sz w:val="20"/>
              </w:rPr>
              <w:t xml:space="preserve"> to the one above</w:t>
            </w:r>
            <w:r w:rsidRPr="00CF7E58">
              <w:rPr>
                <w:rFonts w:cs="Arial"/>
                <w:sz w:val="20"/>
              </w:rPr>
              <w:t xml:space="preserve">, partnering with a long list of universities (approx. 50; many in Ontario, some out of province, a few in the US, one in the UK, and some in Australia [Griffith U is a complete whore]). </w:t>
            </w:r>
            <w:r w:rsidRPr="00CF7E58">
              <w:rPr>
                <w:sz w:val="20"/>
              </w:rPr>
              <w:t>Each university offers clickable info on the web site where students can learn about the nature of the transfer agreement for their program at a particular institution. For example, students in the Recreation and Leisure Services program who maintain a 78% average can transfer into the Honours BA – Recreation and Bu</w:t>
            </w:r>
            <w:r w:rsidR="00B13D91" w:rsidRPr="00CF7E58">
              <w:rPr>
                <w:sz w:val="20"/>
              </w:rPr>
              <w:t>siness program at the U</w:t>
            </w:r>
            <w:r w:rsidRPr="00CF7E58">
              <w:rPr>
                <w:sz w:val="20"/>
              </w:rPr>
              <w:t xml:space="preserve"> of Waterloo with 6 transfer</w:t>
            </w:r>
            <w:r w:rsidR="00F73EC1" w:rsidRPr="00CF7E58">
              <w:rPr>
                <w:sz w:val="20"/>
              </w:rPr>
              <w:t xml:space="preserve"> credits</w:t>
            </w:r>
            <w:r w:rsidR="009851C5">
              <w:rPr>
                <w:sz w:val="20"/>
              </w:rPr>
              <w:t xml:space="preserve"> (which may be the equivalent of two university courses).</w:t>
            </w:r>
            <w:r w:rsidR="006F34D9">
              <w:rPr>
                <w:sz w:val="20"/>
              </w:rPr>
              <w:t xml:space="preserve">  </w:t>
            </w:r>
          </w:p>
          <w:p w:rsidR="00BE6DD7" w:rsidRPr="00CF7E58" w:rsidRDefault="00F73EC1" w:rsidP="00F73EC1">
            <w:pPr>
              <w:rPr>
                <w:rFonts w:cs="Arial"/>
                <w:sz w:val="20"/>
                <w:lang w:val="en-CA"/>
              </w:rPr>
            </w:pPr>
            <w:r w:rsidRPr="00CF7E58">
              <w:rPr>
                <w:rFonts w:cs="Arial"/>
                <w:b/>
                <w:sz w:val="20"/>
                <w:lang w:val="en-CA"/>
              </w:rPr>
              <w:t>Seneca College – Liberal Arts (LAT): 4 semester</w:t>
            </w:r>
            <w:r w:rsidR="00AC2F01" w:rsidRPr="00CF7E58">
              <w:rPr>
                <w:rFonts w:cs="Arial"/>
                <w:b/>
                <w:sz w:val="20"/>
                <w:lang w:val="en-CA"/>
              </w:rPr>
              <w:t>s</w:t>
            </w:r>
            <w:r w:rsidRPr="00CF7E58">
              <w:rPr>
                <w:rFonts w:cs="Arial"/>
                <w:b/>
                <w:sz w:val="20"/>
                <w:lang w:val="en-CA"/>
              </w:rPr>
              <w:t xml:space="preserve"> (2 years). </w:t>
            </w:r>
            <w:r w:rsidRPr="00CF7E58">
              <w:rPr>
                <w:rFonts w:cs="Arial"/>
                <w:sz w:val="20"/>
                <w:lang w:val="en-CA"/>
              </w:rPr>
              <w:t xml:space="preserve">Similar to the Fleming program, with its focus on the Humanities and Social Sciences. The program is partnered with </w:t>
            </w:r>
            <w:r w:rsidRPr="00CF7E58">
              <w:rPr>
                <w:rFonts w:cs="Arial"/>
                <w:b/>
                <w:sz w:val="20"/>
                <w:lang w:val="en-CA"/>
              </w:rPr>
              <w:t xml:space="preserve">York U </w:t>
            </w:r>
            <w:r w:rsidRPr="00CF7E58">
              <w:rPr>
                <w:rFonts w:cs="Arial"/>
                <w:sz w:val="20"/>
                <w:lang w:val="en-CA"/>
              </w:rPr>
              <w:t>and</w:t>
            </w:r>
            <w:r w:rsidRPr="00CF7E58">
              <w:rPr>
                <w:rFonts w:cs="Arial"/>
                <w:b/>
                <w:sz w:val="20"/>
                <w:lang w:val="en-CA"/>
              </w:rPr>
              <w:t xml:space="preserve"> the U of Toronto</w:t>
            </w:r>
            <w:r w:rsidRPr="00CF7E58">
              <w:rPr>
                <w:rFonts w:cs="Arial"/>
                <w:sz w:val="20"/>
                <w:lang w:val="en-CA"/>
              </w:rPr>
              <w:t xml:space="preserve">. </w:t>
            </w:r>
          </w:p>
          <w:p w:rsidR="00F73EC1" w:rsidRPr="00CF7E58" w:rsidRDefault="00F73EC1" w:rsidP="00F73EC1">
            <w:pPr>
              <w:numPr>
                <w:ilvl w:val="0"/>
                <w:numId w:val="36"/>
              </w:numPr>
              <w:rPr>
                <w:rFonts w:cs="Arial"/>
                <w:sz w:val="20"/>
                <w:lang w:val="en-CA"/>
              </w:rPr>
            </w:pPr>
            <w:r w:rsidRPr="00CF7E58">
              <w:rPr>
                <w:rFonts w:cs="Arial"/>
                <w:b/>
                <w:sz w:val="20"/>
                <w:lang w:val="en-CA"/>
              </w:rPr>
              <w:t>UofT</w:t>
            </w:r>
            <w:r w:rsidRPr="00CF7E58">
              <w:rPr>
                <w:rFonts w:cs="Arial"/>
                <w:sz w:val="20"/>
                <w:lang w:val="en-CA"/>
              </w:rPr>
              <w:t xml:space="preserve">: For students with a 3.0 GPA at end of second </w:t>
            </w:r>
            <w:r w:rsidRPr="00CF7E58">
              <w:rPr>
                <w:rFonts w:cs="Arial"/>
                <w:sz w:val="20"/>
                <w:lang w:val="en-CA"/>
              </w:rPr>
              <w:lastRenderedPageBreak/>
              <w:t>semester; they enrol with the University Partnership Program. Students take one or more courses at U of T while completing their program at the college. Transfer credits earned in the Liberal Arts program combined with university credits earned through LAT allow students to enter the third year of a BA at U of Toronto</w:t>
            </w:r>
            <w:r w:rsidR="00AC2F01" w:rsidRPr="00CF7E58">
              <w:rPr>
                <w:rFonts w:cs="Arial"/>
                <w:sz w:val="20"/>
                <w:lang w:val="en-CA"/>
              </w:rPr>
              <w:t xml:space="preserve"> at the Newnham Campus</w:t>
            </w:r>
            <w:r w:rsidRPr="00CF7E58">
              <w:rPr>
                <w:rFonts w:cs="Arial"/>
                <w:sz w:val="20"/>
                <w:lang w:val="en-CA"/>
              </w:rPr>
              <w:t>.</w:t>
            </w:r>
          </w:p>
          <w:p w:rsidR="00AC2F01" w:rsidRPr="00CF7E58" w:rsidRDefault="00F73EC1" w:rsidP="00AC2F01">
            <w:pPr>
              <w:numPr>
                <w:ilvl w:val="0"/>
                <w:numId w:val="36"/>
              </w:numPr>
              <w:rPr>
                <w:rFonts w:cs="Arial"/>
                <w:sz w:val="20"/>
                <w:lang w:val="en-CA"/>
              </w:rPr>
            </w:pPr>
            <w:r w:rsidRPr="00CF7E58">
              <w:rPr>
                <w:rFonts w:cs="Arial"/>
                <w:b/>
                <w:sz w:val="20"/>
                <w:lang w:val="en-CA"/>
              </w:rPr>
              <w:t>York U</w:t>
            </w:r>
            <w:r w:rsidRPr="00CF7E58">
              <w:rPr>
                <w:rFonts w:cs="Arial"/>
                <w:sz w:val="20"/>
                <w:lang w:val="en-CA"/>
              </w:rPr>
              <w:t xml:space="preserve">: </w:t>
            </w:r>
            <w:r w:rsidR="00AC2F01" w:rsidRPr="00CF7E58">
              <w:rPr>
                <w:rFonts w:cs="Arial"/>
                <w:sz w:val="20"/>
                <w:lang w:val="en-CA"/>
              </w:rPr>
              <w:t>For students with a 3.0 GPA at end of second semester; they enrol with the University Partnership Program. Students take one or more courses at York U while completing their program at the college. Transfer credits earned in the Liberal Arts program combined with university credits earned through LAT allow students to enter the third year of a BA at York U</w:t>
            </w:r>
          </w:p>
          <w:p w:rsidR="00F73EC1" w:rsidRPr="00CF7E58" w:rsidRDefault="00AC2F01" w:rsidP="00F73EC1">
            <w:pPr>
              <w:numPr>
                <w:ilvl w:val="0"/>
                <w:numId w:val="36"/>
              </w:numPr>
              <w:rPr>
                <w:rFonts w:cs="Arial"/>
                <w:sz w:val="20"/>
                <w:lang w:val="en-CA"/>
              </w:rPr>
            </w:pPr>
            <w:r w:rsidRPr="00CF7E58">
              <w:rPr>
                <w:rFonts w:cs="Arial"/>
                <w:sz w:val="20"/>
                <w:lang w:val="en-CA"/>
              </w:rPr>
              <w:t>If a student has previously attended university, he/she is not normally eligible for the partnership program with York.</w:t>
            </w:r>
          </w:p>
          <w:p w:rsidR="00AC2F01" w:rsidRPr="00CF7E58" w:rsidRDefault="00AC2F01" w:rsidP="00AC2F01">
            <w:pPr>
              <w:rPr>
                <w:rFonts w:cs="Arial"/>
                <w:sz w:val="20"/>
                <w:lang w:val="en-CA"/>
              </w:rPr>
            </w:pPr>
          </w:p>
          <w:p w:rsidR="00AC2F01" w:rsidRPr="00CF7E58" w:rsidRDefault="00AC2F01" w:rsidP="00AC2F01">
            <w:pPr>
              <w:rPr>
                <w:rFonts w:cs="Arial"/>
                <w:sz w:val="20"/>
                <w:lang w:val="en-CA"/>
              </w:rPr>
            </w:pPr>
            <w:r w:rsidRPr="00CF7E58">
              <w:rPr>
                <w:rFonts w:cs="Arial"/>
                <w:b/>
                <w:sz w:val="20"/>
                <w:lang w:val="en-CA"/>
              </w:rPr>
              <w:t>Sheridan College – General Arts and Science – University Profile: 2 years or 16 months continuous</w:t>
            </w:r>
            <w:r w:rsidRPr="00CF7E58">
              <w:rPr>
                <w:rFonts w:cs="Arial"/>
                <w:sz w:val="20"/>
                <w:lang w:val="en-CA"/>
              </w:rPr>
              <w:t>.</w:t>
            </w:r>
          </w:p>
          <w:p w:rsidR="00AC2F01" w:rsidRPr="00CF7E58" w:rsidRDefault="00AC2F01" w:rsidP="00AC2F01">
            <w:pPr>
              <w:numPr>
                <w:ilvl w:val="0"/>
                <w:numId w:val="37"/>
              </w:numPr>
              <w:rPr>
                <w:rFonts w:cs="Arial"/>
                <w:sz w:val="20"/>
                <w:lang w:val="en-CA"/>
              </w:rPr>
            </w:pPr>
            <w:r w:rsidRPr="00CF7E58">
              <w:rPr>
                <w:rFonts w:cs="Arial"/>
                <w:sz w:val="20"/>
                <w:lang w:val="en-CA"/>
              </w:rPr>
              <w:t>students who stay for one year earn a Certicate and possible university credits</w:t>
            </w:r>
          </w:p>
          <w:p w:rsidR="00AC2F01" w:rsidRPr="00CF7E58" w:rsidRDefault="00AC2F01" w:rsidP="00AC2F01">
            <w:pPr>
              <w:numPr>
                <w:ilvl w:val="0"/>
                <w:numId w:val="37"/>
              </w:numPr>
              <w:rPr>
                <w:rFonts w:cs="Arial"/>
                <w:sz w:val="20"/>
                <w:lang w:val="en-CA"/>
              </w:rPr>
            </w:pPr>
            <w:r w:rsidRPr="00CF7E58">
              <w:rPr>
                <w:rFonts w:cs="Arial"/>
                <w:sz w:val="20"/>
                <w:lang w:val="en-CA"/>
              </w:rPr>
              <w:t>students who stay for two years earn a Diploma and university credits</w:t>
            </w:r>
          </w:p>
          <w:p w:rsidR="00AC2F01" w:rsidRPr="00CF7E58" w:rsidRDefault="00AC2F01" w:rsidP="00AC2F01">
            <w:pPr>
              <w:numPr>
                <w:ilvl w:val="0"/>
                <w:numId w:val="37"/>
              </w:numPr>
              <w:rPr>
                <w:rFonts w:cs="Arial"/>
                <w:sz w:val="20"/>
                <w:lang w:val="en-CA"/>
              </w:rPr>
            </w:pPr>
            <w:r w:rsidRPr="00CF7E58">
              <w:rPr>
                <w:rFonts w:cs="Arial"/>
                <w:sz w:val="20"/>
                <w:lang w:val="en-CA"/>
              </w:rPr>
              <w:t>English Literature, Philosophy, Psychology, Sociology + range of electives.</w:t>
            </w:r>
          </w:p>
          <w:p w:rsidR="003333EC" w:rsidRPr="00CF7E58" w:rsidRDefault="00AC2F01" w:rsidP="003333EC">
            <w:pPr>
              <w:numPr>
                <w:ilvl w:val="0"/>
                <w:numId w:val="37"/>
              </w:numPr>
              <w:rPr>
                <w:rFonts w:cs="Arial"/>
                <w:sz w:val="20"/>
                <w:lang w:val="en-CA"/>
              </w:rPr>
            </w:pPr>
            <w:r w:rsidRPr="00CF7E58">
              <w:rPr>
                <w:rFonts w:cs="Arial"/>
                <w:sz w:val="20"/>
                <w:lang w:val="en-CA"/>
              </w:rPr>
              <w:t>Successful completion of the 2-year program allows students to enter third year at the following 6 universities</w:t>
            </w:r>
            <w:r w:rsidRPr="00CF7E58">
              <w:rPr>
                <w:rFonts w:cs="Arial"/>
                <w:b/>
                <w:sz w:val="20"/>
                <w:lang w:val="en-CA"/>
              </w:rPr>
              <w:t xml:space="preserve">: Athabasca U, Bishop’s U, Canisius College </w:t>
            </w:r>
            <w:r w:rsidRPr="00CF7E58">
              <w:rPr>
                <w:rFonts w:cs="Arial"/>
                <w:sz w:val="20"/>
                <w:lang w:val="en-CA"/>
              </w:rPr>
              <w:t>(NY)</w:t>
            </w:r>
            <w:r w:rsidRPr="00CF7E58">
              <w:rPr>
                <w:rFonts w:cs="Arial"/>
                <w:b/>
                <w:sz w:val="20"/>
                <w:lang w:val="en-CA"/>
              </w:rPr>
              <w:t xml:space="preserve">, Daeman College </w:t>
            </w:r>
            <w:r w:rsidRPr="00CF7E58">
              <w:rPr>
                <w:rFonts w:cs="Arial"/>
                <w:sz w:val="20"/>
                <w:lang w:val="en-CA"/>
              </w:rPr>
              <w:t>(NY)</w:t>
            </w:r>
            <w:r w:rsidRPr="00CF7E58">
              <w:rPr>
                <w:rFonts w:cs="Arial"/>
                <w:b/>
                <w:sz w:val="20"/>
                <w:lang w:val="en-CA"/>
              </w:rPr>
              <w:t xml:space="preserve">, D’Youville College, </w:t>
            </w:r>
            <w:r w:rsidRPr="00CF7E58">
              <w:rPr>
                <w:rFonts w:cs="Arial"/>
                <w:sz w:val="20"/>
                <w:lang w:val="en-CA"/>
              </w:rPr>
              <w:t>(NY)</w:t>
            </w:r>
            <w:r w:rsidRPr="00CF7E58">
              <w:rPr>
                <w:rFonts w:cs="Arial"/>
                <w:b/>
                <w:sz w:val="20"/>
                <w:lang w:val="en-CA"/>
              </w:rPr>
              <w:t>, Thompson Rivers U, Simon Fraser U</w:t>
            </w:r>
            <w:r w:rsidRPr="00CF7E58">
              <w:rPr>
                <w:rFonts w:cs="Arial"/>
                <w:sz w:val="20"/>
                <w:lang w:val="en-CA"/>
              </w:rPr>
              <w:t>.</w:t>
            </w:r>
          </w:p>
          <w:p w:rsidR="003333EC" w:rsidRPr="00CF7E58" w:rsidRDefault="00AC2F01" w:rsidP="003333EC">
            <w:pPr>
              <w:numPr>
                <w:ilvl w:val="0"/>
                <w:numId w:val="37"/>
              </w:numPr>
              <w:rPr>
                <w:rFonts w:cs="Arial"/>
                <w:sz w:val="20"/>
                <w:lang w:val="en-CA"/>
              </w:rPr>
            </w:pPr>
            <w:r w:rsidRPr="00CF7E58">
              <w:rPr>
                <w:rFonts w:cs="Arial"/>
                <w:sz w:val="20"/>
              </w:rPr>
              <w:t xml:space="preserve">In addition, although Sheridan has no formal agreement with </w:t>
            </w:r>
            <w:r w:rsidRPr="00CF7E58">
              <w:rPr>
                <w:rFonts w:cs="Arial"/>
                <w:b/>
                <w:bCs/>
                <w:sz w:val="20"/>
              </w:rPr>
              <w:t>York U</w:t>
            </w:r>
            <w:r w:rsidRPr="00CF7E58">
              <w:rPr>
                <w:rFonts w:cs="Arial"/>
                <w:sz w:val="20"/>
              </w:rPr>
              <w:t xml:space="preserve">, students are eligible for admission </w:t>
            </w:r>
            <w:r w:rsidRPr="00CF7E58">
              <w:rPr>
                <w:rFonts w:cs="Arial"/>
                <w:bCs/>
                <w:sz w:val="20"/>
              </w:rPr>
              <w:t xml:space="preserve">to second year </w:t>
            </w:r>
            <w:r w:rsidRPr="00CF7E58">
              <w:rPr>
                <w:rFonts w:cs="Arial"/>
                <w:sz w:val="20"/>
              </w:rPr>
              <w:t>if they</w:t>
            </w:r>
            <w:r w:rsidR="003333EC" w:rsidRPr="00CF7E58">
              <w:rPr>
                <w:rFonts w:cs="Arial"/>
                <w:sz w:val="20"/>
              </w:rPr>
              <w:t xml:space="preserve"> successfully complete</w:t>
            </w:r>
            <w:r w:rsidRPr="00CF7E58">
              <w:rPr>
                <w:rFonts w:cs="Arial"/>
                <w:sz w:val="20"/>
              </w:rPr>
              <w:t xml:space="preserve"> the University Profile (four terms) with a minimum 3.0 GPA.</w:t>
            </w:r>
            <w:r w:rsidR="003333EC" w:rsidRPr="00CF7E58">
              <w:rPr>
                <w:rFonts w:cs="Arial"/>
                <w:sz w:val="20"/>
              </w:rPr>
              <w:t xml:space="preserve"> </w:t>
            </w:r>
          </w:p>
          <w:p w:rsidR="003333EC" w:rsidRPr="00CF7E58" w:rsidRDefault="00AC2F01" w:rsidP="003333EC">
            <w:pPr>
              <w:numPr>
                <w:ilvl w:val="0"/>
                <w:numId w:val="37"/>
              </w:numPr>
              <w:rPr>
                <w:rFonts w:cs="Arial"/>
                <w:sz w:val="20"/>
                <w:lang w:val="en-CA"/>
              </w:rPr>
            </w:pPr>
            <w:r w:rsidRPr="00CF7E58">
              <w:rPr>
                <w:rFonts w:cs="Arial"/>
                <w:sz w:val="20"/>
              </w:rPr>
              <w:t xml:space="preserve">Some programs require a higher GPA for admission or have supplementary application requirements </w:t>
            </w:r>
          </w:p>
          <w:p w:rsidR="00AC2F01" w:rsidRPr="003333EC" w:rsidRDefault="003333EC" w:rsidP="003333EC">
            <w:pPr>
              <w:numPr>
                <w:ilvl w:val="0"/>
                <w:numId w:val="37"/>
              </w:numPr>
              <w:rPr>
                <w:rFonts w:cs="Arial"/>
                <w:color w:val="00B050"/>
                <w:sz w:val="20"/>
                <w:lang w:val="en-CA"/>
              </w:rPr>
            </w:pPr>
            <w:r w:rsidRPr="00CF7E58">
              <w:rPr>
                <w:rFonts w:cs="Arial"/>
                <w:sz w:val="20"/>
              </w:rPr>
              <w:lastRenderedPageBreak/>
              <w:t>Students who</w:t>
            </w:r>
            <w:r w:rsidR="00AC2F01" w:rsidRPr="00CF7E58">
              <w:rPr>
                <w:rFonts w:cs="Arial"/>
                <w:sz w:val="20"/>
              </w:rPr>
              <w:t xml:space="preserve"> apply after one year receive up to 2.5 credits</w:t>
            </w:r>
          </w:p>
        </w:tc>
      </w:tr>
    </w:tbl>
    <w:p w:rsidR="00276F6B" w:rsidRDefault="00276F6B" w:rsidP="00276F6B">
      <w:pPr>
        <w:rPr>
          <w:rFonts w:cs="Arial"/>
          <w:b/>
        </w:rPr>
      </w:pPr>
    </w:p>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4"/>
        <w:gridCol w:w="6534"/>
      </w:tblGrid>
      <w:tr w:rsidR="00276F6B" w:rsidRPr="000C3BAA" w:rsidTr="000C3BAA">
        <w:tc>
          <w:tcPr>
            <w:tcW w:w="6534" w:type="dxa"/>
            <w:shd w:val="clear" w:color="auto" w:fill="C0C0C0"/>
            <w:tcMar>
              <w:top w:w="113" w:type="dxa"/>
              <w:bottom w:w="113" w:type="dxa"/>
            </w:tcMar>
          </w:tcPr>
          <w:p w:rsidR="00276F6B" w:rsidRPr="000C3BAA" w:rsidRDefault="00276F6B" w:rsidP="000C3BAA">
            <w:pPr>
              <w:tabs>
                <w:tab w:val="left" w:pos="72"/>
              </w:tabs>
              <w:rPr>
                <w:rFonts w:cs="Arial"/>
                <w:b/>
              </w:rPr>
            </w:pPr>
            <w:r w:rsidRPr="000C3BAA">
              <w:rPr>
                <w:rFonts w:cs="Arial"/>
                <w:b/>
              </w:rPr>
              <w:t>6.0 Enrolment Trends</w:t>
            </w:r>
          </w:p>
        </w:tc>
        <w:tc>
          <w:tcPr>
            <w:tcW w:w="6534" w:type="dxa"/>
            <w:shd w:val="clear" w:color="auto" w:fill="C0C0C0"/>
            <w:tcMar>
              <w:top w:w="113" w:type="dxa"/>
              <w:bottom w:w="113" w:type="dxa"/>
            </w:tcMar>
          </w:tcPr>
          <w:p w:rsidR="00276F6B" w:rsidRPr="000C3BAA" w:rsidRDefault="00276F6B" w:rsidP="00276F6B">
            <w:pPr>
              <w:rPr>
                <w:rFonts w:cs="Arial"/>
                <w:b/>
              </w:rPr>
            </w:pPr>
            <w:r w:rsidRPr="000C3BAA">
              <w:rPr>
                <w:rFonts w:cs="Arial"/>
                <w:b/>
              </w:rPr>
              <w:t>Summary of Key Findings</w:t>
            </w:r>
          </w:p>
        </w:tc>
      </w:tr>
      <w:tr w:rsidR="00276F6B" w:rsidRPr="000C3BAA" w:rsidTr="000C3BAA">
        <w:tc>
          <w:tcPr>
            <w:tcW w:w="6534" w:type="dxa"/>
            <w:shd w:val="clear" w:color="auto" w:fill="auto"/>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 xml:space="preserve">6.1 Demand for the Program </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10"/>
              </w:numPr>
              <w:tabs>
                <w:tab w:val="clear" w:pos="720"/>
                <w:tab w:val="num" w:pos="360"/>
              </w:tabs>
              <w:ind w:left="360"/>
              <w:rPr>
                <w:rFonts w:cs="Arial"/>
                <w:sz w:val="20"/>
              </w:rPr>
            </w:pPr>
            <w:r w:rsidRPr="000C3BAA">
              <w:rPr>
                <w:rFonts w:cs="Arial"/>
                <w:sz w:val="20"/>
              </w:rPr>
              <w:t>Patterns in the number of program applicants, qualified applicants, and actual registrants over the past 6 years</w:t>
            </w:r>
          </w:p>
          <w:p w:rsidR="00276F6B" w:rsidRPr="000C3BAA" w:rsidRDefault="00276F6B" w:rsidP="000C3BAA">
            <w:pPr>
              <w:numPr>
                <w:ilvl w:val="0"/>
                <w:numId w:val="10"/>
              </w:numPr>
              <w:tabs>
                <w:tab w:val="clear" w:pos="720"/>
                <w:tab w:val="num" w:pos="360"/>
              </w:tabs>
              <w:ind w:left="360"/>
              <w:rPr>
                <w:rFonts w:cs="Arial"/>
                <w:sz w:val="20"/>
              </w:rPr>
            </w:pPr>
            <w:r w:rsidRPr="000C3BAA">
              <w:rPr>
                <w:rFonts w:cs="Arial"/>
                <w:sz w:val="20"/>
              </w:rPr>
              <w:t xml:space="preserve">Changes, if any, in the student demographic profile, including level of maturity, diversity, prior knowledge, technological literacy, work experience, and expectations </w:t>
            </w:r>
          </w:p>
          <w:p w:rsidR="00276F6B" w:rsidRPr="000C3BAA" w:rsidRDefault="00276F6B" w:rsidP="000C3BAA">
            <w:pPr>
              <w:numPr>
                <w:ilvl w:val="0"/>
                <w:numId w:val="10"/>
              </w:numPr>
              <w:tabs>
                <w:tab w:val="clear" w:pos="720"/>
                <w:tab w:val="num" w:pos="360"/>
              </w:tabs>
              <w:ind w:left="360"/>
              <w:rPr>
                <w:rFonts w:cs="Arial"/>
                <w:b/>
                <w:sz w:val="20"/>
              </w:rPr>
            </w:pPr>
            <w:r w:rsidRPr="000C3BAA">
              <w:rPr>
                <w:rFonts w:cs="Arial"/>
                <w:sz w:val="20"/>
              </w:rPr>
              <w:t xml:space="preserve">Impact, if any, of this changing student profile on program curriculum </w:t>
            </w:r>
          </w:p>
        </w:tc>
        <w:tc>
          <w:tcPr>
            <w:tcW w:w="6534" w:type="dxa"/>
            <w:shd w:val="clear" w:color="auto" w:fill="auto"/>
            <w:tcMar>
              <w:top w:w="113" w:type="dxa"/>
              <w:bottom w:w="113" w:type="dxa"/>
            </w:tcMar>
          </w:tcPr>
          <w:p w:rsidR="0023015B" w:rsidRPr="00CF7E58" w:rsidRDefault="0023015B" w:rsidP="00CF7E58">
            <w:pPr>
              <w:jc w:val="both"/>
              <w:rPr>
                <w:rFonts w:cs="Arial"/>
                <w:sz w:val="20"/>
              </w:rPr>
            </w:pPr>
            <w:r w:rsidRPr="00CF7E58">
              <w:rPr>
                <w:rFonts w:cs="Arial"/>
                <w:sz w:val="20"/>
              </w:rPr>
              <w:t>There has been a decreasing trend of applications to the Fleming GSU program over the last 5 years.  On the other hand, registrations to the program ha</w:t>
            </w:r>
            <w:r w:rsidR="00CF7E58">
              <w:rPr>
                <w:rFonts w:cs="Arial"/>
                <w:sz w:val="20"/>
              </w:rPr>
              <w:t>ve</w:t>
            </w:r>
            <w:r w:rsidRPr="00CF7E58">
              <w:rPr>
                <w:rFonts w:cs="Arial"/>
                <w:sz w:val="20"/>
              </w:rPr>
              <w:t xml:space="preserve"> been more variable</w:t>
            </w:r>
            <w:r w:rsidR="00CF7E58">
              <w:rPr>
                <w:rFonts w:cs="Arial"/>
                <w:sz w:val="20"/>
              </w:rPr>
              <w:t xml:space="preserve"> (</w:t>
            </w:r>
            <w:r w:rsidR="00CF7E58" w:rsidRPr="00CF7E58">
              <w:rPr>
                <w:rFonts w:cs="Arial"/>
                <w:sz w:val="20"/>
                <w:highlight w:val="cyan"/>
              </w:rPr>
              <w:t xml:space="preserve">See Appendix </w:t>
            </w:r>
            <w:r w:rsidR="00CF7E58">
              <w:rPr>
                <w:rFonts w:cs="Arial"/>
                <w:sz w:val="20"/>
                <w:highlight w:val="cyan"/>
              </w:rPr>
              <w:t>N</w:t>
            </w:r>
            <w:r w:rsidR="00CF7E58" w:rsidRPr="00CF7E58">
              <w:rPr>
                <w:rFonts w:cs="Arial"/>
                <w:sz w:val="20"/>
                <w:highlight w:val="cyan"/>
              </w:rPr>
              <w:t>)</w:t>
            </w:r>
            <w:r w:rsidRPr="00CF7E58">
              <w:rPr>
                <w:rFonts w:cs="Arial"/>
                <w:sz w:val="20"/>
                <w:highlight w:val="cyan"/>
              </w:rPr>
              <w:t>.</w:t>
            </w:r>
          </w:p>
          <w:p w:rsidR="0023015B" w:rsidRPr="00CF7E58" w:rsidRDefault="0023015B" w:rsidP="00CF7E58">
            <w:pPr>
              <w:jc w:val="both"/>
              <w:rPr>
                <w:rFonts w:cs="Arial"/>
                <w:sz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921"/>
              <w:gridCol w:w="922"/>
              <w:gridCol w:w="922"/>
              <w:gridCol w:w="777"/>
              <w:gridCol w:w="922"/>
            </w:tblGrid>
            <w:tr w:rsidR="0023015B" w:rsidRPr="00CF7E58" w:rsidTr="0023015B">
              <w:tc>
                <w:tcPr>
                  <w:tcW w:w="922" w:type="dxa"/>
                </w:tcPr>
                <w:p w:rsidR="0023015B" w:rsidRPr="00CF7E58" w:rsidRDefault="0023015B" w:rsidP="00CF7E58">
                  <w:pPr>
                    <w:jc w:val="both"/>
                    <w:rPr>
                      <w:rFonts w:cs="Arial"/>
                      <w:sz w:val="20"/>
                    </w:rPr>
                  </w:pPr>
                </w:p>
              </w:tc>
              <w:tc>
                <w:tcPr>
                  <w:tcW w:w="921" w:type="dxa"/>
                </w:tcPr>
                <w:p w:rsidR="0023015B" w:rsidRPr="00CF7E58" w:rsidRDefault="0023015B" w:rsidP="00CF7E58">
                  <w:pPr>
                    <w:jc w:val="both"/>
                    <w:rPr>
                      <w:rFonts w:cs="Arial"/>
                      <w:sz w:val="20"/>
                    </w:rPr>
                  </w:pPr>
                  <w:r w:rsidRPr="00CF7E58">
                    <w:rPr>
                      <w:rFonts w:cs="Arial"/>
                      <w:sz w:val="20"/>
                    </w:rPr>
                    <w:t>2007</w:t>
                  </w:r>
                </w:p>
              </w:tc>
              <w:tc>
                <w:tcPr>
                  <w:tcW w:w="922" w:type="dxa"/>
                </w:tcPr>
                <w:p w:rsidR="0023015B" w:rsidRPr="00CF7E58" w:rsidRDefault="0023015B" w:rsidP="00CF7E58">
                  <w:pPr>
                    <w:jc w:val="both"/>
                    <w:rPr>
                      <w:rFonts w:cs="Arial"/>
                      <w:sz w:val="20"/>
                    </w:rPr>
                  </w:pPr>
                  <w:r w:rsidRPr="00CF7E58">
                    <w:rPr>
                      <w:rFonts w:cs="Arial"/>
                      <w:sz w:val="20"/>
                    </w:rPr>
                    <w:t>2008</w:t>
                  </w:r>
                </w:p>
              </w:tc>
              <w:tc>
                <w:tcPr>
                  <w:tcW w:w="922" w:type="dxa"/>
                </w:tcPr>
                <w:p w:rsidR="0023015B" w:rsidRPr="00CF7E58" w:rsidRDefault="0023015B" w:rsidP="00CF7E58">
                  <w:pPr>
                    <w:jc w:val="both"/>
                    <w:rPr>
                      <w:rFonts w:cs="Arial"/>
                      <w:sz w:val="20"/>
                    </w:rPr>
                  </w:pPr>
                  <w:r w:rsidRPr="00CF7E58">
                    <w:rPr>
                      <w:rFonts w:cs="Arial"/>
                      <w:sz w:val="20"/>
                    </w:rPr>
                    <w:t>2009</w:t>
                  </w:r>
                </w:p>
              </w:tc>
              <w:tc>
                <w:tcPr>
                  <w:tcW w:w="777" w:type="dxa"/>
                </w:tcPr>
                <w:p w:rsidR="0023015B" w:rsidRPr="00CF7E58" w:rsidRDefault="0023015B" w:rsidP="00CF7E58">
                  <w:pPr>
                    <w:jc w:val="both"/>
                    <w:rPr>
                      <w:rFonts w:cs="Arial"/>
                      <w:sz w:val="20"/>
                    </w:rPr>
                  </w:pPr>
                  <w:r w:rsidRPr="00CF7E58">
                    <w:rPr>
                      <w:rFonts w:cs="Arial"/>
                      <w:sz w:val="20"/>
                    </w:rPr>
                    <w:t>2010</w:t>
                  </w:r>
                </w:p>
              </w:tc>
              <w:tc>
                <w:tcPr>
                  <w:tcW w:w="922" w:type="dxa"/>
                </w:tcPr>
                <w:p w:rsidR="0023015B" w:rsidRPr="00CF7E58" w:rsidRDefault="0023015B" w:rsidP="00CF7E58">
                  <w:pPr>
                    <w:jc w:val="both"/>
                    <w:rPr>
                      <w:rFonts w:cs="Arial"/>
                      <w:sz w:val="20"/>
                    </w:rPr>
                  </w:pPr>
                  <w:r w:rsidRPr="00CF7E58">
                    <w:rPr>
                      <w:rFonts w:cs="Arial"/>
                      <w:sz w:val="20"/>
                    </w:rPr>
                    <w:t>2011</w:t>
                  </w:r>
                </w:p>
              </w:tc>
            </w:tr>
            <w:tr w:rsidR="0023015B" w:rsidRPr="00CF7E58" w:rsidTr="0023015B">
              <w:tc>
                <w:tcPr>
                  <w:tcW w:w="922" w:type="dxa"/>
                </w:tcPr>
                <w:p w:rsidR="0023015B" w:rsidRPr="00CF7E58" w:rsidRDefault="0023015B" w:rsidP="00CF7E58">
                  <w:pPr>
                    <w:jc w:val="both"/>
                    <w:rPr>
                      <w:rFonts w:cs="Arial"/>
                      <w:sz w:val="20"/>
                    </w:rPr>
                  </w:pPr>
                  <w:r w:rsidRPr="00CF7E58">
                    <w:rPr>
                      <w:rFonts w:cs="Arial"/>
                      <w:sz w:val="20"/>
                    </w:rPr>
                    <w:t>Applications</w:t>
                  </w:r>
                </w:p>
              </w:tc>
              <w:tc>
                <w:tcPr>
                  <w:tcW w:w="921" w:type="dxa"/>
                </w:tcPr>
                <w:p w:rsidR="0023015B" w:rsidRPr="00CF7E58" w:rsidRDefault="0023015B" w:rsidP="00CF7E58">
                  <w:pPr>
                    <w:jc w:val="both"/>
                    <w:rPr>
                      <w:rFonts w:cs="Arial"/>
                      <w:sz w:val="20"/>
                    </w:rPr>
                  </w:pPr>
                  <w:r w:rsidRPr="00CF7E58">
                    <w:rPr>
                      <w:rFonts w:cs="Arial"/>
                      <w:sz w:val="20"/>
                    </w:rPr>
                    <w:t>232</w:t>
                  </w:r>
                </w:p>
              </w:tc>
              <w:tc>
                <w:tcPr>
                  <w:tcW w:w="922" w:type="dxa"/>
                </w:tcPr>
                <w:p w:rsidR="0023015B" w:rsidRPr="00CF7E58" w:rsidRDefault="0023015B" w:rsidP="00CF7E58">
                  <w:pPr>
                    <w:jc w:val="both"/>
                    <w:rPr>
                      <w:rFonts w:cs="Arial"/>
                      <w:sz w:val="20"/>
                    </w:rPr>
                  </w:pPr>
                  <w:r w:rsidRPr="00CF7E58">
                    <w:rPr>
                      <w:rFonts w:cs="Arial"/>
                      <w:sz w:val="20"/>
                    </w:rPr>
                    <w:t>217</w:t>
                  </w:r>
                </w:p>
              </w:tc>
              <w:tc>
                <w:tcPr>
                  <w:tcW w:w="922" w:type="dxa"/>
                </w:tcPr>
                <w:p w:rsidR="0023015B" w:rsidRPr="00CF7E58" w:rsidRDefault="0023015B" w:rsidP="00CF7E58">
                  <w:pPr>
                    <w:jc w:val="both"/>
                    <w:rPr>
                      <w:rFonts w:cs="Arial"/>
                      <w:sz w:val="20"/>
                    </w:rPr>
                  </w:pPr>
                  <w:r w:rsidRPr="00CF7E58">
                    <w:rPr>
                      <w:rFonts w:cs="Arial"/>
                      <w:sz w:val="20"/>
                    </w:rPr>
                    <w:t>220</w:t>
                  </w:r>
                </w:p>
              </w:tc>
              <w:tc>
                <w:tcPr>
                  <w:tcW w:w="777" w:type="dxa"/>
                </w:tcPr>
                <w:p w:rsidR="0023015B" w:rsidRPr="00CF7E58" w:rsidRDefault="0023015B" w:rsidP="00CF7E58">
                  <w:pPr>
                    <w:jc w:val="both"/>
                    <w:rPr>
                      <w:rFonts w:cs="Arial"/>
                      <w:sz w:val="20"/>
                    </w:rPr>
                  </w:pPr>
                  <w:r w:rsidRPr="00CF7E58">
                    <w:rPr>
                      <w:rFonts w:cs="Arial"/>
                      <w:sz w:val="20"/>
                    </w:rPr>
                    <w:t>205</w:t>
                  </w:r>
                </w:p>
              </w:tc>
              <w:tc>
                <w:tcPr>
                  <w:tcW w:w="922" w:type="dxa"/>
                </w:tcPr>
                <w:p w:rsidR="0023015B" w:rsidRPr="00CF7E58" w:rsidRDefault="0023015B" w:rsidP="00CF7E58">
                  <w:pPr>
                    <w:jc w:val="both"/>
                    <w:rPr>
                      <w:rFonts w:cs="Arial"/>
                      <w:sz w:val="20"/>
                    </w:rPr>
                  </w:pPr>
                  <w:r w:rsidRPr="00CF7E58">
                    <w:rPr>
                      <w:rFonts w:cs="Arial"/>
                      <w:sz w:val="20"/>
                    </w:rPr>
                    <w:t>185</w:t>
                  </w:r>
                </w:p>
              </w:tc>
            </w:tr>
            <w:tr w:rsidR="0023015B" w:rsidRPr="00CF7E58" w:rsidTr="0023015B">
              <w:tc>
                <w:tcPr>
                  <w:tcW w:w="922" w:type="dxa"/>
                </w:tcPr>
                <w:p w:rsidR="0023015B" w:rsidRPr="00CF7E58" w:rsidRDefault="0023015B" w:rsidP="00CF7E58">
                  <w:pPr>
                    <w:jc w:val="both"/>
                    <w:rPr>
                      <w:rFonts w:cs="Arial"/>
                      <w:sz w:val="20"/>
                    </w:rPr>
                  </w:pPr>
                  <w:r w:rsidRPr="00CF7E58">
                    <w:rPr>
                      <w:rFonts w:cs="Arial"/>
                      <w:sz w:val="20"/>
                    </w:rPr>
                    <w:t>Registration</w:t>
                  </w:r>
                </w:p>
              </w:tc>
              <w:tc>
                <w:tcPr>
                  <w:tcW w:w="921" w:type="dxa"/>
                </w:tcPr>
                <w:p w:rsidR="0023015B" w:rsidRPr="00CF7E58" w:rsidRDefault="0023015B" w:rsidP="00CF7E58">
                  <w:pPr>
                    <w:jc w:val="both"/>
                    <w:rPr>
                      <w:rFonts w:cs="Arial"/>
                      <w:sz w:val="20"/>
                    </w:rPr>
                  </w:pPr>
                  <w:r w:rsidRPr="00CF7E58">
                    <w:rPr>
                      <w:rFonts w:cs="Arial"/>
                      <w:sz w:val="20"/>
                    </w:rPr>
                    <w:t>84</w:t>
                  </w:r>
                </w:p>
              </w:tc>
              <w:tc>
                <w:tcPr>
                  <w:tcW w:w="922" w:type="dxa"/>
                </w:tcPr>
                <w:p w:rsidR="0023015B" w:rsidRPr="00CF7E58" w:rsidRDefault="0023015B" w:rsidP="00CF7E58">
                  <w:pPr>
                    <w:jc w:val="both"/>
                    <w:rPr>
                      <w:rFonts w:cs="Arial"/>
                      <w:sz w:val="20"/>
                    </w:rPr>
                  </w:pPr>
                  <w:r w:rsidRPr="00CF7E58">
                    <w:rPr>
                      <w:rFonts w:cs="Arial"/>
                      <w:sz w:val="20"/>
                    </w:rPr>
                    <w:t>71</w:t>
                  </w:r>
                </w:p>
              </w:tc>
              <w:tc>
                <w:tcPr>
                  <w:tcW w:w="922" w:type="dxa"/>
                </w:tcPr>
                <w:p w:rsidR="0023015B" w:rsidRPr="00CF7E58" w:rsidRDefault="0023015B" w:rsidP="00CF7E58">
                  <w:pPr>
                    <w:jc w:val="both"/>
                    <w:rPr>
                      <w:rFonts w:cs="Arial"/>
                      <w:sz w:val="20"/>
                    </w:rPr>
                  </w:pPr>
                  <w:r w:rsidRPr="00CF7E58">
                    <w:rPr>
                      <w:rFonts w:cs="Arial"/>
                      <w:sz w:val="20"/>
                    </w:rPr>
                    <w:t>92</w:t>
                  </w:r>
                </w:p>
              </w:tc>
              <w:tc>
                <w:tcPr>
                  <w:tcW w:w="777" w:type="dxa"/>
                </w:tcPr>
                <w:p w:rsidR="0023015B" w:rsidRPr="00CF7E58" w:rsidRDefault="0023015B" w:rsidP="00CF7E58">
                  <w:pPr>
                    <w:jc w:val="both"/>
                    <w:rPr>
                      <w:rFonts w:cs="Arial"/>
                      <w:sz w:val="20"/>
                    </w:rPr>
                  </w:pPr>
                  <w:r w:rsidRPr="00CF7E58">
                    <w:rPr>
                      <w:rFonts w:cs="Arial"/>
                      <w:sz w:val="20"/>
                    </w:rPr>
                    <w:t>86</w:t>
                  </w:r>
                </w:p>
              </w:tc>
              <w:tc>
                <w:tcPr>
                  <w:tcW w:w="922" w:type="dxa"/>
                </w:tcPr>
                <w:p w:rsidR="0023015B" w:rsidRPr="00CF7E58" w:rsidRDefault="0023015B" w:rsidP="00CF7E58">
                  <w:pPr>
                    <w:jc w:val="both"/>
                    <w:rPr>
                      <w:rFonts w:cs="Arial"/>
                      <w:sz w:val="20"/>
                    </w:rPr>
                  </w:pPr>
                  <w:r w:rsidRPr="00CF7E58">
                    <w:rPr>
                      <w:rFonts w:cs="Arial"/>
                      <w:sz w:val="20"/>
                    </w:rPr>
                    <w:t>90</w:t>
                  </w:r>
                </w:p>
              </w:tc>
            </w:tr>
          </w:tbl>
          <w:p w:rsidR="0023015B" w:rsidRPr="00CF7E58" w:rsidRDefault="0023015B" w:rsidP="00CF7E58">
            <w:pPr>
              <w:jc w:val="both"/>
              <w:rPr>
                <w:rFonts w:cs="Arial"/>
                <w:sz w:val="20"/>
                <w:highlight w:val="yellow"/>
              </w:rPr>
            </w:pPr>
          </w:p>
          <w:p w:rsidR="0023015B" w:rsidRDefault="0023015B" w:rsidP="0023015B">
            <w:pPr>
              <w:rPr>
                <w:rFonts w:cs="Arial"/>
                <w:b/>
                <w:color w:val="F79646"/>
                <w:sz w:val="20"/>
                <w:highlight w:val="yellow"/>
              </w:rPr>
            </w:pPr>
          </w:p>
          <w:p w:rsidR="0023015B" w:rsidRPr="00CF7E58" w:rsidRDefault="0023015B" w:rsidP="00CF7E58">
            <w:pPr>
              <w:jc w:val="both"/>
              <w:rPr>
                <w:rFonts w:cs="Arial"/>
                <w:sz w:val="20"/>
              </w:rPr>
            </w:pPr>
            <w:r w:rsidRPr="00CF7E58">
              <w:rPr>
                <w:rFonts w:cs="Arial"/>
                <w:sz w:val="20"/>
              </w:rPr>
              <w:t>In regards to trends of the student profile, from 2006 to 2011, the number of confirmed acceptances from non-direct students was higher than the number of confirmed acceptances of direct entry students</w:t>
            </w:r>
            <w:r w:rsidR="00CF7E58">
              <w:rPr>
                <w:rFonts w:cs="Arial"/>
                <w:sz w:val="20"/>
              </w:rPr>
              <w:t xml:space="preserve"> </w:t>
            </w:r>
            <w:r w:rsidR="00CF7E58" w:rsidRPr="00CF7E58">
              <w:rPr>
                <w:rFonts w:cs="Arial"/>
                <w:sz w:val="20"/>
                <w:highlight w:val="cyan"/>
              </w:rPr>
              <w:t>(See Appendix O)</w:t>
            </w:r>
            <w:r w:rsidRPr="00CF7E58">
              <w:rPr>
                <w:rFonts w:cs="Arial"/>
                <w:sz w:val="20"/>
                <w:highlight w:val="cyan"/>
              </w:rPr>
              <w:t>.</w:t>
            </w:r>
            <w:r w:rsidRPr="00CF7E58">
              <w:rPr>
                <w:rFonts w:cs="Arial"/>
                <w:sz w:val="20"/>
              </w:rPr>
              <w:t xml:space="preserve">  </w:t>
            </w:r>
          </w:p>
          <w:p w:rsidR="0023015B" w:rsidRPr="00CF7E58" w:rsidRDefault="0023015B" w:rsidP="00CF7E58">
            <w:pPr>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922"/>
              <w:gridCol w:w="921"/>
              <w:gridCol w:w="922"/>
              <w:gridCol w:w="922"/>
              <w:gridCol w:w="777"/>
              <w:gridCol w:w="922"/>
            </w:tblGrid>
            <w:tr w:rsidR="0023015B" w:rsidRPr="00CF7E58" w:rsidTr="0023015B">
              <w:tc>
                <w:tcPr>
                  <w:tcW w:w="922" w:type="dxa"/>
                </w:tcPr>
                <w:p w:rsidR="0023015B" w:rsidRPr="00CF7E58" w:rsidRDefault="0023015B" w:rsidP="00CF7E58">
                  <w:pPr>
                    <w:jc w:val="both"/>
                    <w:rPr>
                      <w:rFonts w:cs="Arial"/>
                      <w:sz w:val="20"/>
                    </w:rPr>
                  </w:pPr>
                </w:p>
              </w:tc>
              <w:tc>
                <w:tcPr>
                  <w:tcW w:w="922" w:type="dxa"/>
                </w:tcPr>
                <w:p w:rsidR="0023015B" w:rsidRPr="00CF7E58" w:rsidRDefault="0023015B" w:rsidP="00CF7E58">
                  <w:pPr>
                    <w:jc w:val="both"/>
                    <w:rPr>
                      <w:rFonts w:cs="Arial"/>
                      <w:sz w:val="20"/>
                    </w:rPr>
                  </w:pPr>
                  <w:r w:rsidRPr="00CF7E58">
                    <w:rPr>
                      <w:rFonts w:cs="Arial"/>
                      <w:sz w:val="20"/>
                    </w:rPr>
                    <w:t>2006</w:t>
                  </w:r>
                </w:p>
              </w:tc>
              <w:tc>
                <w:tcPr>
                  <w:tcW w:w="921" w:type="dxa"/>
                </w:tcPr>
                <w:p w:rsidR="0023015B" w:rsidRPr="00CF7E58" w:rsidRDefault="0023015B" w:rsidP="00CF7E58">
                  <w:pPr>
                    <w:jc w:val="both"/>
                    <w:rPr>
                      <w:rFonts w:cs="Arial"/>
                      <w:sz w:val="20"/>
                    </w:rPr>
                  </w:pPr>
                  <w:r w:rsidRPr="00CF7E58">
                    <w:rPr>
                      <w:rFonts w:cs="Arial"/>
                      <w:sz w:val="20"/>
                    </w:rPr>
                    <w:t>2007</w:t>
                  </w:r>
                </w:p>
              </w:tc>
              <w:tc>
                <w:tcPr>
                  <w:tcW w:w="922" w:type="dxa"/>
                </w:tcPr>
                <w:p w:rsidR="0023015B" w:rsidRPr="00CF7E58" w:rsidRDefault="0023015B" w:rsidP="00CF7E58">
                  <w:pPr>
                    <w:jc w:val="both"/>
                    <w:rPr>
                      <w:rFonts w:cs="Arial"/>
                      <w:sz w:val="20"/>
                    </w:rPr>
                  </w:pPr>
                  <w:r w:rsidRPr="00CF7E58">
                    <w:rPr>
                      <w:rFonts w:cs="Arial"/>
                      <w:sz w:val="20"/>
                    </w:rPr>
                    <w:t>2008</w:t>
                  </w:r>
                </w:p>
              </w:tc>
              <w:tc>
                <w:tcPr>
                  <w:tcW w:w="922" w:type="dxa"/>
                </w:tcPr>
                <w:p w:rsidR="0023015B" w:rsidRPr="00CF7E58" w:rsidRDefault="0023015B" w:rsidP="00CF7E58">
                  <w:pPr>
                    <w:jc w:val="both"/>
                    <w:rPr>
                      <w:rFonts w:cs="Arial"/>
                      <w:sz w:val="20"/>
                    </w:rPr>
                  </w:pPr>
                  <w:r w:rsidRPr="00CF7E58">
                    <w:rPr>
                      <w:rFonts w:cs="Arial"/>
                      <w:sz w:val="20"/>
                    </w:rPr>
                    <w:t>2009</w:t>
                  </w:r>
                </w:p>
              </w:tc>
              <w:tc>
                <w:tcPr>
                  <w:tcW w:w="777" w:type="dxa"/>
                </w:tcPr>
                <w:p w:rsidR="0023015B" w:rsidRPr="00CF7E58" w:rsidRDefault="0023015B" w:rsidP="00CF7E58">
                  <w:pPr>
                    <w:jc w:val="both"/>
                    <w:rPr>
                      <w:rFonts w:cs="Arial"/>
                      <w:sz w:val="20"/>
                    </w:rPr>
                  </w:pPr>
                  <w:r w:rsidRPr="00CF7E58">
                    <w:rPr>
                      <w:rFonts w:cs="Arial"/>
                      <w:sz w:val="20"/>
                    </w:rPr>
                    <w:t>2001</w:t>
                  </w:r>
                </w:p>
              </w:tc>
              <w:tc>
                <w:tcPr>
                  <w:tcW w:w="922" w:type="dxa"/>
                </w:tcPr>
                <w:p w:rsidR="0023015B" w:rsidRPr="00CF7E58" w:rsidRDefault="0023015B" w:rsidP="00CF7E58">
                  <w:pPr>
                    <w:jc w:val="both"/>
                    <w:rPr>
                      <w:rFonts w:cs="Arial"/>
                      <w:sz w:val="20"/>
                    </w:rPr>
                  </w:pPr>
                  <w:r w:rsidRPr="00CF7E58">
                    <w:rPr>
                      <w:rFonts w:cs="Arial"/>
                      <w:sz w:val="20"/>
                    </w:rPr>
                    <w:t>2011</w:t>
                  </w:r>
                </w:p>
              </w:tc>
            </w:tr>
            <w:tr w:rsidR="0023015B" w:rsidRPr="00CF7E58" w:rsidTr="0023015B">
              <w:tc>
                <w:tcPr>
                  <w:tcW w:w="922" w:type="dxa"/>
                </w:tcPr>
                <w:p w:rsidR="0023015B" w:rsidRPr="00CF7E58" w:rsidRDefault="0023015B" w:rsidP="00CF7E58">
                  <w:pPr>
                    <w:jc w:val="both"/>
                    <w:rPr>
                      <w:rFonts w:cs="Arial"/>
                      <w:sz w:val="20"/>
                    </w:rPr>
                  </w:pPr>
                  <w:r w:rsidRPr="00CF7E58">
                    <w:rPr>
                      <w:rFonts w:cs="Arial"/>
                      <w:sz w:val="20"/>
                    </w:rPr>
                    <w:t>Non-direct</w:t>
                  </w:r>
                </w:p>
              </w:tc>
              <w:tc>
                <w:tcPr>
                  <w:tcW w:w="922" w:type="dxa"/>
                </w:tcPr>
                <w:p w:rsidR="0023015B" w:rsidRPr="00CF7E58" w:rsidRDefault="0023015B" w:rsidP="00CF7E58">
                  <w:pPr>
                    <w:jc w:val="both"/>
                    <w:rPr>
                      <w:rFonts w:cs="Arial"/>
                      <w:sz w:val="20"/>
                    </w:rPr>
                  </w:pPr>
                  <w:r w:rsidRPr="00CF7E58">
                    <w:rPr>
                      <w:rFonts w:cs="Arial"/>
                      <w:sz w:val="20"/>
                    </w:rPr>
                    <w:t>48</w:t>
                  </w:r>
                </w:p>
              </w:tc>
              <w:tc>
                <w:tcPr>
                  <w:tcW w:w="921" w:type="dxa"/>
                </w:tcPr>
                <w:p w:rsidR="0023015B" w:rsidRPr="00CF7E58" w:rsidRDefault="0023015B" w:rsidP="00CF7E58">
                  <w:pPr>
                    <w:jc w:val="both"/>
                    <w:rPr>
                      <w:rFonts w:cs="Arial"/>
                      <w:sz w:val="20"/>
                    </w:rPr>
                  </w:pPr>
                  <w:r w:rsidRPr="00CF7E58">
                    <w:rPr>
                      <w:rFonts w:cs="Arial"/>
                      <w:sz w:val="20"/>
                    </w:rPr>
                    <w:t>55</w:t>
                  </w:r>
                </w:p>
              </w:tc>
              <w:tc>
                <w:tcPr>
                  <w:tcW w:w="922" w:type="dxa"/>
                </w:tcPr>
                <w:p w:rsidR="0023015B" w:rsidRPr="00CF7E58" w:rsidRDefault="0023015B" w:rsidP="00CF7E58">
                  <w:pPr>
                    <w:jc w:val="both"/>
                    <w:rPr>
                      <w:rFonts w:cs="Arial"/>
                      <w:sz w:val="20"/>
                    </w:rPr>
                  </w:pPr>
                  <w:r w:rsidRPr="00CF7E58">
                    <w:rPr>
                      <w:rFonts w:cs="Arial"/>
                      <w:sz w:val="20"/>
                    </w:rPr>
                    <w:t>57</w:t>
                  </w:r>
                </w:p>
              </w:tc>
              <w:tc>
                <w:tcPr>
                  <w:tcW w:w="922" w:type="dxa"/>
                </w:tcPr>
                <w:p w:rsidR="0023015B" w:rsidRPr="00CF7E58" w:rsidRDefault="0023015B" w:rsidP="00CF7E58">
                  <w:pPr>
                    <w:jc w:val="both"/>
                    <w:rPr>
                      <w:rFonts w:cs="Arial"/>
                      <w:sz w:val="20"/>
                    </w:rPr>
                  </w:pPr>
                  <w:r w:rsidRPr="00CF7E58">
                    <w:rPr>
                      <w:rFonts w:cs="Arial"/>
                      <w:sz w:val="20"/>
                    </w:rPr>
                    <w:t>41</w:t>
                  </w:r>
                </w:p>
              </w:tc>
              <w:tc>
                <w:tcPr>
                  <w:tcW w:w="777" w:type="dxa"/>
                </w:tcPr>
                <w:p w:rsidR="0023015B" w:rsidRPr="00CF7E58" w:rsidRDefault="0023015B" w:rsidP="00CF7E58">
                  <w:pPr>
                    <w:jc w:val="both"/>
                    <w:rPr>
                      <w:rFonts w:cs="Arial"/>
                      <w:sz w:val="20"/>
                    </w:rPr>
                  </w:pPr>
                  <w:r w:rsidRPr="00CF7E58">
                    <w:rPr>
                      <w:rFonts w:cs="Arial"/>
                      <w:sz w:val="20"/>
                    </w:rPr>
                    <w:t>51</w:t>
                  </w:r>
                </w:p>
              </w:tc>
              <w:tc>
                <w:tcPr>
                  <w:tcW w:w="922" w:type="dxa"/>
                </w:tcPr>
                <w:p w:rsidR="0023015B" w:rsidRPr="00CF7E58" w:rsidRDefault="0023015B" w:rsidP="00CF7E58">
                  <w:pPr>
                    <w:jc w:val="both"/>
                    <w:rPr>
                      <w:rFonts w:cs="Arial"/>
                      <w:sz w:val="20"/>
                    </w:rPr>
                  </w:pPr>
                  <w:r w:rsidRPr="00CF7E58">
                    <w:rPr>
                      <w:rFonts w:cs="Arial"/>
                      <w:sz w:val="20"/>
                    </w:rPr>
                    <w:t>51</w:t>
                  </w:r>
                </w:p>
              </w:tc>
            </w:tr>
            <w:tr w:rsidR="0023015B" w:rsidRPr="00CF7E58" w:rsidTr="0023015B">
              <w:tc>
                <w:tcPr>
                  <w:tcW w:w="922" w:type="dxa"/>
                </w:tcPr>
                <w:p w:rsidR="0023015B" w:rsidRPr="00CF7E58" w:rsidRDefault="0023015B" w:rsidP="00CF7E58">
                  <w:pPr>
                    <w:jc w:val="both"/>
                    <w:rPr>
                      <w:rFonts w:cs="Arial"/>
                      <w:sz w:val="20"/>
                    </w:rPr>
                  </w:pPr>
                  <w:r w:rsidRPr="00CF7E58">
                    <w:rPr>
                      <w:rFonts w:cs="Arial"/>
                      <w:sz w:val="20"/>
                    </w:rPr>
                    <w:t>Direct</w:t>
                  </w:r>
                </w:p>
              </w:tc>
              <w:tc>
                <w:tcPr>
                  <w:tcW w:w="922" w:type="dxa"/>
                </w:tcPr>
                <w:p w:rsidR="0023015B" w:rsidRPr="00CF7E58" w:rsidRDefault="0023015B" w:rsidP="00CF7E58">
                  <w:pPr>
                    <w:jc w:val="both"/>
                    <w:rPr>
                      <w:rFonts w:cs="Arial"/>
                      <w:sz w:val="20"/>
                    </w:rPr>
                  </w:pPr>
                  <w:r w:rsidRPr="00CF7E58">
                    <w:rPr>
                      <w:rFonts w:cs="Arial"/>
                      <w:sz w:val="20"/>
                    </w:rPr>
                    <w:t>35</w:t>
                  </w:r>
                </w:p>
              </w:tc>
              <w:tc>
                <w:tcPr>
                  <w:tcW w:w="921" w:type="dxa"/>
                </w:tcPr>
                <w:p w:rsidR="0023015B" w:rsidRPr="00CF7E58" w:rsidRDefault="0023015B" w:rsidP="00CF7E58">
                  <w:pPr>
                    <w:jc w:val="both"/>
                    <w:rPr>
                      <w:rFonts w:cs="Arial"/>
                      <w:sz w:val="20"/>
                    </w:rPr>
                  </w:pPr>
                  <w:r w:rsidRPr="00CF7E58">
                    <w:rPr>
                      <w:rFonts w:cs="Arial"/>
                      <w:sz w:val="20"/>
                    </w:rPr>
                    <w:t>44</w:t>
                  </w:r>
                </w:p>
              </w:tc>
              <w:tc>
                <w:tcPr>
                  <w:tcW w:w="922" w:type="dxa"/>
                </w:tcPr>
                <w:p w:rsidR="0023015B" w:rsidRPr="00CF7E58" w:rsidRDefault="0023015B" w:rsidP="00CF7E58">
                  <w:pPr>
                    <w:jc w:val="both"/>
                    <w:rPr>
                      <w:rFonts w:cs="Arial"/>
                      <w:sz w:val="20"/>
                    </w:rPr>
                  </w:pPr>
                  <w:r w:rsidRPr="00CF7E58">
                    <w:rPr>
                      <w:rFonts w:cs="Arial"/>
                      <w:sz w:val="20"/>
                    </w:rPr>
                    <w:t>41</w:t>
                  </w:r>
                </w:p>
              </w:tc>
              <w:tc>
                <w:tcPr>
                  <w:tcW w:w="922" w:type="dxa"/>
                </w:tcPr>
                <w:p w:rsidR="0023015B" w:rsidRPr="00CF7E58" w:rsidRDefault="0023015B" w:rsidP="00CF7E58">
                  <w:pPr>
                    <w:jc w:val="both"/>
                    <w:rPr>
                      <w:rFonts w:cs="Arial"/>
                      <w:sz w:val="20"/>
                    </w:rPr>
                  </w:pPr>
                  <w:r w:rsidRPr="00CF7E58">
                    <w:rPr>
                      <w:rFonts w:cs="Arial"/>
                      <w:sz w:val="20"/>
                    </w:rPr>
                    <w:t>40</w:t>
                  </w:r>
                </w:p>
              </w:tc>
              <w:tc>
                <w:tcPr>
                  <w:tcW w:w="777" w:type="dxa"/>
                </w:tcPr>
                <w:p w:rsidR="0023015B" w:rsidRPr="00CF7E58" w:rsidRDefault="0023015B" w:rsidP="00CF7E58">
                  <w:pPr>
                    <w:jc w:val="both"/>
                    <w:rPr>
                      <w:rFonts w:cs="Arial"/>
                      <w:sz w:val="20"/>
                    </w:rPr>
                  </w:pPr>
                  <w:r w:rsidRPr="00CF7E58">
                    <w:rPr>
                      <w:rFonts w:cs="Arial"/>
                      <w:sz w:val="20"/>
                    </w:rPr>
                    <w:t>41</w:t>
                  </w:r>
                </w:p>
              </w:tc>
              <w:tc>
                <w:tcPr>
                  <w:tcW w:w="922" w:type="dxa"/>
                </w:tcPr>
                <w:p w:rsidR="0023015B" w:rsidRPr="00CF7E58" w:rsidRDefault="0023015B" w:rsidP="00CF7E58">
                  <w:pPr>
                    <w:jc w:val="both"/>
                    <w:rPr>
                      <w:rFonts w:cs="Arial"/>
                      <w:sz w:val="20"/>
                    </w:rPr>
                  </w:pPr>
                  <w:r w:rsidRPr="00CF7E58">
                    <w:rPr>
                      <w:rFonts w:cs="Arial"/>
                      <w:sz w:val="20"/>
                    </w:rPr>
                    <w:t>29</w:t>
                  </w:r>
                </w:p>
              </w:tc>
            </w:tr>
          </w:tbl>
          <w:p w:rsidR="0023015B" w:rsidRPr="00CF7E58" w:rsidRDefault="0023015B" w:rsidP="00CF7E58">
            <w:pPr>
              <w:jc w:val="both"/>
              <w:rPr>
                <w:rFonts w:cs="Arial"/>
                <w:sz w:val="20"/>
              </w:rPr>
            </w:pPr>
          </w:p>
          <w:p w:rsidR="0023015B" w:rsidRDefault="0023015B" w:rsidP="0023015B">
            <w:pPr>
              <w:rPr>
                <w:rFonts w:cs="Arial"/>
                <w:b/>
                <w:color w:val="FF0000"/>
                <w:sz w:val="20"/>
              </w:rPr>
            </w:pPr>
          </w:p>
          <w:p w:rsidR="0023015B" w:rsidRPr="00CF7E58" w:rsidRDefault="0023015B" w:rsidP="00CF7E58">
            <w:pPr>
              <w:jc w:val="both"/>
              <w:rPr>
                <w:rFonts w:cs="Arial"/>
                <w:sz w:val="20"/>
              </w:rPr>
            </w:pPr>
            <w:r w:rsidRPr="00CF7E58">
              <w:rPr>
                <w:rFonts w:cs="Arial"/>
                <w:sz w:val="20"/>
              </w:rPr>
              <w:t>The Durham Regional municipality and the Peterborough Country are the two largest areas that the program is drawing from.</w:t>
            </w:r>
          </w:p>
          <w:p w:rsidR="0023015B" w:rsidRPr="00CF7E58" w:rsidRDefault="0023015B" w:rsidP="00CF7E58">
            <w:pPr>
              <w:jc w:val="both"/>
              <w:rPr>
                <w:rFonts w:cs="Arial"/>
                <w:sz w:val="20"/>
              </w:rPr>
            </w:pPr>
          </w:p>
          <w:p w:rsidR="0023015B" w:rsidRPr="00CF7E58" w:rsidRDefault="0023015B" w:rsidP="00CF7E58">
            <w:pPr>
              <w:jc w:val="both"/>
              <w:rPr>
                <w:rFonts w:cs="Arial"/>
                <w:sz w:val="20"/>
              </w:rPr>
            </w:pPr>
            <w:r w:rsidRPr="00CF7E58">
              <w:rPr>
                <w:rFonts w:cs="Arial"/>
                <w:sz w:val="20"/>
              </w:rPr>
              <w:t xml:space="preserve">There are approximately equal numbers of males and females confirming their acceptance to the program. </w:t>
            </w:r>
          </w:p>
          <w:p w:rsidR="0023015B" w:rsidRPr="00CF7E58" w:rsidRDefault="0023015B" w:rsidP="00CF7E58">
            <w:pPr>
              <w:jc w:val="both"/>
              <w:rPr>
                <w:rFonts w:cs="Arial"/>
                <w:sz w:val="20"/>
              </w:rPr>
            </w:pPr>
          </w:p>
          <w:p w:rsidR="0023015B" w:rsidRPr="00CF7E58" w:rsidRDefault="0023015B" w:rsidP="00CF7E58">
            <w:pPr>
              <w:jc w:val="both"/>
              <w:rPr>
                <w:rFonts w:cs="Arial"/>
                <w:sz w:val="20"/>
              </w:rPr>
            </w:pPr>
            <w:r w:rsidRPr="00CF7E58">
              <w:rPr>
                <w:rFonts w:cs="Arial"/>
                <w:sz w:val="20"/>
              </w:rPr>
              <w:lastRenderedPageBreak/>
              <w:t>There is an increasing trend for students to confirm their acceptance to the program from the 19 to 21 years of age group versus younger or older age categories.</w:t>
            </w:r>
          </w:p>
          <w:p w:rsidR="0023015B" w:rsidRPr="00CF7E58" w:rsidRDefault="0023015B" w:rsidP="00CF7E58">
            <w:pPr>
              <w:jc w:val="both"/>
              <w:rPr>
                <w:rFonts w:cs="Arial"/>
                <w:sz w:val="20"/>
              </w:rPr>
            </w:pPr>
          </w:p>
          <w:p w:rsidR="0023015B" w:rsidRPr="00CF7E58" w:rsidRDefault="0023015B" w:rsidP="00CF7E58">
            <w:pPr>
              <w:jc w:val="both"/>
              <w:rPr>
                <w:rFonts w:cs="Arial"/>
                <w:sz w:val="20"/>
              </w:rPr>
            </w:pPr>
            <w:r w:rsidRPr="00CF7E58">
              <w:rPr>
                <w:rFonts w:cs="Arial"/>
                <w:sz w:val="20"/>
              </w:rPr>
              <w:t>The trend for Fall Intakes (Semester 1) Registrations by Day 10 are as follows:</w:t>
            </w:r>
          </w:p>
          <w:p w:rsidR="0023015B" w:rsidRPr="00CF7E58" w:rsidRDefault="0023015B" w:rsidP="00CF7E58">
            <w:pPr>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20"/>
            </w:tblGrid>
            <w:tr w:rsidR="0023015B" w:rsidRPr="00CF7E58" w:rsidTr="0023015B">
              <w:tc>
                <w:tcPr>
                  <w:tcW w:w="1381" w:type="dxa"/>
                </w:tcPr>
                <w:p w:rsidR="0023015B" w:rsidRPr="00CF7E58" w:rsidRDefault="0023015B" w:rsidP="00CF7E58">
                  <w:pPr>
                    <w:jc w:val="both"/>
                    <w:rPr>
                      <w:rFonts w:cs="Arial"/>
                      <w:sz w:val="20"/>
                    </w:rPr>
                  </w:pPr>
                  <w:r w:rsidRPr="00CF7E58">
                    <w:rPr>
                      <w:rFonts w:cs="Arial"/>
                      <w:sz w:val="20"/>
                    </w:rPr>
                    <w:t>Fall 2005</w:t>
                  </w:r>
                </w:p>
              </w:tc>
              <w:tc>
                <w:tcPr>
                  <w:tcW w:w="1620" w:type="dxa"/>
                </w:tcPr>
                <w:p w:rsidR="0023015B" w:rsidRPr="00CF7E58" w:rsidRDefault="0023015B" w:rsidP="00CF7E58">
                  <w:pPr>
                    <w:jc w:val="both"/>
                    <w:rPr>
                      <w:rFonts w:cs="Arial"/>
                      <w:sz w:val="20"/>
                    </w:rPr>
                  </w:pPr>
                  <w:r w:rsidRPr="00CF7E58">
                    <w:rPr>
                      <w:rFonts w:cs="Arial"/>
                      <w:sz w:val="20"/>
                    </w:rPr>
                    <w:t>32</w:t>
                  </w:r>
                </w:p>
              </w:tc>
            </w:tr>
            <w:tr w:rsidR="0023015B" w:rsidRPr="00CF7E58" w:rsidTr="0023015B">
              <w:tc>
                <w:tcPr>
                  <w:tcW w:w="1381" w:type="dxa"/>
                </w:tcPr>
                <w:p w:rsidR="0023015B" w:rsidRPr="00CF7E58" w:rsidRDefault="0023015B" w:rsidP="00CF7E58">
                  <w:pPr>
                    <w:jc w:val="both"/>
                    <w:rPr>
                      <w:rFonts w:cs="Arial"/>
                      <w:sz w:val="20"/>
                    </w:rPr>
                  </w:pPr>
                  <w:r w:rsidRPr="00CF7E58">
                    <w:rPr>
                      <w:rFonts w:cs="Arial"/>
                      <w:sz w:val="20"/>
                    </w:rPr>
                    <w:t>Fall 2006</w:t>
                  </w:r>
                </w:p>
              </w:tc>
              <w:tc>
                <w:tcPr>
                  <w:tcW w:w="1620" w:type="dxa"/>
                </w:tcPr>
                <w:p w:rsidR="0023015B" w:rsidRPr="00CF7E58" w:rsidRDefault="0023015B" w:rsidP="00CF7E58">
                  <w:pPr>
                    <w:jc w:val="both"/>
                    <w:rPr>
                      <w:rFonts w:cs="Arial"/>
                      <w:sz w:val="20"/>
                    </w:rPr>
                  </w:pPr>
                  <w:r w:rsidRPr="00CF7E58">
                    <w:rPr>
                      <w:rFonts w:cs="Arial"/>
                      <w:sz w:val="20"/>
                    </w:rPr>
                    <w:t>73</w:t>
                  </w:r>
                </w:p>
              </w:tc>
            </w:tr>
            <w:tr w:rsidR="0023015B" w:rsidRPr="00CF7E58" w:rsidTr="0023015B">
              <w:tc>
                <w:tcPr>
                  <w:tcW w:w="1381" w:type="dxa"/>
                </w:tcPr>
                <w:p w:rsidR="0023015B" w:rsidRPr="00CF7E58" w:rsidRDefault="0023015B" w:rsidP="00CF7E58">
                  <w:pPr>
                    <w:jc w:val="both"/>
                    <w:rPr>
                      <w:rFonts w:cs="Arial"/>
                      <w:sz w:val="20"/>
                    </w:rPr>
                  </w:pPr>
                  <w:r w:rsidRPr="00CF7E58">
                    <w:rPr>
                      <w:rFonts w:cs="Arial"/>
                      <w:sz w:val="20"/>
                    </w:rPr>
                    <w:t>Fall 2007</w:t>
                  </w:r>
                </w:p>
              </w:tc>
              <w:tc>
                <w:tcPr>
                  <w:tcW w:w="1620" w:type="dxa"/>
                </w:tcPr>
                <w:p w:rsidR="0023015B" w:rsidRPr="00CF7E58" w:rsidRDefault="0023015B" w:rsidP="00CF7E58">
                  <w:pPr>
                    <w:jc w:val="both"/>
                    <w:rPr>
                      <w:rFonts w:cs="Arial"/>
                      <w:sz w:val="20"/>
                    </w:rPr>
                  </w:pPr>
                  <w:r w:rsidRPr="00CF7E58">
                    <w:rPr>
                      <w:rFonts w:cs="Arial"/>
                      <w:sz w:val="20"/>
                    </w:rPr>
                    <w:t>92</w:t>
                  </w:r>
                </w:p>
              </w:tc>
            </w:tr>
            <w:tr w:rsidR="0023015B" w:rsidRPr="00CF7E58" w:rsidTr="0023015B">
              <w:tc>
                <w:tcPr>
                  <w:tcW w:w="1381" w:type="dxa"/>
                </w:tcPr>
                <w:p w:rsidR="0023015B" w:rsidRPr="00CF7E58" w:rsidRDefault="0023015B" w:rsidP="00CF7E58">
                  <w:pPr>
                    <w:jc w:val="both"/>
                    <w:rPr>
                      <w:rFonts w:cs="Arial"/>
                      <w:sz w:val="20"/>
                    </w:rPr>
                  </w:pPr>
                  <w:r w:rsidRPr="00CF7E58">
                    <w:rPr>
                      <w:rFonts w:cs="Arial"/>
                      <w:sz w:val="20"/>
                    </w:rPr>
                    <w:t>Fall 2008</w:t>
                  </w:r>
                </w:p>
              </w:tc>
              <w:tc>
                <w:tcPr>
                  <w:tcW w:w="1620" w:type="dxa"/>
                </w:tcPr>
                <w:p w:rsidR="0023015B" w:rsidRPr="00CF7E58" w:rsidRDefault="0023015B" w:rsidP="00CF7E58">
                  <w:pPr>
                    <w:jc w:val="both"/>
                    <w:rPr>
                      <w:rFonts w:cs="Arial"/>
                      <w:sz w:val="20"/>
                    </w:rPr>
                  </w:pPr>
                  <w:r w:rsidRPr="00CF7E58">
                    <w:rPr>
                      <w:rFonts w:cs="Arial"/>
                      <w:sz w:val="20"/>
                    </w:rPr>
                    <w:t>86</w:t>
                  </w:r>
                </w:p>
              </w:tc>
            </w:tr>
            <w:tr w:rsidR="0023015B" w:rsidRPr="00CF7E58" w:rsidTr="0023015B">
              <w:tc>
                <w:tcPr>
                  <w:tcW w:w="1381" w:type="dxa"/>
                </w:tcPr>
                <w:p w:rsidR="0023015B" w:rsidRPr="00CF7E58" w:rsidRDefault="0023015B" w:rsidP="00CF7E58">
                  <w:pPr>
                    <w:jc w:val="both"/>
                    <w:rPr>
                      <w:rFonts w:cs="Arial"/>
                      <w:sz w:val="20"/>
                    </w:rPr>
                  </w:pPr>
                  <w:r w:rsidRPr="00CF7E58">
                    <w:rPr>
                      <w:rFonts w:cs="Arial"/>
                      <w:sz w:val="20"/>
                    </w:rPr>
                    <w:t>Fall 2009</w:t>
                  </w:r>
                </w:p>
              </w:tc>
              <w:tc>
                <w:tcPr>
                  <w:tcW w:w="1620" w:type="dxa"/>
                </w:tcPr>
                <w:p w:rsidR="0023015B" w:rsidRPr="00CF7E58" w:rsidRDefault="0023015B" w:rsidP="00CF7E58">
                  <w:pPr>
                    <w:jc w:val="both"/>
                    <w:rPr>
                      <w:rFonts w:cs="Arial"/>
                      <w:sz w:val="20"/>
                    </w:rPr>
                  </w:pPr>
                  <w:r w:rsidRPr="00CF7E58">
                    <w:rPr>
                      <w:rFonts w:cs="Arial"/>
                      <w:sz w:val="20"/>
                    </w:rPr>
                    <w:t>96</w:t>
                  </w:r>
                </w:p>
              </w:tc>
            </w:tr>
            <w:tr w:rsidR="0023015B" w:rsidRPr="00CF7E58" w:rsidTr="0023015B">
              <w:tc>
                <w:tcPr>
                  <w:tcW w:w="1381" w:type="dxa"/>
                </w:tcPr>
                <w:p w:rsidR="0023015B" w:rsidRPr="00CF7E58" w:rsidRDefault="0023015B" w:rsidP="00CF7E58">
                  <w:pPr>
                    <w:jc w:val="both"/>
                    <w:rPr>
                      <w:rFonts w:cs="Arial"/>
                      <w:sz w:val="20"/>
                    </w:rPr>
                  </w:pPr>
                  <w:r w:rsidRPr="00CF7E58">
                    <w:rPr>
                      <w:rFonts w:cs="Arial"/>
                      <w:sz w:val="20"/>
                    </w:rPr>
                    <w:t>Fall 2010</w:t>
                  </w:r>
                </w:p>
              </w:tc>
              <w:tc>
                <w:tcPr>
                  <w:tcW w:w="1620" w:type="dxa"/>
                </w:tcPr>
                <w:p w:rsidR="0023015B" w:rsidRPr="00CF7E58" w:rsidRDefault="0023015B" w:rsidP="00CF7E58">
                  <w:pPr>
                    <w:jc w:val="both"/>
                    <w:rPr>
                      <w:rFonts w:cs="Arial"/>
                      <w:sz w:val="20"/>
                    </w:rPr>
                  </w:pPr>
                  <w:r w:rsidRPr="00CF7E58">
                    <w:rPr>
                      <w:rFonts w:cs="Arial"/>
                      <w:sz w:val="20"/>
                    </w:rPr>
                    <w:t>100</w:t>
                  </w:r>
                </w:p>
              </w:tc>
            </w:tr>
          </w:tbl>
          <w:p w:rsidR="0023015B" w:rsidRPr="0030400B" w:rsidRDefault="0023015B" w:rsidP="00276F6B">
            <w:pPr>
              <w:rPr>
                <w:rFonts w:cs="Arial"/>
                <w:b/>
                <w:color w:val="F79646"/>
                <w:sz w:val="20"/>
              </w:rPr>
            </w:pPr>
          </w:p>
        </w:tc>
      </w:tr>
    </w:tbl>
    <w:p w:rsidR="00276F6B" w:rsidRDefault="00276F6B" w:rsidP="00276F6B"/>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1"/>
        <w:gridCol w:w="7077"/>
      </w:tblGrid>
      <w:tr w:rsidR="00276F6B" w:rsidRPr="000C3BAA" w:rsidTr="000C3BAA">
        <w:tc>
          <w:tcPr>
            <w:tcW w:w="6534" w:type="dxa"/>
            <w:shd w:val="clear" w:color="auto" w:fill="auto"/>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6.2 Student Progression</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pStyle w:val="Title"/>
              <w:numPr>
                <w:ilvl w:val="0"/>
                <w:numId w:val="11"/>
              </w:numPr>
              <w:tabs>
                <w:tab w:val="clear" w:pos="720"/>
                <w:tab w:val="num" w:pos="360"/>
              </w:tabs>
              <w:ind w:left="360"/>
              <w:jc w:val="left"/>
              <w:rPr>
                <w:rFonts w:ascii="Arial" w:hAnsi="Arial" w:cs="Arial"/>
                <w:sz w:val="20"/>
              </w:rPr>
            </w:pPr>
            <w:r w:rsidRPr="000C3BAA">
              <w:rPr>
                <w:rFonts w:ascii="Arial" w:hAnsi="Arial" w:cs="Arial"/>
                <w:sz w:val="20"/>
              </w:rPr>
              <w:t>Patterns of student success and retention on a semester by semester basis over the last six years</w:t>
            </w:r>
          </w:p>
          <w:p w:rsidR="00276F6B" w:rsidRPr="000C3BAA" w:rsidRDefault="00276F6B" w:rsidP="000C3BAA">
            <w:pPr>
              <w:pStyle w:val="Title"/>
              <w:numPr>
                <w:ilvl w:val="0"/>
                <w:numId w:val="11"/>
              </w:numPr>
              <w:tabs>
                <w:tab w:val="clear" w:pos="720"/>
                <w:tab w:val="num" w:pos="360"/>
              </w:tabs>
              <w:ind w:left="360"/>
              <w:jc w:val="left"/>
              <w:rPr>
                <w:rFonts w:ascii="Arial" w:hAnsi="Arial" w:cs="Arial"/>
                <w:sz w:val="20"/>
              </w:rPr>
            </w:pPr>
            <w:r w:rsidRPr="000C3BAA">
              <w:rPr>
                <w:rFonts w:ascii="Arial" w:hAnsi="Arial" w:cs="Arial"/>
                <w:sz w:val="20"/>
              </w:rPr>
              <w:t xml:space="preserve">The effectiveness of any strategies adopted to improve student success and retention </w:t>
            </w:r>
          </w:p>
          <w:p w:rsidR="00276F6B" w:rsidRPr="000C3BAA" w:rsidRDefault="00276F6B" w:rsidP="000C3BAA">
            <w:pPr>
              <w:pStyle w:val="Title"/>
              <w:jc w:val="left"/>
              <w:rPr>
                <w:rFonts w:ascii="Arial" w:hAnsi="Arial" w:cs="Arial"/>
                <w:b/>
                <w:sz w:val="20"/>
              </w:rPr>
            </w:pPr>
          </w:p>
        </w:tc>
        <w:tc>
          <w:tcPr>
            <w:tcW w:w="6534" w:type="dxa"/>
            <w:shd w:val="clear" w:color="auto" w:fill="auto"/>
            <w:tcMar>
              <w:top w:w="113" w:type="dxa"/>
              <w:bottom w:w="113" w:type="dxa"/>
            </w:tcMar>
          </w:tcPr>
          <w:p w:rsidR="00780D51" w:rsidRDefault="00780D51" w:rsidP="00276F6B">
            <w:pPr>
              <w:rPr>
                <w:rFonts w:cs="Arial"/>
                <w:b/>
                <w:color w:val="C0504D"/>
                <w:sz w:val="20"/>
              </w:rPr>
            </w:pPr>
          </w:p>
          <w:p w:rsidR="0023015B" w:rsidRPr="00CF7E58" w:rsidRDefault="0023015B" w:rsidP="0023015B">
            <w:pPr>
              <w:rPr>
                <w:rFonts w:cs="Arial"/>
                <w:sz w:val="20"/>
              </w:rPr>
            </w:pPr>
            <w:r w:rsidRPr="00CF7E58">
              <w:rPr>
                <w:rFonts w:cs="Arial"/>
                <w:sz w:val="20"/>
              </w:rPr>
              <w:t>Retention rates for students in the GSU program were compiled and available from 2005 -2009 in the Fleming Data Research site</w:t>
            </w:r>
            <w:r w:rsidR="00CF7E58" w:rsidRPr="00CF7E58">
              <w:rPr>
                <w:rFonts w:cs="Arial"/>
                <w:sz w:val="20"/>
              </w:rPr>
              <w:t xml:space="preserve"> </w:t>
            </w:r>
            <w:r w:rsidR="00CF7E58" w:rsidRPr="00CF7E58">
              <w:rPr>
                <w:rFonts w:cs="Arial"/>
                <w:sz w:val="20"/>
                <w:highlight w:val="cyan"/>
              </w:rPr>
              <w:t>(see Appendix P)</w:t>
            </w:r>
            <w:r w:rsidRPr="00CF7E58">
              <w:rPr>
                <w:rFonts w:cs="Arial"/>
                <w:sz w:val="20"/>
                <w:highlight w:val="cyan"/>
              </w:rPr>
              <w:t>.</w:t>
            </w:r>
            <w:r w:rsidRPr="00CF7E58">
              <w:rPr>
                <w:rFonts w:cs="Arial"/>
                <w:sz w:val="20"/>
              </w:rPr>
              <w:t xml:space="preserve">  </w:t>
            </w:r>
          </w:p>
          <w:p w:rsidR="0023015B" w:rsidRPr="00CF7E58" w:rsidRDefault="0023015B" w:rsidP="0023015B">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369"/>
              <w:gridCol w:w="1369"/>
              <w:gridCol w:w="1369"/>
              <w:gridCol w:w="1370"/>
            </w:tblGrid>
            <w:tr w:rsidR="0023015B" w:rsidRPr="00CF7E58" w:rsidTr="0023015B">
              <w:tc>
                <w:tcPr>
                  <w:tcW w:w="1369" w:type="dxa"/>
                </w:tcPr>
                <w:p w:rsidR="0023015B" w:rsidRPr="00CF7E58" w:rsidRDefault="0023015B" w:rsidP="00443209">
                  <w:pPr>
                    <w:rPr>
                      <w:rFonts w:cs="Arial"/>
                      <w:sz w:val="20"/>
                    </w:rPr>
                  </w:pPr>
                  <w:r w:rsidRPr="00CF7E58">
                    <w:rPr>
                      <w:rFonts w:cs="Arial"/>
                      <w:sz w:val="20"/>
                    </w:rPr>
                    <w:t>Fall Intake</w:t>
                  </w:r>
                </w:p>
              </w:tc>
              <w:tc>
                <w:tcPr>
                  <w:tcW w:w="1369" w:type="dxa"/>
                </w:tcPr>
                <w:p w:rsidR="00CF7E58" w:rsidRDefault="0023015B" w:rsidP="00443209">
                  <w:pPr>
                    <w:rPr>
                      <w:rFonts w:cs="Arial"/>
                      <w:sz w:val="20"/>
                    </w:rPr>
                  </w:pPr>
                  <w:r w:rsidRPr="00CF7E58">
                    <w:rPr>
                      <w:rFonts w:cs="Arial"/>
                      <w:sz w:val="20"/>
                    </w:rPr>
                    <w:t xml:space="preserve">Sem 1 </w:t>
                  </w:r>
                </w:p>
                <w:p w:rsidR="0023015B" w:rsidRPr="00CF7E58" w:rsidRDefault="0023015B" w:rsidP="00443209">
                  <w:pPr>
                    <w:rPr>
                      <w:rFonts w:cs="Arial"/>
                      <w:sz w:val="20"/>
                    </w:rPr>
                  </w:pPr>
                  <w:r w:rsidRPr="00CF7E58">
                    <w:rPr>
                      <w:rFonts w:cs="Arial"/>
                      <w:sz w:val="20"/>
                    </w:rPr>
                    <w:t>(Day 10)</w:t>
                  </w:r>
                </w:p>
              </w:tc>
              <w:tc>
                <w:tcPr>
                  <w:tcW w:w="1369" w:type="dxa"/>
                </w:tcPr>
                <w:p w:rsidR="0023015B" w:rsidRPr="00CF7E58" w:rsidRDefault="0023015B" w:rsidP="00443209">
                  <w:pPr>
                    <w:rPr>
                      <w:rFonts w:cs="Arial"/>
                      <w:sz w:val="20"/>
                    </w:rPr>
                  </w:pPr>
                  <w:r w:rsidRPr="00CF7E58">
                    <w:rPr>
                      <w:rFonts w:cs="Arial"/>
                      <w:sz w:val="20"/>
                    </w:rPr>
                    <w:t>Return Sem 2 (Day 10)</w:t>
                  </w:r>
                </w:p>
              </w:tc>
              <w:tc>
                <w:tcPr>
                  <w:tcW w:w="1369" w:type="dxa"/>
                </w:tcPr>
                <w:p w:rsidR="0023015B" w:rsidRPr="00CF7E58" w:rsidRDefault="0023015B" w:rsidP="00443209">
                  <w:pPr>
                    <w:rPr>
                      <w:rFonts w:cs="Arial"/>
                      <w:sz w:val="20"/>
                    </w:rPr>
                  </w:pPr>
                  <w:r w:rsidRPr="00CF7E58">
                    <w:rPr>
                      <w:rFonts w:cs="Arial"/>
                      <w:sz w:val="20"/>
                    </w:rPr>
                    <w:t>% Return Sem 2</w:t>
                  </w:r>
                </w:p>
              </w:tc>
              <w:tc>
                <w:tcPr>
                  <w:tcW w:w="1370" w:type="dxa"/>
                </w:tcPr>
                <w:p w:rsidR="0023015B" w:rsidRPr="00CF7E58" w:rsidRDefault="0023015B" w:rsidP="00443209">
                  <w:pPr>
                    <w:rPr>
                      <w:rFonts w:cs="Arial"/>
                      <w:sz w:val="20"/>
                    </w:rPr>
                  </w:pPr>
                  <w:r w:rsidRPr="00CF7E58">
                    <w:rPr>
                      <w:rFonts w:cs="Arial"/>
                      <w:sz w:val="20"/>
                    </w:rPr>
                    <w:t>% Retained within College</w:t>
                  </w:r>
                </w:p>
              </w:tc>
            </w:tr>
            <w:tr w:rsidR="0023015B" w:rsidRPr="00CF7E58" w:rsidTr="0023015B">
              <w:tc>
                <w:tcPr>
                  <w:tcW w:w="1369" w:type="dxa"/>
                </w:tcPr>
                <w:p w:rsidR="0023015B" w:rsidRPr="00CF7E58" w:rsidRDefault="0023015B" w:rsidP="00443209">
                  <w:pPr>
                    <w:rPr>
                      <w:rFonts w:cs="Arial"/>
                      <w:sz w:val="20"/>
                    </w:rPr>
                  </w:pPr>
                  <w:r w:rsidRPr="00CF7E58">
                    <w:rPr>
                      <w:rFonts w:cs="Arial"/>
                      <w:sz w:val="20"/>
                    </w:rPr>
                    <w:t>2005</w:t>
                  </w:r>
                </w:p>
              </w:tc>
              <w:tc>
                <w:tcPr>
                  <w:tcW w:w="1369" w:type="dxa"/>
                </w:tcPr>
                <w:p w:rsidR="0023015B" w:rsidRPr="00CF7E58" w:rsidRDefault="0023015B" w:rsidP="0023015B">
                  <w:pPr>
                    <w:jc w:val="center"/>
                    <w:rPr>
                      <w:rFonts w:cs="Arial"/>
                      <w:sz w:val="20"/>
                    </w:rPr>
                  </w:pPr>
                  <w:r w:rsidRPr="00CF7E58">
                    <w:rPr>
                      <w:rFonts w:cs="Arial"/>
                      <w:sz w:val="20"/>
                    </w:rPr>
                    <w:t>33</w:t>
                  </w:r>
                </w:p>
              </w:tc>
              <w:tc>
                <w:tcPr>
                  <w:tcW w:w="1369" w:type="dxa"/>
                </w:tcPr>
                <w:p w:rsidR="0023015B" w:rsidRPr="00CF7E58" w:rsidRDefault="0023015B" w:rsidP="0023015B">
                  <w:pPr>
                    <w:jc w:val="center"/>
                    <w:rPr>
                      <w:rFonts w:cs="Arial"/>
                      <w:sz w:val="20"/>
                    </w:rPr>
                  </w:pPr>
                  <w:r w:rsidRPr="00CF7E58">
                    <w:rPr>
                      <w:rFonts w:cs="Arial"/>
                      <w:sz w:val="20"/>
                    </w:rPr>
                    <w:t>24</w:t>
                  </w:r>
                </w:p>
              </w:tc>
              <w:tc>
                <w:tcPr>
                  <w:tcW w:w="1369" w:type="dxa"/>
                </w:tcPr>
                <w:p w:rsidR="0023015B" w:rsidRPr="00CF7E58" w:rsidRDefault="0023015B" w:rsidP="0023015B">
                  <w:pPr>
                    <w:jc w:val="center"/>
                    <w:rPr>
                      <w:rFonts w:cs="Arial"/>
                      <w:sz w:val="20"/>
                    </w:rPr>
                  </w:pPr>
                  <w:r w:rsidRPr="00CF7E58">
                    <w:rPr>
                      <w:rFonts w:cs="Arial"/>
                      <w:sz w:val="20"/>
                    </w:rPr>
                    <w:t>73</w:t>
                  </w:r>
                </w:p>
              </w:tc>
              <w:tc>
                <w:tcPr>
                  <w:tcW w:w="1370" w:type="dxa"/>
                </w:tcPr>
                <w:p w:rsidR="0023015B" w:rsidRPr="00CF7E58" w:rsidRDefault="0023015B" w:rsidP="0023015B">
                  <w:pPr>
                    <w:jc w:val="center"/>
                    <w:rPr>
                      <w:rFonts w:cs="Arial"/>
                      <w:sz w:val="20"/>
                    </w:rPr>
                  </w:pPr>
                  <w:r w:rsidRPr="00CF7E58">
                    <w:rPr>
                      <w:rFonts w:cs="Arial"/>
                      <w:sz w:val="20"/>
                    </w:rPr>
                    <w:t>73</w:t>
                  </w:r>
                </w:p>
              </w:tc>
            </w:tr>
            <w:tr w:rsidR="0023015B" w:rsidRPr="00CF7E58" w:rsidTr="0023015B">
              <w:tc>
                <w:tcPr>
                  <w:tcW w:w="1369" w:type="dxa"/>
                </w:tcPr>
                <w:p w:rsidR="0023015B" w:rsidRPr="00CF7E58" w:rsidRDefault="0023015B" w:rsidP="00443209">
                  <w:pPr>
                    <w:rPr>
                      <w:rFonts w:cs="Arial"/>
                      <w:sz w:val="20"/>
                    </w:rPr>
                  </w:pPr>
                  <w:r w:rsidRPr="00CF7E58">
                    <w:rPr>
                      <w:rFonts w:cs="Arial"/>
                      <w:sz w:val="20"/>
                    </w:rPr>
                    <w:t>2006</w:t>
                  </w:r>
                </w:p>
              </w:tc>
              <w:tc>
                <w:tcPr>
                  <w:tcW w:w="1369" w:type="dxa"/>
                </w:tcPr>
                <w:p w:rsidR="0023015B" w:rsidRPr="00CF7E58" w:rsidRDefault="0023015B" w:rsidP="0023015B">
                  <w:pPr>
                    <w:jc w:val="center"/>
                    <w:rPr>
                      <w:rFonts w:cs="Arial"/>
                      <w:sz w:val="20"/>
                    </w:rPr>
                  </w:pPr>
                  <w:r w:rsidRPr="00CF7E58">
                    <w:rPr>
                      <w:rFonts w:cs="Arial"/>
                      <w:sz w:val="20"/>
                    </w:rPr>
                    <w:t>71</w:t>
                  </w:r>
                </w:p>
              </w:tc>
              <w:tc>
                <w:tcPr>
                  <w:tcW w:w="1369" w:type="dxa"/>
                </w:tcPr>
                <w:p w:rsidR="0023015B" w:rsidRPr="00CF7E58" w:rsidRDefault="0023015B" w:rsidP="0023015B">
                  <w:pPr>
                    <w:jc w:val="center"/>
                    <w:rPr>
                      <w:rFonts w:cs="Arial"/>
                      <w:sz w:val="20"/>
                    </w:rPr>
                  </w:pPr>
                  <w:r w:rsidRPr="00CF7E58">
                    <w:rPr>
                      <w:rFonts w:cs="Arial"/>
                      <w:sz w:val="20"/>
                    </w:rPr>
                    <w:t>46</w:t>
                  </w:r>
                </w:p>
              </w:tc>
              <w:tc>
                <w:tcPr>
                  <w:tcW w:w="1369" w:type="dxa"/>
                </w:tcPr>
                <w:p w:rsidR="0023015B" w:rsidRPr="00CF7E58" w:rsidRDefault="0023015B" w:rsidP="0023015B">
                  <w:pPr>
                    <w:jc w:val="center"/>
                    <w:rPr>
                      <w:rFonts w:cs="Arial"/>
                      <w:sz w:val="20"/>
                    </w:rPr>
                  </w:pPr>
                  <w:r w:rsidRPr="00CF7E58">
                    <w:rPr>
                      <w:rFonts w:cs="Arial"/>
                      <w:sz w:val="20"/>
                    </w:rPr>
                    <w:t>65</w:t>
                  </w:r>
                </w:p>
              </w:tc>
              <w:tc>
                <w:tcPr>
                  <w:tcW w:w="1370" w:type="dxa"/>
                </w:tcPr>
                <w:p w:rsidR="0023015B" w:rsidRPr="00CF7E58" w:rsidRDefault="0023015B" w:rsidP="0023015B">
                  <w:pPr>
                    <w:jc w:val="center"/>
                    <w:rPr>
                      <w:rFonts w:cs="Arial"/>
                      <w:sz w:val="20"/>
                    </w:rPr>
                  </w:pPr>
                  <w:r w:rsidRPr="00CF7E58">
                    <w:rPr>
                      <w:rFonts w:cs="Arial"/>
                      <w:sz w:val="20"/>
                    </w:rPr>
                    <w:t>65</w:t>
                  </w:r>
                </w:p>
              </w:tc>
            </w:tr>
            <w:tr w:rsidR="0023015B" w:rsidRPr="00CF7E58" w:rsidTr="0023015B">
              <w:tc>
                <w:tcPr>
                  <w:tcW w:w="1369" w:type="dxa"/>
                </w:tcPr>
                <w:p w:rsidR="0023015B" w:rsidRPr="00CF7E58" w:rsidRDefault="0023015B" w:rsidP="00443209">
                  <w:pPr>
                    <w:rPr>
                      <w:rFonts w:cs="Arial"/>
                      <w:sz w:val="20"/>
                    </w:rPr>
                  </w:pPr>
                  <w:r w:rsidRPr="00CF7E58">
                    <w:rPr>
                      <w:rFonts w:cs="Arial"/>
                      <w:sz w:val="20"/>
                    </w:rPr>
                    <w:t>2007</w:t>
                  </w:r>
                </w:p>
              </w:tc>
              <w:tc>
                <w:tcPr>
                  <w:tcW w:w="1369" w:type="dxa"/>
                </w:tcPr>
                <w:p w:rsidR="0023015B" w:rsidRPr="00CF7E58" w:rsidRDefault="0023015B" w:rsidP="0023015B">
                  <w:pPr>
                    <w:jc w:val="center"/>
                    <w:rPr>
                      <w:rFonts w:cs="Arial"/>
                      <w:sz w:val="20"/>
                    </w:rPr>
                  </w:pPr>
                  <w:r w:rsidRPr="00CF7E58">
                    <w:rPr>
                      <w:rFonts w:cs="Arial"/>
                      <w:sz w:val="20"/>
                    </w:rPr>
                    <w:t>90</w:t>
                  </w:r>
                </w:p>
              </w:tc>
              <w:tc>
                <w:tcPr>
                  <w:tcW w:w="1369" w:type="dxa"/>
                </w:tcPr>
                <w:p w:rsidR="0023015B" w:rsidRPr="00CF7E58" w:rsidRDefault="0023015B" w:rsidP="0023015B">
                  <w:pPr>
                    <w:jc w:val="center"/>
                    <w:rPr>
                      <w:rFonts w:cs="Arial"/>
                      <w:sz w:val="20"/>
                    </w:rPr>
                  </w:pPr>
                  <w:r w:rsidRPr="00CF7E58">
                    <w:rPr>
                      <w:rFonts w:cs="Arial"/>
                      <w:sz w:val="20"/>
                    </w:rPr>
                    <w:t>68</w:t>
                  </w:r>
                </w:p>
              </w:tc>
              <w:tc>
                <w:tcPr>
                  <w:tcW w:w="1369" w:type="dxa"/>
                </w:tcPr>
                <w:p w:rsidR="0023015B" w:rsidRPr="00CF7E58" w:rsidRDefault="0023015B" w:rsidP="0023015B">
                  <w:pPr>
                    <w:jc w:val="center"/>
                    <w:rPr>
                      <w:rFonts w:cs="Arial"/>
                      <w:sz w:val="20"/>
                    </w:rPr>
                  </w:pPr>
                  <w:r w:rsidRPr="00CF7E58">
                    <w:rPr>
                      <w:rFonts w:cs="Arial"/>
                      <w:sz w:val="20"/>
                    </w:rPr>
                    <w:t>76</w:t>
                  </w:r>
                </w:p>
              </w:tc>
              <w:tc>
                <w:tcPr>
                  <w:tcW w:w="1370" w:type="dxa"/>
                </w:tcPr>
                <w:p w:rsidR="0023015B" w:rsidRPr="00CF7E58" w:rsidRDefault="0023015B" w:rsidP="0023015B">
                  <w:pPr>
                    <w:jc w:val="center"/>
                    <w:rPr>
                      <w:rFonts w:cs="Arial"/>
                      <w:sz w:val="20"/>
                    </w:rPr>
                  </w:pPr>
                  <w:r w:rsidRPr="00CF7E58">
                    <w:rPr>
                      <w:rFonts w:cs="Arial"/>
                      <w:sz w:val="20"/>
                    </w:rPr>
                    <w:t>78</w:t>
                  </w:r>
                </w:p>
              </w:tc>
            </w:tr>
            <w:tr w:rsidR="0023015B" w:rsidRPr="00CF7E58" w:rsidTr="0023015B">
              <w:tc>
                <w:tcPr>
                  <w:tcW w:w="1369" w:type="dxa"/>
                </w:tcPr>
                <w:p w:rsidR="0023015B" w:rsidRPr="00CF7E58" w:rsidRDefault="0023015B" w:rsidP="00443209">
                  <w:pPr>
                    <w:rPr>
                      <w:rFonts w:cs="Arial"/>
                      <w:sz w:val="20"/>
                    </w:rPr>
                  </w:pPr>
                  <w:r w:rsidRPr="00CF7E58">
                    <w:rPr>
                      <w:rFonts w:cs="Arial"/>
                      <w:sz w:val="20"/>
                    </w:rPr>
                    <w:t>2008</w:t>
                  </w:r>
                </w:p>
              </w:tc>
              <w:tc>
                <w:tcPr>
                  <w:tcW w:w="1369" w:type="dxa"/>
                </w:tcPr>
                <w:p w:rsidR="0023015B" w:rsidRPr="00CF7E58" w:rsidRDefault="0023015B" w:rsidP="0023015B">
                  <w:pPr>
                    <w:jc w:val="center"/>
                    <w:rPr>
                      <w:rFonts w:cs="Arial"/>
                      <w:sz w:val="20"/>
                    </w:rPr>
                  </w:pPr>
                  <w:r w:rsidRPr="00CF7E58">
                    <w:rPr>
                      <w:rFonts w:cs="Arial"/>
                      <w:sz w:val="20"/>
                    </w:rPr>
                    <w:t>87</w:t>
                  </w:r>
                </w:p>
              </w:tc>
              <w:tc>
                <w:tcPr>
                  <w:tcW w:w="1369" w:type="dxa"/>
                </w:tcPr>
                <w:p w:rsidR="0023015B" w:rsidRPr="00CF7E58" w:rsidRDefault="0023015B" w:rsidP="0023015B">
                  <w:pPr>
                    <w:jc w:val="center"/>
                    <w:rPr>
                      <w:rFonts w:cs="Arial"/>
                      <w:sz w:val="20"/>
                    </w:rPr>
                  </w:pPr>
                  <w:r w:rsidRPr="00CF7E58">
                    <w:rPr>
                      <w:rFonts w:cs="Arial"/>
                      <w:sz w:val="20"/>
                    </w:rPr>
                    <w:t>49</w:t>
                  </w:r>
                </w:p>
              </w:tc>
              <w:tc>
                <w:tcPr>
                  <w:tcW w:w="1369" w:type="dxa"/>
                </w:tcPr>
                <w:p w:rsidR="0023015B" w:rsidRPr="00CF7E58" w:rsidRDefault="0023015B" w:rsidP="0023015B">
                  <w:pPr>
                    <w:jc w:val="center"/>
                    <w:rPr>
                      <w:rFonts w:cs="Arial"/>
                      <w:sz w:val="20"/>
                    </w:rPr>
                  </w:pPr>
                  <w:r w:rsidRPr="00CF7E58">
                    <w:rPr>
                      <w:rFonts w:cs="Arial"/>
                      <w:sz w:val="20"/>
                    </w:rPr>
                    <w:t>56</w:t>
                  </w:r>
                </w:p>
              </w:tc>
              <w:tc>
                <w:tcPr>
                  <w:tcW w:w="1370" w:type="dxa"/>
                </w:tcPr>
                <w:p w:rsidR="0023015B" w:rsidRPr="00CF7E58" w:rsidRDefault="0023015B" w:rsidP="0023015B">
                  <w:pPr>
                    <w:jc w:val="center"/>
                    <w:rPr>
                      <w:rFonts w:cs="Arial"/>
                      <w:sz w:val="20"/>
                    </w:rPr>
                  </w:pPr>
                  <w:r w:rsidRPr="00CF7E58">
                    <w:rPr>
                      <w:rFonts w:cs="Arial"/>
                      <w:sz w:val="20"/>
                    </w:rPr>
                    <w:t>57</w:t>
                  </w:r>
                </w:p>
              </w:tc>
            </w:tr>
            <w:tr w:rsidR="0023015B" w:rsidRPr="00CF7E58" w:rsidTr="0023015B">
              <w:tc>
                <w:tcPr>
                  <w:tcW w:w="1369" w:type="dxa"/>
                </w:tcPr>
                <w:p w:rsidR="0023015B" w:rsidRPr="00CF7E58" w:rsidRDefault="0023015B" w:rsidP="00443209">
                  <w:pPr>
                    <w:rPr>
                      <w:rFonts w:cs="Arial"/>
                      <w:sz w:val="20"/>
                    </w:rPr>
                  </w:pPr>
                  <w:r w:rsidRPr="00CF7E58">
                    <w:rPr>
                      <w:rFonts w:cs="Arial"/>
                      <w:sz w:val="20"/>
                    </w:rPr>
                    <w:t>2009</w:t>
                  </w:r>
                </w:p>
              </w:tc>
              <w:tc>
                <w:tcPr>
                  <w:tcW w:w="1369" w:type="dxa"/>
                </w:tcPr>
                <w:p w:rsidR="0023015B" w:rsidRPr="00CF7E58" w:rsidRDefault="0023015B" w:rsidP="0023015B">
                  <w:pPr>
                    <w:jc w:val="center"/>
                    <w:rPr>
                      <w:rFonts w:cs="Arial"/>
                      <w:sz w:val="20"/>
                    </w:rPr>
                  </w:pPr>
                  <w:r w:rsidRPr="00CF7E58">
                    <w:rPr>
                      <w:rFonts w:cs="Arial"/>
                      <w:sz w:val="20"/>
                    </w:rPr>
                    <w:t>95</w:t>
                  </w:r>
                </w:p>
              </w:tc>
              <w:tc>
                <w:tcPr>
                  <w:tcW w:w="1369" w:type="dxa"/>
                </w:tcPr>
                <w:p w:rsidR="0023015B" w:rsidRPr="00CF7E58" w:rsidRDefault="0023015B" w:rsidP="0023015B">
                  <w:pPr>
                    <w:jc w:val="center"/>
                    <w:rPr>
                      <w:rFonts w:cs="Arial"/>
                      <w:sz w:val="20"/>
                    </w:rPr>
                  </w:pPr>
                  <w:r w:rsidRPr="00CF7E58">
                    <w:rPr>
                      <w:rFonts w:cs="Arial"/>
                      <w:sz w:val="20"/>
                    </w:rPr>
                    <w:t>63</w:t>
                  </w:r>
                </w:p>
              </w:tc>
              <w:tc>
                <w:tcPr>
                  <w:tcW w:w="1369" w:type="dxa"/>
                </w:tcPr>
                <w:p w:rsidR="0023015B" w:rsidRPr="00CF7E58" w:rsidRDefault="0023015B" w:rsidP="0023015B">
                  <w:pPr>
                    <w:jc w:val="center"/>
                    <w:rPr>
                      <w:rFonts w:cs="Arial"/>
                      <w:sz w:val="20"/>
                    </w:rPr>
                  </w:pPr>
                  <w:r w:rsidRPr="00CF7E58">
                    <w:rPr>
                      <w:rFonts w:cs="Arial"/>
                      <w:sz w:val="20"/>
                    </w:rPr>
                    <w:t>66</w:t>
                  </w:r>
                </w:p>
              </w:tc>
              <w:tc>
                <w:tcPr>
                  <w:tcW w:w="1370" w:type="dxa"/>
                </w:tcPr>
                <w:p w:rsidR="0023015B" w:rsidRPr="00CF7E58" w:rsidRDefault="0023015B" w:rsidP="0023015B">
                  <w:pPr>
                    <w:jc w:val="center"/>
                    <w:rPr>
                      <w:rFonts w:cs="Arial"/>
                      <w:sz w:val="20"/>
                    </w:rPr>
                  </w:pPr>
                  <w:r w:rsidRPr="00CF7E58">
                    <w:rPr>
                      <w:rFonts w:cs="Arial"/>
                      <w:sz w:val="20"/>
                    </w:rPr>
                    <w:t>66</w:t>
                  </w:r>
                </w:p>
              </w:tc>
            </w:tr>
            <w:tr w:rsidR="0023015B" w:rsidRPr="00CF7E58" w:rsidTr="0023015B">
              <w:tc>
                <w:tcPr>
                  <w:tcW w:w="1369" w:type="dxa"/>
                </w:tcPr>
                <w:p w:rsidR="0023015B" w:rsidRPr="00CF7E58" w:rsidRDefault="0023015B" w:rsidP="00443209">
                  <w:pPr>
                    <w:rPr>
                      <w:rFonts w:cs="Arial"/>
                      <w:sz w:val="20"/>
                    </w:rPr>
                  </w:pPr>
                  <w:r w:rsidRPr="00CF7E58">
                    <w:rPr>
                      <w:rFonts w:cs="Arial"/>
                      <w:sz w:val="20"/>
                    </w:rPr>
                    <w:t>Overall Total</w:t>
                  </w:r>
                </w:p>
              </w:tc>
              <w:tc>
                <w:tcPr>
                  <w:tcW w:w="1369" w:type="dxa"/>
                </w:tcPr>
                <w:p w:rsidR="0023015B" w:rsidRPr="00CF7E58" w:rsidRDefault="0023015B" w:rsidP="0023015B">
                  <w:pPr>
                    <w:jc w:val="center"/>
                    <w:rPr>
                      <w:rFonts w:cs="Arial"/>
                      <w:sz w:val="20"/>
                    </w:rPr>
                  </w:pPr>
                  <w:r w:rsidRPr="00CF7E58">
                    <w:rPr>
                      <w:rFonts w:cs="Arial"/>
                      <w:sz w:val="20"/>
                    </w:rPr>
                    <w:t>376</w:t>
                  </w:r>
                </w:p>
              </w:tc>
              <w:tc>
                <w:tcPr>
                  <w:tcW w:w="1369" w:type="dxa"/>
                </w:tcPr>
                <w:p w:rsidR="0023015B" w:rsidRPr="00CF7E58" w:rsidRDefault="0023015B" w:rsidP="0023015B">
                  <w:pPr>
                    <w:jc w:val="center"/>
                    <w:rPr>
                      <w:rFonts w:cs="Arial"/>
                      <w:sz w:val="20"/>
                    </w:rPr>
                  </w:pPr>
                  <w:r w:rsidRPr="00CF7E58">
                    <w:rPr>
                      <w:rFonts w:cs="Arial"/>
                      <w:sz w:val="20"/>
                    </w:rPr>
                    <w:t>250</w:t>
                  </w:r>
                </w:p>
              </w:tc>
              <w:tc>
                <w:tcPr>
                  <w:tcW w:w="1369" w:type="dxa"/>
                </w:tcPr>
                <w:p w:rsidR="0023015B" w:rsidRPr="00CF7E58" w:rsidRDefault="0023015B" w:rsidP="0023015B">
                  <w:pPr>
                    <w:jc w:val="center"/>
                    <w:rPr>
                      <w:rFonts w:cs="Arial"/>
                      <w:sz w:val="20"/>
                    </w:rPr>
                  </w:pPr>
                  <w:r w:rsidRPr="00CF7E58">
                    <w:rPr>
                      <w:rFonts w:cs="Arial"/>
                      <w:sz w:val="20"/>
                    </w:rPr>
                    <w:t>66</w:t>
                  </w:r>
                </w:p>
              </w:tc>
              <w:tc>
                <w:tcPr>
                  <w:tcW w:w="1370" w:type="dxa"/>
                </w:tcPr>
                <w:p w:rsidR="0023015B" w:rsidRPr="00CF7E58" w:rsidRDefault="0023015B" w:rsidP="0023015B">
                  <w:pPr>
                    <w:jc w:val="center"/>
                    <w:rPr>
                      <w:rFonts w:cs="Arial"/>
                      <w:sz w:val="20"/>
                    </w:rPr>
                  </w:pPr>
                  <w:r w:rsidRPr="00CF7E58">
                    <w:rPr>
                      <w:rFonts w:cs="Arial"/>
                      <w:sz w:val="20"/>
                    </w:rPr>
                    <w:t>67</w:t>
                  </w:r>
                </w:p>
              </w:tc>
            </w:tr>
          </w:tbl>
          <w:p w:rsidR="0023015B" w:rsidRPr="00CF7E58" w:rsidRDefault="0023015B" w:rsidP="00276F6B">
            <w:pPr>
              <w:rPr>
                <w:rFonts w:cs="Arial"/>
                <w:sz w:val="20"/>
              </w:rPr>
            </w:pPr>
          </w:p>
          <w:p w:rsidR="0023015B" w:rsidRDefault="0023015B" w:rsidP="00276F6B">
            <w:pPr>
              <w:rPr>
                <w:rFonts w:cs="Arial"/>
                <w:b/>
                <w:color w:val="C0504D"/>
                <w:sz w:val="20"/>
              </w:rPr>
            </w:pPr>
          </w:p>
          <w:p w:rsidR="00780D51" w:rsidRPr="00CF7E58" w:rsidRDefault="00CF7E58" w:rsidP="00276F6B">
            <w:pPr>
              <w:rPr>
                <w:rFonts w:cs="Arial"/>
                <w:sz w:val="20"/>
              </w:rPr>
            </w:pPr>
            <w:r w:rsidRPr="00CF7E58">
              <w:rPr>
                <w:rFonts w:cs="Arial"/>
                <w:sz w:val="20"/>
              </w:rPr>
              <w:t>The UT faculty and our School are a</w:t>
            </w:r>
            <w:r w:rsidR="00780D51" w:rsidRPr="00CF7E58">
              <w:rPr>
                <w:rFonts w:cs="Arial"/>
                <w:sz w:val="20"/>
              </w:rPr>
              <w:t>ctively working on retention and success: expanded Orientation Protocol with the following:</w:t>
            </w:r>
          </w:p>
          <w:p w:rsidR="00780D51" w:rsidRPr="00CF7E58" w:rsidRDefault="00780D51" w:rsidP="00780D51">
            <w:pPr>
              <w:numPr>
                <w:ilvl w:val="0"/>
                <w:numId w:val="25"/>
              </w:numPr>
              <w:rPr>
                <w:rFonts w:cs="Arial"/>
                <w:sz w:val="20"/>
              </w:rPr>
            </w:pPr>
            <w:r w:rsidRPr="00CF7E58">
              <w:rPr>
                <w:rFonts w:cs="Arial"/>
                <w:sz w:val="20"/>
              </w:rPr>
              <w:t>comprehensive Orientation Package featuring key program, college</w:t>
            </w:r>
            <w:r w:rsidR="008D0926" w:rsidRPr="00CF7E58">
              <w:rPr>
                <w:rFonts w:cs="Arial"/>
                <w:sz w:val="20"/>
              </w:rPr>
              <w:t xml:space="preserve"> services,</w:t>
            </w:r>
            <w:r w:rsidRPr="00CF7E58">
              <w:rPr>
                <w:rFonts w:cs="Arial"/>
                <w:sz w:val="20"/>
              </w:rPr>
              <w:t xml:space="preserve"> and articulation information</w:t>
            </w:r>
          </w:p>
          <w:p w:rsidR="00780D51" w:rsidRPr="00CF7E58" w:rsidRDefault="00780D51" w:rsidP="00780D51">
            <w:pPr>
              <w:numPr>
                <w:ilvl w:val="0"/>
                <w:numId w:val="25"/>
              </w:numPr>
              <w:rPr>
                <w:rFonts w:cs="Arial"/>
                <w:sz w:val="20"/>
              </w:rPr>
            </w:pPr>
            <w:r w:rsidRPr="00CF7E58">
              <w:rPr>
                <w:rFonts w:cs="Arial"/>
                <w:sz w:val="20"/>
              </w:rPr>
              <w:t>‘in-house’ program advising</w:t>
            </w:r>
          </w:p>
          <w:p w:rsidR="00780D51" w:rsidRPr="00CF7E58" w:rsidRDefault="008D0926" w:rsidP="00780D51">
            <w:pPr>
              <w:numPr>
                <w:ilvl w:val="0"/>
                <w:numId w:val="25"/>
              </w:numPr>
              <w:rPr>
                <w:rFonts w:cs="Arial"/>
                <w:sz w:val="20"/>
              </w:rPr>
            </w:pPr>
            <w:r w:rsidRPr="00CF7E58">
              <w:rPr>
                <w:rFonts w:cs="Arial"/>
                <w:sz w:val="20"/>
              </w:rPr>
              <w:t>enhanced curriculum focused on ‘self culture’ (time management, prioritizing, critical awareness, post-secondary institutional behavior)</w:t>
            </w:r>
          </w:p>
          <w:p w:rsidR="008D0926" w:rsidRPr="00CF7E58" w:rsidRDefault="008D0926" w:rsidP="00780D51">
            <w:pPr>
              <w:numPr>
                <w:ilvl w:val="0"/>
                <w:numId w:val="25"/>
              </w:numPr>
              <w:rPr>
                <w:rFonts w:cs="Arial"/>
                <w:sz w:val="20"/>
              </w:rPr>
            </w:pPr>
            <w:r w:rsidRPr="00CF7E58">
              <w:rPr>
                <w:rFonts w:cs="Arial"/>
                <w:sz w:val="20"/>
              </w:rPr>
              <w:t>regular, timely progress reports</w:t>
            </w:r>
          </w:p>
          <w:p w:rsidR="008D0926" w:rsidRPr="00CF7E58" w:rsidRDefault="008D0926" w:rsidP="00780D51">
            <w:pPr>
              <w:numPr>
                <w:ilvl w:val="0"/>
                <w:numId w:val="25"/>
              </w:numPr>
              <w:rPr>
                <w:rFonts w:cs="Arial"/>
                <w:sz w:val="20"/>
              </w:rPr>
            </w:pPr>
            <w:r w:rsidRPr="00CF7E58">
              <w:rPr>
                <w:rFonts w:cs="Arial"/>
                <w:sz w:val="20"/>
              </w:rPr>
              <w:lastRenderedPageBreak/>
              <w:t>Dean-led informal student contact/discussion meetings</w:t>
            </w:r>
          </w:p>
          <w:p w:rsidR="008D0926" w:rsidRPr="00CF7E58" w:rsidRDefault="008D0926" w:rsidP="00780D51">
            <w:pPr>
              <w:numPr>
                <w:ilvl w:val="0"/>
                <w:numId w:val="25"/>
              </w:numPr>
              <w:rPr>
                <w:rFonts w:cs="Arial"/>
                <w:sz w:val="20"/>
              </w:rPr>
            </w:pPr>
            <w:r w:rsidRPr="00CF7E58">
              <w:rPr>
                <w:rFonts w:cs="Arial"/>
                <w:sz w:val="20"/>
              </w:rPr>
              <w:t>curriculum renewal with focus on interdisciplinarity (cross-over exercises and assignments)</w:t>
            </w:r>
          </w:p>
          <w:p w:rsidR="008D0926" w:rsidRPr="00CF7E58" w:rsidRDefault="008D0926" w:rsidP="00780D51">
            <w:pPr>
              <w:numPr>
                <w:ilvl w:val="0"/>
                <w:numId w:val="25"/>
              </w:numPr>
              <w:rPr>
                <w:rFonts w:cs="Arial"/>
                <w:sz w:val="20"/>
              </w:rPr>
            </w:pPr>
            <w:r w:rsidRPr="00CF7E58">
              <w:rPr>
                <w:rFonts w:cs="Arial"/>
                <w:sz w:val="20"/>
              </w:rPr>
              <w:t>increased opportunities for revision and re-submission of assignments</w:t>
            </w:r>
          </w:p>
          <w:p w:rsidR="008D0926" w:rsidRPr="00CF7E58" w:rsidRDefault="008D0926" w:rsidP="00780D51">
            <w:pPr>
              <w:numPr>
                <w:ilvl w:val="0"/>
                <w:numId w:val="25"/>
              </w:numPr>
              <w:rPr>
                <w:rFonts w:cs="Arial"/>
                <w:sz w:val="20"/>
              </w:rPr>
            </w:pPr>
            <w:r w:rsidRPr="00CF7E58">
              <w:rPr>
                <w:rFonts w:cs="Arial"/>
                <w:sz w:val="20"/>
              </w:rPr>
              <w:t>regular team meetings focused on student progression</w:t>
            </w:r>
          </w:p>
          <w:p w:rsidR="008D0926" w:rsidRPr="00CF7E58" w:rsidRDefault="008D0926" w:rsidP="00780D51">
            <w:pPr>
              <w:numPr>
                <w:ilvl w:val="0"/>
                <w:numId w:val="25"/>
              </w:numPr>
              <w:rPr>
                <w:rFonts w:cs="Arial"/>
                <w:sz w:val="20"/>
              </w:rPr>
            </w:pPr>
            <w:r w:rsidRPr="00CF7E58">
              <w:rPr>
                <w:rFonts w:cs="Arial"/>
                <w:sz w:val="20"/>
              </w:rPr>
              <w:t>drop-in writing labs</w:t>
            </w:r>
          </w:p>
          <w:p w:rsidR="008D0926" w:rsidRDefault="008D0926" w:rsidP="00780D51">
            <w:pPr>
              <w:numPr>
                <w:ilvl w:val="0"/>
                <w:numId w:val="25"/>
              </w:numPr>
              <w:rPr>
                <w:rFonts w:cs="Arial"/>
                <w:sz w:val="20"/>
              </w:rPr>
            </w:pPr>
            <w:r w:rsidRPr="00CF7E58">
              <w:rPr>
                <w:rFonts w:cs="Arial"/>
                <w:sz w:val="20"/>
              </w:rPr>
              <w:t>UT graduate/student mentoring</w:t>
            </w:r>
          </w:p>
          <w:p w:rsidR="00B642D5" w:rsidRPr="00CF7E58" w:rsidRDefault="00B642D5" w:rsidP="00C05A8B">
            <w:pPr>
              <w:ind w:left="360"/>
              <w:rPr>
                <w:rFonts w:cs="Arial"/>
                <w:sz w:val="20"/>
              </w:rPr>
            </w:pPr>
            <w:r>
              <w:rPr>
                <w:rFonts w:cs="Arial"/>
                <w:sz w:val="20"/>
              </w:rPr>
              <w:t xml:space="preserve">(See Recommendation #2, #8, #9, and #12). </w:t>
            </w:r>
          </w:p>
          <w:p w:rsidR="005141C4" w:rsidRDefault="005141C4" w:rsidP="00276F6B">
            <w:pPr>
              <w:rPr>
                <w:rFonts w:cs="Arial"/>
                <w:b/>
                <w:color w:val="C0504D"/>
                <w:sz w:val="20"/>
              </w:rPr>
            </w:pPr>
          </w:p>
          <w:p w:rsidR="005141C4" w:rsidRPr="00CF7E58" w:rsidRDefault="005141C4" w:rsidP="0067059F">
            <w:pPr>
              <w:jc w:val="both"/>
              <w:rPr>
                <w:sz w:val="20"/>
              </w:rPr>
            </w:pPr>
            <w:r w:rsidRPr="0067059F">
              <w:rPr>
                <w:rFonts w:cs="Arial"/>
                <w:sz w:val="20"/>
              </w:rPr>
              <w:t>According to Karen Maki, Director, Post-Secondary Partnerships, Trent University</w:t>
            </w:r>
            <w:r w:rsidR="0067059F" w:rsidRPr="0067059F">
              <w:rPr>
                <w:rFonts w:cs="Arial"/>
                <w:sz w:val="20"/>
              </w:rPr>
              <w:t xml:space="preserve"> on the subject of tracking UT graduate progress</w:t>
            </w:r>
            <w:r w:rsidRPr="0067059F">
              <w:rPr>
                <w:rFonts w:cs="Arial"/>
                <w:sz w:val="20"/>
              </w:rPr>
              <w:t>:</w:t>
            </w:r>
            <w:r w:rsidRPr="005141C4">
              <w:rPr>
                <w:rFonts w:cs="Arial"/>
                <w:b/>
                <w:color w:val="00B050"/>
                <w:sz w:val="20"/>
              </w:rPr>
              <w:t xml:space="preserve"> </w:t>
            </w:r>
            <w:r w:rsidRPr="00CF7E58">
              <w:rPr>
                <w:sz w:val="20"/>
              </w:rPr>
              <w:t xml:space="preserve">Statistical analyses have not been conducted, but it is noted that retention rates </w:t>
            </w:r>
            <w:r w:rsidR="00780D51" w:rsidRPr="00CF7E58">
              <w:rPr>
                <w:sz w:val="20"/>
              </w:rPr>
              <w:t xml:space="preserve">[of UT grads at Trent] </w:t>
            </w:r>
            <w:r w:rsidRPr="00CF7E58">
              <w:rPr>
                <w:sz w:val="20"/>
              </w:rPr>
              <w:t>are in very close alignment with direct high school entrants.  There continues to be considerable variation across cohorts, making it difficult to make comparisons and draw conclusions about student performance overall.  The need for a systematic approach to data collection and tracking is emphasized.</w:t>
            </w:r>
            <w:r w:rsidR="0067059F">
              <w:rPr>
                <w:sz w:val="20"/>
              </w:rPr>
              <w:t xml:space="preserve"> (See Recommendation #14).</w:t>
            </w:r>
          </w:p>
          <w:p w:rsidR="00780D51" w:rsidRPr="00CF7E58" w:rsidRDefault="00780D51" w:rsidP="00CF7E58">
            <w:pPr>
              <w:jc w:val="both"/>
              <w:rPr>
                <w:rFonts w:cs="Arial"/>
                <w:sz w:val="20"/>
              </w:rPr>
            </w:pPr>
          </w:p>
          <w:p w:rsidR="00780D51" w:rsidRPr="00780D51" w:rsidRDefault="00780D51" w:rsidP="00780D51">
            <w:pPr>
              <w:rPr>
                <w:b/>
                <w:sz w:val="20"/>
              </w:rPr>
            </w:pPr>
            <w:r w:rsidRPr="00780D51">
              <w:rPr>
                <w:b/>
                <w:sz w:val="20"/>
              </w:rPr>
              <w:t>University Transfer – How are they doing?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872"/>
              <w:gridCol w:w="872"/>
              <w:gridCol w:w="872"/>
              <w:gridCol w:w="872"/>
              <w:gridCol w:w="1006"/>
              <w:gridCol w:w="895"/>
            </w:tblGrid>
            <w:tr w:rsidR="00780D51" w:rsidRPr="00780D51" w:rsidTr="00780D51">
              <w:tc>
                <w:tcPr>
                  <w:tcW w:w="4684" w:type="dxa"/>
                </w:tcPr>
                <w:p w:rsidR="00780D51" w:rsidRPr="00780D51" w:rsidRDefault="00780D51" w:rsidP="00780D51">
                  <w:pPr>
                    <w:rPr>
                      <w:sz w:val="20"/>
                    </w:rPr>
                  </w:pPr>
                </w:p>
              </w:tc>
              <w:tc>
                <w:tcPr>
                  <w:tcW w:w="1364" w:type="dxa"/>
                </w:tcPr>
                <w:p w:rsidR="00780D51" w:rsidRPr="00780D51" w:rsidRDefault="00780D51" w:rsidP="00780D51">
                  <w:pPr>
                    <w:jc w:val="center"/>
                    <w:rPr>
                      <w:b/>
                      <w:sz w:val="20"/>
                    </w:rPr>
                  </w:pPr>
                  <w:r w:rsidRPr="00780D51">
                    <w:rPr>
                      <w:b/>
                      <w:sz w:val="20"/>
                    </w:rPr>
                    <w:t>Cohort 1</w:t>
                  </w:r>
                </w:p>
                <w:p w:rsidR="00780D51" w:rsidRPr="00780D51" w:rsidRDefault="00780D51" w:rsidP="00780D51">
                  <w:pPr>
                    <w:jc w:val="center"/>
                    <w:rPr>
                      <w:b/>
                      <w:sz w:val="20"/>
                    </w:rPr>
                  </w:pPr>
                  <w:r w:rsidRPr="00780D51">
                    <w:rPr>
                      <w:b/>
                      <w:sz w:val="20"/>
                    </w:rPr>
                    <w:t>2006</w:t>
                  </w:r>
                </w:p>
              </w:tc>
              <w:tc>
                <w:tcPr>
                  <w:tcW w:w="1440" w:type="dxa"/>
                </w:tcPr>
                <w:p w:rsidR="00780D51" w:rsidRPr="00780D51" w:rsidRDefault="00780D51" w:rsidP="00780D51">
                  <w:pPr>
                    <w:jc w:val="center"/>
                    <w:rPr>
                      <w:b/>
                      <w:sz w:val="20"/>
                    </w:rPr>
                  </w:pPr>
                  <w:r w:rsidRPr="00780D51">
                    <w:rPr>
                      <w:b/>
                      <w:sz w:val="20"/>
                    </w:rPr>
                    <w:t>Cohort 2</w:t>
                  </w:r>
                </w:p>
                <w:p w:rsidR="00780D51" w:rsidRPr="00780D51" w:rsidRDefault="00780D51" w:rsidP="00780D51">
                  <w:pPr>
                    <w:jc w:val="center"/>
                    <w:rPr>
                      <w:b/>
                      <w:sz w:val="20"/>
                    </w:rPr>
                  </w:pPr>
                  <w:r w:rsidRPr="00780D51">
                    <w:rPr>
                      <w:b/>
                      <w:sz w:val="20"/>
                    </w:rPr>
                    <w:t>2007</w:t>
                  </w:r>
                </w:p>
              </w:tc>
              <w:tc>
                <w:tcPr>
                  <w:tcW w:w="1440" w:type="dxa"/>
                </w:tcPr>
                <w:p w:rsidR="00780D51" w:rsidRPr="00780D51" w:rsidRDefault="00780D51" w:rsidP="00780D51">
                  <w:pPr>
                    <w:jc w:val="center"/>
                    <w:rPr>
                      <w:b/>
                      <w:sz w:val="20"/>
                    </w:rPr>
                  </w:pPr>
                  <w:r w:rsidRPr="00780D51">
                    <w:rPr>
                      <w:b/>
                      <w:sz w:val="20"/>
                    </w:rPr>
                    <w:t>Cohort 3</w:t>
                  </w:r>
                </w:p>
                <w:p w:rsidR="00780D51" w:rsidRPr="00780D51" w:rsidRDefault="00780D51" w:rsidP="00780D51">
                  <w:pPr>
                    <w:jc w:val="center"/>
                    <w:rPr>
                      <w:b/>
                      <w:sz w:val="20"/>
                    </w:rPr>
                  </w:pPr>
                  <w:r w:rsidRPr="00780D51">
                    <w:rPr>
                      <w:b/>
                      <w:sz w:val="20"/>
                    </w:rPr>
                    <w:t>2008</w:t>
                  </w:r>
                </w:p>
              </w:tc>
              <w:tc>
                <w:tcPr>
                  <w:tcW w:w="1440" w:type="dxa"/>
                </w:tcPr>
                <w:p w:rsidR="00780D51" w:rsidRPr="00780D51" w:rsidRDefault="00780D51" w:rsidP="00780D51">
                  <w:pPr>
                    <w:jc w:val="center"/>
                    <w:rPr>
                      <w:b/>
                      <w:sz w:val="20"/>
                    </w:rPr>
                  </w:pPr>
                  <w:r w:rsidRPr="00780D51">
                    <w:rPr>
                      <w:b/>
                      <w:sz w:val="20"/>
                    </w:rPr>
                    <w:t>Cohort 4</w:t>
                  </w:r>
                </w:p>
                <w:p w:rsidR="00780D51" w:rsidRPr="00780D51" w:rsidRDefault="00780D51" w:rsidP="00780D51">
                  <w:pPr>
                    <w:jc w:val="center"/>
                    <w:rPr>
                      <w:b/>
                      <w:sz w:val="20"/>
                    </w:rPr>
                  </w:pPr>
                  <w:r w:rsidRPr="00780D51">
                    <w:rPr>
                      <w:b/>
                      <w:sz w:val="20"/>
                    </w:rPr>
                    <w:t>2009</w:t>
                  </w:r>
                </w:p>
              </w:tc>
              <w:tc>
                <w:tcPr>
                  <w:tcW w:w="1260" w:type="dxa"/>
                </w:tcPr>
                <w:p w:rsidR="00780D51" w:rsidRPr="00780D51" w:rsidRDefault="00780D51" w:rsidP="00780D51">
                  <w:pPr>
                    <w:jc w:val="center"/>
                    <w:rPr>
                      <w:b/>
                      <w:sz w:val="20"/>
                    </w:rPr>
                  </w:pPr>
                  <w:r w:rsidRPr="00780D51">
                    <w:rPr>
                      <w:b/>
                      <w:sz w:val="20"/>
                    </w:rPr>
                    <w:t>Cohort 5</w:t>
                  </w:r>
                </w:p>
                <w:p w:rsidR="00780D51" w:rsidRPr="00780D51" w:rsidRDefault="00780D51" w:rsidP="00780D51">
                  <w:pPr>
                    <w:jc w:val="center"/>
                    <w:rPr>
                      <w:b/>
                      <w:sz w:val="20"/>
                    </w:rPr>
                  </w:pPr>
                  <w:r w:rsidRPr="00780D51">
                    <w:rPr>
                      <w:b/>
                      <w:sz w:val="20"/>
                    </w:rPr>
                    <w:t>2010</w:t>
                  </w:r>
                </w:p>
              </w:tc>
              <w:tc>
                <w:tcPr>
                  <w:tcW w:w="1548" w:type="dxa"/>
                </w:tcPr>
                <w:p w:rsidR="00780D51" w:rsidRPr="00780D51" w:rsidRDefault="00780D51" w:rsidP="00780D51">
                  <w:pPr>
                    <w:jc w:val="center"/>
                    <w:rPr>
                      <w:b/>
                      <w:sz w:val="20"/>
                    </w:rPr>
                  </w:pPr>
                  <w:r w:rsidRPr="00780D51">
                    <w:rPr>
                      <w:b/>
                      <w:sz w:val="20"/>
                    </w:rPr>
                    <w:t>Overall</w:t>
                  </w:r>
                </w:p>
              </w:tc>
            </w:tr>
            <w:tr w:rsidR="00780D51" w:rsidRPr="00780D51" w:rsidTr="00780D51">
              <w:tc>
                <w:tcPr>
                  <w:tcW w:w="4684" w:type="dxa"/>
                </w:tcPr>
                <w:p w:rsidR="00780D51" w:rsidRPr="00780D51" w:rsidRDefault="00780D51" w:rsidP="00780D51">
                  <w:pPr>
                    <w:rPr>
                      <w:sz w:val="20"/>
                    </w:rPr>
                  </w:pPr>
                  <w:r w:rsidRPr="00780D51">
                    <w:rPr>
                      <w:sz w:val="20"/>
                    </w:rPr>
                    <w:t>Total in cohort</w:t>
                  </w:r>
                </w:p>
              </w:tc>
              <w:tc>
                <w:tcPr>
                  <w:tcW w:w="1364" w:type="dxa"/>
                  <w:vAlign w:val="center"/>
                </w:tcPr>
                <w:p w:rsidR="00780D51" w:rsidRPr="00780D51" w:rsidRDefault="00780D51" w:rsidP="00780D51">
                  <w:pPr>
                    <w:jc w:val="right"/>
                    <w:rPr>
                      <w:sz w:val="20"/>
                    </w:rPr>
                  </w:pPr>
                  <w:r w:rsidRPr="00780D51">
                    <w:rPr>
                      <w:sz w:val="20"/>
                    </w:rPr>
                    <w:t>8</w:t>
                  </w:r>
                </w:p>
              </w:tc>
              <w:tc>
                <w:tcPr>
                  <w:tcW w:w="1440" w:type="dxa"/>
                  <w:vAlign w:val="center"/>
                </w:tcPr>
                <w:p w:rsidR="00780D51" w:rsidRPr="00780D51" w:rsidRDefault="00780D51" w:rsidP="00780D51">
                  <w:pPr>
                    <w:jc w:val="right"/>
                    <w:rPr>
                      <w:sz w:val="20"/>
                    </w:rPr>
                  </w:pPr>
                  <w:r w:rsidRPr="00780D51">
                    <w:rPr>
                      <w:sz w:val="20"/>
                    </w:rPr>
                    <w:t>23</w:t>
                  </w:r>
                </w:p>
              </w:tc>
              <w:tc>
                <w:tcPr>
                  <w:tcW w:w="1440" w:type="dxa"/>
                  <w:vAlign w:val="center"/>
                </w:tcPr>
                <w:p w:rsidR="00780D51" w:rsidRPr="00780D51" w:rsidRDefault="00780D51" w:rsidP="00780D51">
                  <w:pPr>
                    <w:jc w:val="right"/>
                    <w:rPr>
                      <w:sz w:val="20"/>
                    </w:rPr>
                  </w:pPr>
                  <w:r w:rsidRPr="00780D51">
                    <w:rPr>
                      <w:sz w:val="20"/>
                    </w:rPr>
                    <w:t>42</w:t>
                  </w:r>
                </w:p>
              </w:tc>
              <w:tc>
                <w:tcPr>
                  <w:tcW w:w="1440" w:type="dxa"/>
                  <w:vAlign w:val="center"/>
                </w:tcPr>
                <w:p w:rsidR="00780D51" w:rsidRPr="00780D51" w:rsidRDefault="00780D51" w:rsidP="00780D51">
                  <w:pPr>
                    <w:jc w:val="right"/>
                    <w:rPr>
                      <w:sz w:val="20"/>
                    </w:rPr>
                  </w:pPr>
                  <w:r w:rsidRPr="00780D51">
                    <w:rPr>
                      <w:sz w:val="20"/>
                    </w:rPr>
                    <w:t>26</w:t>
                  </w:r>
                </w:p>
              </w:tc>
              <w:tc>
                <w:tcPr>
                  <w:tcW w:w="1260" w:type="dxa"/>
                </w:tcPr>
                <w:p w:rsidR="00780D51" w:rsidRPr="00780D51" w:rsidRDefault="00780D51" w:rsidP="00780D51">
                  <w:pPr>
                    <w:jc w:val="right"/>
                    <w:rPr>
                      <w:sz w:val="20"/>
                    </w:rPr>
                  </w:pPr>
                  <w:r w:rsidRPr="00780D51">
                    <w:rPr>
                      <w:sz w:val="20"/>
                    </w:rPr>
                    <w:t>48</w:t>
                  </w:r>
                </w:p>
              </w:tc>
              <w:tc>
                <w:tcPr>
                  <w:tcW w:w="1548" w:type="dxa"/>
                  <w:vAlign w:val="center"/>
                </w:tcPr>
                <w:p w:rsidR="00780D51" w:rsidRPr="00780D51" w:rsidRDefault="00780D51" w:rsidP="00780D51">
                  <w:pPr>
                    <w:jc w:val="right"/>
                    <w:rPr>
                      <w:sz w:val="20"/>
                    </w:rPr>
                  </w:pPr>
                  <w:r w:rsidRPr="00780D51">
                    <w:rPr>
                      <w:sz w:val="20"/>
                    </w:rPr>
                    <w:t>147</w:t>
                  </w:r>
                </w:p>
              </w:tc>
            </w:tr>
            <w:tr w:rsidR="00780D51" w:rsidRPr="00780D51" w:rsidTr="00780D51">
              <w:tc>
                <w:tcPr>
                  <w:tcW w:w="4684" w:type="dxa"/>
                </w:tcPr>
                <w:p w:rsidR="00780D51" w:rsidRPr="00780D51" w:rsidRDefault="00780D51" w:rsidP="00780D51">
                  <w:pPr>
                    <w:rPr>
                      <w:sz w:val="20"/>
                    </w:rPr>
                  </w:pPr>
                  <w:r w:rsidRPr="00780D51">
                    <w:rPr>
                      <w:sz w:val="20"/>
                    </w:rPr>
                    <w:t># meeting AA (%)</w:t>
                  </w:r>
                </w:p>
              </w:tc>
              <w:tc>
                <w:tcPr>
                  <w:tcW w:w="1364" w:type="dxa"/>
                  <w:vAlign w:val="center"/>
                </w:tcPr>
                <w:p w:rsidR="00780D51" w:rsidRPr="00780D51" w:rsidRDefault="00780D51" w:rsidP="00780D51">
                  <w:pPr>
                    <w:jc w:val="right"/>
                    <w:rPr>
                      <w:sz w:val="20"/>
                    </w:rPr>
                  </w:pPr>
                  <w:r w:rsidRPr="00780D51">
                    <w:rPr>
                      <w:sz w:val="20"/>
                    </w:rPr>
                    <w:t>7 (88%)</w:t>
                  </w:r>
                </w:p>
              </w:tc>
              <w:tc>
                <w:tcPr>
                  <w:tcW w:w="1440" w:type="dxa"/>
                  <w:vAlign w:val="center"/>
                </w:tcPr>
                <w:p w:rsidR="00780D51" w:rsidRPr="00780D51" w:rsidRDefault="00780D51" w:rsidP="00780D51">
                  <w:pPr>
                    <w:jc w:val="right"/>
                    <w:rPr>
                      <w:sz w:val="20"/>
                    </w:rPr>
                  </w:pPr>
                  <w:r w:rsidRPr="00780D51">
                    <w:rPr>
                      <w:sz w:val="20"/>
                    </w:rPr>
                    <w:t>15 (65%)</w:t>
                  </w:r>
                </w:p>
              </w:tc>
              <w:tc>
                <w:tcPr>
                  <w:tcW w:w="1440" w:type="dxa"/>
                  <w:vAlign w:val="center"/>
                </w:tcPr>
                <w:p w:rsidR="00780D51" w:rsidRPr="00780D51" w:rsidRDefault="00780D51" w:rsidP="00780D51">
                  <w:pPr>
                    <w:jc w:val="right"/>
                    <w:rPr>
                      <w:sz w:val="20"/>
                    </w:rPr>
                  </w:pPr>
                  <w:r w:rsidRPr="00780D51">
                    <w:rPr>
                      <w:sz w:val="20"/>
                    </w:rPr>
                    <w:t>30 (71%)</w:t>
                  </w:r>
                </w:p>
              </w:tc>
              <w:tc>
                <w:tcPr>
                  <w:tcW w:w="1440" w:type="dxa"/>
                  <w:vAlign w:val="center"/>
                </w:tcPr>
                <w:p w:rsidR="00780D51" w:rsidRPr="00780D51" w:rsidRDefault="00780D51" w:rsidP="00780D51">
                  <w:pPr>
                    <w:jc w:val="right"/>
                    <w:rPr>
                      <w:sz w:val="20"/>
                    </w:rPr>
                  </w:pPr>
                  <w:r w:rsidRPr="00780D51">
                    <w:rPr>
                      <w:sz w:val="20"/>
                    </w:rPr>
                    <w:t>23 (88%)</w:t>
                  </w:r>
                </w:p>
              </w:tc>
              <w:tc>
                <w:tcPr>
                  <w:tcW w:w="1260" w:type="dxa"/>
                </w:tcPr>
                <w:p w:rsidR="00780D51" w:rsidRPr="00780D51" w:rsidRDefault="00780D51" w:rsidP="00780D51">
                  <w:pPr>
                    <w:jc w:val="right"/>
                    <w:rPr>
                      <w:sz w:val="20"/>
                    </w:rPr>
                  </w:pPr>
                  <w:r w:rsidRPr="00780D51">
                    <w:rPr>
                      <w:sz w:val="20"/>
                    </w:rPr>
                    <w:t>36 (75%)</w:t>
                  </w:r>
                </w:p>
              </w:tc>
              <w:tc>
                <w:tcPr>
                  <w:tcW w:w="1548" w:type="dxa"/>
                  <w:vAlign w:val="center"/>
                </w:tcPr>
                <w:p w:rsidR="00780D51" w:rsidRPr="00780D51" w:rsidRDefault="00780D51" w:rsidP="00780D51">
                  <w:pPr>
                    <w:jc w:val="right"/>
                    <w:rPr>
                      <w:sz w:val="20"/>
                    </w:rPr>
                  </w:pPr>
                  <w:r w:rsidRPr="00780D51">
                    <w:rPr>
                      <w:sz w:val="20"/>
                    </w:rPr>
                    <w:t>111 (76%)</w:t>
                  </w:r>
                </w:p>
              </w:tc>
            </w:tr>
            <w:tr w:rsidR="00780D51" w:rsidRPr="00780D51" w:rsidTr="00780D51">
              <w:tc>
                <w:tcPr>
                  <w:tcW w:w="4684" w:type="dxa"/>
                </w:tcPr>
                <w:p w:rsidR="00780D51" w:rsidRPr="00780D51" w:rsidRDefault="00780D51" w:rsidP="00780D51">
                  <w:pPr>
                    <w:rPr>
                      <w:sz w:val="20"/>
                    </w:rPr>
                  </w:pPr>
                  <w:r w:rsidRPr="00780D51">
                    <w:rPr>
                      <w:sz w:val="20"/>
                    </w:rPr>
                    <w:t>Year 1 average (cohort)</w:t>
                  </w:r>
                </w:p>
              </w:tc>
              <w:tc>
                <w:tcPr>
                  <w:tcW w:w="1364" w:type="dxa"/>
                  <w:vAlign w:val="center"/>
                </w:tcPr>
                <w:p w:rsidR="00780D51" w:rsidRPr="00780D51" w:rsidRDefault="00780D51" w:rsidP="00780D51">
                  <w:pPr>
                    <w:jc w:val="right"/>
                    <w:rPr>
                      <w:sz w:val="20"/>
                    </w:rPr>
                  </w:pPr>
                  <w:r w:rsidRPr="00780D51">
                    <w:rPr>
                      <w:sz w:val="20"/>
                    </w:rPr>
                    <w:t>60.4%</w:t>
                  </w:r>
                </w:p>
              </w:tc>
              <w:tc>
                <w:tcPr>
                  <w:tcW w:w="1440" w:type="dxa"/>
                  <w:vAlign w:val="center"/>
                </w:tcPr>
                <w:p w:rsidR="00780D51" w:rsidRPr="00780D51" w:rsidRDefault="00780D51" w:rsidP="00780D51">
                  <w:pPr>
                    <w:jc w:val="right"/>
                    <w:rPr>
                      <w:sz w:val="20"/>
                    </w:rPr>
                  </w:pPr>
                  <w:r w:rsidRPr="00780D51">
                    <w:rPr>
                      <w:sz w:val="20"/>
                    </w:rPr>
                    <w:t>62.8%</w:t>
                  </w:r>
                </w:p>
              </w:tc>
              <w:tc>
                <w:tcPr>
                  <w:tcW w:w="1440" w:type="dxa"/>
                  <w:vAlign w:val="center"/>
                </w:tcPr>
                <w:p w:rsidR="00780D51" w:rsidRPr="00780D51" w:rsidRDefault="00780D51" w:rsidP="00780D51">
                  <w:pPr>
                    <w:jc w:val="right"/>
                    <w:rPr>
                      <w:sz w:val="20"/>
                    </w:rPr>
                  </w:pPr>
                  <w:r w:rsidRPr="00780D51">
                    <w:rPr>
                      <w:sz w:val="20"/>
                    </w:rPr>
                    <w:t>65.8%</w:t>
                  </w:r>
                </w:p>
              </w:tc>
              <w:tc>
                <w:tcPr>
                  <w:tcW w:w="1440" w:type="dxa"/>
                  <w:vAlign w:val="center"/>
                </w:tcPr>
                <w:p w:rsidR="00780D51" w:rsidRPr="00780D51" w:rsidRDefault="00780D51" w:rsidP="00780D51">
                  <w:pPr>
                    <w:jc w:val="right"/>
                    <w:rPr>
                      <w:sz w:val="20"/>
                    </w:rPr>
                  </w:pPr>
                  <w:r w:rsidRPr="00780D51">
                    <w:rPr>
                      <w:sz w:val="20"/>
                    </w:rPr>
                    <w:t>68.4%</w:t>
                  </w:r>
                </w:p>
              </w:tc>
              <w:tc>
                <w:tcPr>
                  <w:tcW w:w="1260" w:type="dxa"/>
                </w:tcPr>
                <w:p w:rsidR="00780D51" w:rsidRPr="00780D51" w:rsidRDefault="00780D51" w:rsidP="00780D51">
                  <w:pPr>
                    <w:jc w:val="right"/>
                    <w:rPr>
                      <w:sz w:val="20"/>
                    </w:rPr>
                  </w:pPr>
                  <w:r w:rsidRPr="00780D51">
                    <w:rPr>
                      <w:sz w:val="20"/>
                    </w:rPr>
                    <w:t>Not available</w:t>
                  </w:r>
                </w:p>
              </w:tc>
              <w:tc>
                <w:tcPr>
                  <w:tcW w:w="1548" w:type="dxa"/>
                  <w:vAlign w:val="center"/>
                </w:tcPr>
                <w:p w:rsidR="00780D51" w:rsidRPr="00780D51" w:rsidRDefault="00780D51" w:rsidP="00780D51">
                  <w:pPr>
                    <w:jc w:val="right"/>
                    <w:rPr>
                      <w:sz w:val="20"/>
                    </w:rPr>
                  </w:pPr>
                </w:p>
              </w:tc>
            </w:tr>
            <w:tr w:rsidR="00780D51" w:rsidRPr="00780D51" w:rsidTr="00780D51">
              <w:tc>
                <w:tcPr>
                  <w:tcW w:w="4684" w:type="dxa"/>
                </w:tcPr>
                <w:p w:rsidR="00780D51" w:rsidRPr="00780D51" w:rsidRDefault="00780D51" w:rsidP="00780D51">
                  <w:pPr>
                    <w:rPr>
                      <w:sz w:val="20"/>
                    </w:rPr>
                  </w:pPr>
                  <w:r w:rsidRPr="00780D51">
                    <w:rPr>
                      <w:sz w:val="20"/>
                    </w:rPr>
                    <w:t>Year 1 average (met AA)</w:t>
                  </w:r>
                </w:p>
              </w:tc>
              <w:tc>
                <w:tcPr>
                  <w:tcW w:w="1364" w:type="dxa"/>
                  <w:vAlign w:val="center"/>
                </w:tcPr>
                <w:p w:rsidR="00780D51" w:rsidRPr="00780D51" w:rsidRDefault="00780D51" w:rsidP="00780D51">
                  <w:pPr>
                    <w:jc w:val="right"/>
                    <w:rPr>
                      <w:sz w:val="20"/>
                    </w:rPr>
                  </w:pPr>
                  <w:r w:rsidRPr="00780D51">
                    <w:rPr>
                      <w:sz w:val="20"/>
                    </w:rPr>
                    <w:t>60.4%</w:t>
                  </w:r>
                </w:p>
              </w:tc>
              <w:tc>
                <w:tcPr>
                  <w:tcW w:w="1440" w:type="dxa"/>
                  <w:vAlign w:val="center"/>
                </w:tcPr>
                <w:p w:rsidR="00780D51" w:rsidRPr="00780D51" w:rsidRDefault="00780D51" w:rsidP="00780D51">
                  <w:pPr>
                    <w:jc w:val="right"/>
                    <w:rPr>
                      <w:sz w:val="20"/>
                    </w:rPr>
                  </w:pPr>
                  <w:r w:rsidRPr="00780D51">
                    <w:rPr>
                      <w:sz w:val="20"/>
                    </w:rPr>
                    <w:t>66.4%</w:t>
                  </w:r>
                </w:p>
              </w:tc>
              <w:tc>
                <w:tcPr>
                  <w:tcW w:w="1440" w:type="dxa"/>
                  <w:vAlign w:val="center"/>
                </w:tcPr>
                <w:p w:rsidR="00780D51" w:rsidRPr="00780D51" w:rsidRDefault="00780D51" w:rsidP="00780D51">
                  <w:pPr>
                    <w:jc w:val="right"/>
                    <w:rPr>
                      <w:sz w:val="20"/>
                    </w:rPr>
                  </w:pPr>
                  <w:r w:rsidRPr="00780D51">
                    <w:rPr>
                      <w:sz w:val="20"/>
                    </w:rPr>
                    <w:t>67.4%</w:t>
                  </w:r>
                </w:p>
              </w:tc>
              <w:tc>
                <w:tcPr>
                  <w:tcW w:w="1440" w:type="dxa"/>
                  <w:vAlign w:val="center"/>
                </w:tcPr>
                <w:p w:rsidR="00780D51" w:rsidRPr="00780D51" w:rsidRDefault="00780D51" w:rsidP="00780D51">
                  <w:pPr>
                    <w:jc w:val="right"/>
                    <w:rPr>
                      <w:sz w:val="20"/>
                    </w:rPr>
                  </w:pPr>
                  <w:r w:rsidRPr="00780D51">
                    <w:rPr>
                      <w:sz w:val="20"/>
                    </w:rPr>
                    <w:t>63.8%</w:t>
                  </w:r>
                </w:p>
              </w:tc>
              <w:tc>
                <w:tcPr>
                  <w:tcW w:w="1260" w:type="dxa"/>
                </w:tcPr>
                <w:p w:rsidR="00780D51" w:rsidRPr="00780D51" w:rsidRDefault="00780D51" w:rsidP="00780D51">
                  <w:pPr>
                    <w:jc w:val="right"/>
                    <w:rPr>
                      <w:sz w:val="20"/>
                    </w:rPr>
                  </w:pPr>
                  <w:r w:rsidRPr="00780D51">
                    <w:rPr>
                      <w:sz w:val="20"/>
                    </w:rPr>
                    <w:t>Not available</w:t>
                  </w:r>
                </w:p>
              </w:tc>
              <w:tc>
                <w:tcPr>
                  <w:tcW w:w="1548" w:type="dxa"/>
                  <w:vAlign w:val="center"/>
                </w:tcPr>
                <w:p w:rsidR="00780D51" w:rsidRPr="00780D51" w:rsidRDefault="00780D51" w:rsidP="00780D51">
                  <w:pPr>
                    <w:jc w:val="right"/>
                    <w:rPr>
                      <w:sz w:val="20"/>
                    </w:rPr>
                  </w:pPr>
                </w:p>
              </w:tc>
            </w:tr>
            <w:tr w:rsidR="00780D51" w:rsidRPr="00780D51" w:rsidTr="00780D51">
              <w:tc>
                <w:tcPr>
                  <w:tcW w:w="4684" w:type="dxa"/>
                </w:tcPr>
                <w:p w:rsidR="00780D51" w:rsidRPr="00780D51" w:rsidRDefault="00780D51" w:rsidP="00780D51">
                  <w:pPr>
                    <w:rPr>
                      <w:sz w:val="20"/>
                    </w:rPr>
                  </w:pPr>
                </w:p>
              </w:tc>
              <w:tc>
                <w:tcPr>
                  <w:tcW w:w="1364" w:type="dxa"/>
                  <w:vAlign w:val="center"/>
                </w:tcPr>
                <w:p w:rsidR="00780D51" w:rsidRPr="00780D51" w:rsidRDefault="00780D51" w:rsidP="00780D51">
                  <w:pPr>
                    <w:jc w:val="right"/>
                    <w:rPr>
                      <w:sz w:val="20"/>
                    </w:rPr>
                  </w:pPr>
                </w:p>
              </w:tc>
              <w:tc>
                <w:tcPr>
                  <w:tcW w:w="1440" w:type="dxa"/>
                  <w:vAlign w:val="center"/>
                </w:tcPr>
                <w:p w:rsidR="00780D51" w:rsidRPr="00780D51" w:rsidRDefault="00780D51" w:rsidP="00780D51">
                  <w:pPr>
                    <w:jc w:val="right"/>
                    <w:rPr>
                      <w:sz w:val="20"/>
                    </w:rPr>
                  </w:pPr>
                </w:p>
              </w:tc>
              <w:tc>
                <w:tcPr>
                  <w:tcW w:w="1440" w:type="dxa"/>
                  <w:vAlign w:val="center"/>
                </w:tcPr>
                <w:p w:rsidR="00780D51" w:rsidRPr="00780D51" w:rsidRDefault="00780D51" w:rsidP="00780D51">
                  <w:pPr>
                    <w:jc w:val="right"/>
                    <w:rPr>
                      <w:sz w:val="20"/>
                    </w:rPr>
                  </w:pPr>
                </w:p>
              </w:tc>
              <w:tc>
                <w:tcPr>
                  <w:tcW w:w="1440" w:type="dxa"/>
                  <w:vAlign w:val="center"/>
                </w:tcPr>
                <w:p w:rsidR="00780D51" w:rsidRPr="00780D51" w:rsidRDefault="00780D51" w:rsidP="00780D51">
                  <w:pPr>
                    <w:jc w:val="right"/>
                    <w:rPr>
                      <w:sz w:val="20"/>
                    </w:rPr>
                  </w:pPr>
                </w:p>
              </w:tc>
              <w:tc>
                <w:tcPr>
                  <w:tcW w:w="1260" w:type="dxa"/>
                </w:tcPr>
                <w:p w:rsidR="00780D51" w:rsidRPr="00780D51" w:rsidRDefault="00780D51" w:rsidP="00780D51">
                  <w:pPr>
                    <w:jc w:val="right"/>
                    <w:rPr>
                      <w:sz w:val="20"/>
                    </w:rPr>
                  </w:pPr>
                </w:p>
              </w:tc>
              <w:tc>
                <w:tcPr>
                  <w:tcW w:w="1548" w:type="dxa"/>
                  <w:vAlign w:val="center"/>
                </w:tcPr>
                <w:p w:rsidR="00780D51" w:rsidRPr="00780D51" w:rsidRDefault="00780D51" w:rsidP="00780D51">
                  <w:pPr>
                    <w:jc w:val="right"/>
                    <w:rPr>
                      <w:sz w:val="20"/>
                    </w:rPr>
                  </w:pPr>
                </w:p>
              </w:tc>
            </w:tr>
            <w:tr w:rsidR="00780D51" w:rsidRPr="00780D51" w:rsidTr="00780D51">
              <w:tc>
                <w:tcPr>
                  <w:tcW w:w="4684" w:type="dxa"/>
                </w:tcPr>
                <w:p w:rsidR="00780D51" w:rsidRPr="00780D51" w:rsidRDefault="00780D51" w:rsidP="00780D51">
                  <w:pPr>
                    <w:rPr>
                      <w:sz w:val="20"/>
                    </w:rPr>
                  </w:pPr>
                  <w:r w:rsidRPr="00780D51">
                    <w:rPr>
                      <w:sz w:val="20"/>
                    </w:rPr>
                    <w:t>Continuing students after year 1</w:t>
                  </w:r>
                </w:p>
              </w:tc>
              <w:tc>
                <w:tcPr>
                  <w:tcW w:w="1364" w:type="dxa"/>
                  <w:vAlign w:val="center"/>
                </w:tcPr>
                <w:p w:rsidR="00780D51" w:rsidRPr="00780D51" w:rsidRDefault="00780D51" w:rsidP="00780D51">
                  <w:pPr>
                    <w:jc w:val="right"/>
                    <w:rPr>
                      <w:sz w:val="20"/>
                    </w:rPr>
                  </w:pPr>
                  <w:r w:rsidRPr="00780D51">
                    <w:rPr>
                      <w:sz w:val="20"/>
                    </w:rPr>
                    <w:t>6 (75%)</w:t>
                  </w:r>
                </w:p>
              </w:tc>
              <w:tc>
                <w:tcPr>
                  <w:tcW w:w="1440" w:type="dxa"/>
                  <w:vAlign w:val="center"/>
                </w:tcPr>
                <w:p w:rsidR="00780D51" w:rsidRPr="00780D51" w:rsidRDefault="00780D51" w:rsidP="00780D51">
                  <w:pPr>
                    <w:jc w:val="right"/>
                    <w:rPr>
                      <w:sz w:val="20"/>
                    </w:rPr>
                  </w:pPr>
                  <w:r w:rsidRPr="00780D51">
                    <w:rPr>
                      <w:sz w:val="20"/>
                    </w:rPr>
                    <w:t>14 (61%)</w:t>
                  </w:r>
                </w:p>
              </w:tc>
              <w:tc>
                <w:tcPr>
                  <w:tcW w:w="1440" w:type="dxa"/>
                  <w:vAlign w:val="center"/>
                </w:tcPr>
                <w:p w:rsidR="00780D51" w:rsidRPr="00780D51" w:rsidRDefault="00780D51" w:rsidP="00780D51">
                  <w:pPr>
                    <w:jc w:val="right"/>
                    <w:rPr>
                      <w:sz w:val="20"/>
                    </w:rPr>
                  </w:pPr>
                  <w:r w:rsidRPr="00780D51">
                    <w:rPr>
                      <w:sz w:val="20"/>
                    </w:rPr>
                    <w:t>35 (83%)</w:t>
                  </w:r>
                </w:p>
              </w:tc>
              <w:tc>
                <w:tcPr>
                  <w:tcW w:w="1440" w:type="dxa"/>
                  <w:vAlign w:val="center"/>
                </w:tcPr>
                <w:p w:rsidR="00780D51" w:rsidRPr="00780D51" w:rsidRDefault="00780D51" w:rsidP="00780D51">
                  <w:pPr>
                    <w:jc w:val="right"/>
                    <w:rPr>
                      <w:sz w:val="20"/>
                    </w:rPr>
                  </w:pPr>
                  <w:r w:rsidRPr="00780D51">
                    <w:rPr>
                      <w:sz w:val="20"/>
                    </w:rPr>
                    <w:t>19 (73%)</w:t>
                  </w:r>
                </w:p>
              </w:tc>
              <w:tc>
                <w:tcPr>
                  <w:tcW w:w="1260" w:type="dxa"/>
                </w:tcPr>
                <w:p w:rsidR="00780D51" w:rsidRPr="00780D51" w:rsidRDefault="00780D51" w:rsidP="00780D51">
                  <w:pPr>
                    <w:jc w:val="right"/>
                    <w:rPr>
                      <w:sz w:val="20"/>
                    </w:rPr>
                  </w:pPr>
                  <w:r w:rsidRPr="00780D51">
                    <w:rPr>
                      <w:sz w:val="20"/>
                    </w:rPr>
                    <w:t>38 (79%)</w:t>
                  </w:r>
                </w:p>
              </w:tc>
              <w:tc>
                <w:tcPr>
                  <w:tcW w:w="1548" w:type="dxa"/>
                  <w:vAlign w:val="center"/>
                </w:tcPr>
                <w:p w:rsidR="00780D51" w:rsidRPr="00780D51" w:rsidRDefault="00780D51" w:rsidP="00780D51">
                  <w:pPr>
                    <w:jc w:val="right"/>
                    <w:rPr>
                      <w:sz w:val="20"/>
                    </w:rPr>
                  </w:pPr>
                  <w:r w:rsidRPr="00780D51">
                    <w:rPr>
                      <w:sz w:val="20"/>
                    </w:rPr>
                    <w:t>112 (76%)</w:t>
                  </w:r>
                </w:p>
              </w:tc>
            </w:tr>
            <w:tr w:rsidR="00780D51" w:rsidRPr="00780D51" w:rsidTr="00780D51">
              <w:tc>
                <w:tcPr>
                  <w:tcW w:w="4684" w:type="dxa"/>
                </w:tcPr>
                <w:p w:rsidR="00780D51" w:rsidRPr="00780D51" w:rsidRDefault="00780D51" w:rsidP="00780D51">
                  <w:pPr>
                    <w:rPr>
                      <w:sz w:val="20"/>
                    </w:rPr>
                  </w:pPr>
                  <w:r w:rsidRPr="00780D51">
                    <w:rPr>
                      <w:sz w:val="20"/>
                    </w:rPr>
                    <w:t xml:space="preserve">Average of continuing </w:t>
                  </w:r>
                  <w:r w:rsidRPr="00780D51">
                    <w:rPr>
                      <w:sz w:val="20"/>
                    </w:rPr>
                    <w:lastRenderedPageBreak/>
                    <w:t>students, yr 1</w:t>
                  </w:r>
                </w:p>
              </w:tc>
              <w:tc>
                <w:tcPr>
                  <w:tcW w:w="1364" w:type="dxa"/>
                  <w:vAlign w:val="center"/>
                </w:tcPr>
                <w:p w:rsidR="00780D51" w:rsidRPr="00780D51" w:rsidRDefault="00780D51" w:rsidP="00780D51">
                  <w:pPr>
                    <w:jc w:val="right"/>
                    <w:rPr>
                      <w:sz w:val="20"/>
                    </w:rPr>
                  </w:pPr>
                  <w:r w:rsidRPr="00780D51">
                    <w:rPr>
                      <w:sz w:val="20"/>
                    </w:rPr>
                    <w:lastRenderedPageBreak/>
                    <w:t>75.5%</w:t>
                  </w:r>
                </w:p>
              </w:tc>
              <w:tc>
                <w:tcPr>
                  <w:tcW w:w="1440" w:type="dxa"/>
                  <w:vAlign w:val="center"/>
                </w:tcPr>
                <w:p w:rsidR="00780D51" w:rsidRPr="00780D51" w:rsidRDefault="00780D51" w:rsidP="00780D51">
                  <w:pPr>
                    <w:jc w:val="right"/>
                    <w:rPr>
                      <w:sz w:val="20"/>
                    </w:rPr>
                  </w:pPr>
                  <w:r w:rsidRPr="00780D51">
                    <w:rPr>
                      <w:sz w:val="20"/>
                    </w:rPr>
                    <w:t>68.5%</w:t>
                  </w:r>
                </w:p>
              </w:tc>
              <w:tc>
                <w:tcPr>
                  <w:tcW w:w="1440" w:type="dxa"/>
                  <w:vAlign w:val="center"/>
                </w:tcPr>
                <w:p w:rsidR="00780D51" w:rsidRPr="00780D51" w:rsidRDefault="00780D51" w:rsidP="00780D51">
                  <w:pPr>
                    <w:jc w:val="right"/>
                    <w:rPr>
                      <w:sz w:val="20"/>
                    </w:rPr>
                  </w:pPr>
                  <w:r w:rsidRPr="00780D51">
                    <w:rPr>
                      <w:sz w:val="20"/>
                    </w:rPr>
                    <w:t>72.6%</w:t>
                  </w:r>
                </w:p>
              </w:tc>
              <w:tc>
                <w:tcPr>
                  <w:tcW w:w="1440" w:type="dxa"/>
                  <w:vAlign w:val="center"/>
                </w:tcPr>
                <w:p w:rsidR="00780D51" w:rsidRPr="00780D51" w:rsidRDefault="00780D51" w:rsidP="00780D51">
                  <w:pPr>
                    <w:jc w:val="right"/>
                    <w:rPr>
                      <w:sz w:val="20"/>
                    </w:rPr>
                  </w:pPr>
                  <w:r w:rsidRPr="00780D51">
                    <w:rPr>
                      <w:sz w:val="20"/>
                    </w:rPr>
                    <w:t>72.1%</w:t>
                  </w:r>
                </w:p>
              </w:tc>
              <w:tc>
                <w:tcPr>
                  <w:tcW w:w="1260" w:type="dxa"/>
                </w:tcPr>
                <w:p w:rsidR="00780D51" w:rsidRPr="00780D51" w:rsidRDefault="00780D51" w:rsidP="00780D51">
                  <w:pPr>
                    <w:jc w:val="right"/>
                    <w:rPr>
                      <w:sz w:val="20"/>
                    </w:rPr>
                  </w:pPr>
                  <w:r w:rsidRPr="00780D51">
                    <w:rPr>
                      <w:sz w:val="20"/>
                    </w:rPr>
                    <w:t>69.1%</w:t>
                  </w:r>
                </w:p>
              </w:tc>
              <w:tc>
                <w:tcPr>
                  <w:tcW w:w="1548" w:type="dxa"/>
                  <w:vAlign w:val="center"/>
                </w:tcPr>
                <w:p w:rsidR="00780D51" w:rsidRPr="00780D51" w:rsidRDefault="00780D51" w:rsidP="00780D51">
                  <w:pPr>
                    <w:jc w:val="right"/>
                    <w:rPr>
                      <w:sz w:val="20"/>
                    </w:rPr>
                  </w:pPr>
                </w:p>
              </w:tc>
            </w:tr>
            <w:tr w:rsidR="00780D51" w:rsidRPr="00780D51" w:rsidTr="00780D51">
              <w:tc>
                <w:tcPr>
                  <w:tcW w:w="4684" w:type="dxa"/>
                </w:tcPr>
                <w:p w:rsidR="00780D51" w:rsidRPr="00780D51" w:rsidRDefault="00780D51" w:rsidP="00780D51">
                  <w:pPr>
                    <w:rPr>
                      <w:sz w:val="20"/>
                    </w:rPr>
                  </w:pPr>
                </w:p>
              </w:tc>
              <w:tc>
                <w:tcPr>
                  <w:tcW w:w="1364" w:type="dxa"/>
                  <w:vAlign w:val="center"/>
                </w:tcPr>
                <w:p w:rsidR="00780D51" w:rsidRPr="00780D51" w:rsidRDefault="00780D51" w:rsidP="00780D51">
                  <w:pPr>
                    <w:jc w:val="right"/>
                    <w:rPr>
                      <w:sz w:val="20"/>
                    </w:rPr>
                  </w:pPr>
                </w:p>
              </w:tc>
              <w:tc>
                <w:tcPr>
                  <w:tcW w:w="1440" w:type="dxa"/>
                  <w:vAlign w:val="center"/>
                </w:tcPr>
                <w:p w:rsidR="00780D51" w:rsidRPr="00780D51" w:rsidRDefault="00780D51" w:rsidP="00780D51">
                  <w:pPr>
                    <w:jc w:val="right"/>
                    <w:rPr>
                      <w:sz w:val="20"/>
                    </w:rPr>
                  </w:pPr>
                </w:p>
              </w:tc>
              <w:tc>
                <w:tcPr>
                  <w:tcW w:w="1440" w:type="dxa"/>
                  <w:vAlign w:val="center"/>
                </w:tcPr>
                <w:p w:rsidR="00780D51" w:rsidRPr="00780D51" w:rsidRDefault="00780D51" w:rsidP="00780D51">
                  <w:pPr>
                    <w:jc w:val="right"/>
                    <w:rPr>
                      <w:sz w:val="20"/>
                    </w:rPr>
                  </w:pPr>
                </w:p>
              </w:tc>
              <w:tc>
                <w:tcPr>
                  <w:tcW w:w="1440" w:type="dxa"/>
                  <w:vAlign w:val="center"/>
                </w:tcPr>
                <w:p w:rsidR="00780D51" w:rsidRPr="00780D51" w:rsidRDefault="00780D51" w:rsidP="00780D51">
                  <w:pPr>
                    <w:jc w:val="right"/>
                    <w:rPr>
                      <w:sz w:val="20"/>
                    </w:rPr>
                  </w:pPr>
                </w:p>
              </w:tc>
              <w:tc>
                <w:tcPr>
                  <w:tcW w:w="1260" w:type="dxa"/>
                </w:tcPr>
                <w:p w:rsidR="00780D51" w:rsidRPr="00780D51" w:rsidRDefault="00780D51" w:rsidP="00780D51">
                  <w:pPr>
                    <w:jc w:val="right"/>
                    <w:rPr>
                      <w:sz w:val="20"/>
                    </w:rPr>
                  </w:pPr>
                </w:p>
              </w:tc>
              <w:tc>
                <w:tcPr>
                  <w:tcW w:w="1548" w:type="dxa"/>
                  <w:vAlign w:val="center"/>
                </w:tcPr>
                <w:p w:rsidR="00780D51" w:rsidRPr="00780D51" w:rsidRDefault="00780D51" w:rsidP="00780D51">
                  <w:pPr>
                    <w:jc w:val="right"/>
                    <w:rPr>
                      <w:sz w:val="20"/>
                    </w:rPr>
                  </w:pPr>
                </w:p>
              </w:tc>
            </w:tr>
            <w:tr w:rsidR="00780D51" w:rsidRPr="00780D51" w:rsidTr="00780D51">
              <w:tc>
                <w:tcPr>
                  <w:tcW w:w="4684" w:type="dxa"/>
                </w:tcPr>
                <w:p w:rsidR="00780D51" w:rsidRPr="00780D51" w:rsidRDefault="00780D51" w:rsidP="00780D51">
                  <w:pPr>
                    <w:rPr>
                      <w:sz w:val="20"/>
                    </w:rPr>
                  </w:pPr>
                  <w:r w:rsidRPr="00780D51">
                    <w:rPr>
                      <w:sz w:val="20"/>
                    </w:rPr>
                    <w:t>Students graduated/still active in program, August 2011</w:t>
                  </w:r>
                </w:p>
              </w:tc>
              <w:tc>
                <w:tcPr>
                  <w:tcW w:w="1364" w:type="dxa"/>
                  <w:vAlign w:val="center"/>
                </w:tcPr>
                <w:p w:rsidR="00780D51" w:rsidRPr="00780D51" w:rsidRDefault="00780D51" w:rsidP="00780D51">
                  <w:pPr>
                    <w:jc w:val="right"/>
                    <w:rPr>
                      <w:sz w:val="20"/>
                    </w:rPr>
                  </w:pPr>
                  <w:r w:rsidRPr="00780D51">
                    <w:rPr>
                      <w:sz w:val="20"/>
                    </w:rPr>
                    <w:t>5 (63%)</w:t>
                  </w:r>
                </w:p>
              </w:tc>
              <w:tc>
                <w:tcPr>
                  <w:tcW w:w="1440" w:type="dxa"/>
                  <w:vAlign w:val="center"/>
                </w:tcPr>
                <w:p w:rsidR="00780D51" w:rsidRPr="00780D51" w:rsidRDefault="00780D51" w:rsidP="00780D51">
                  <w:pPr>
                    <w:jc w:val="right"/>
                    <w:rPr>
                      <w:sz w:val="20"/>
                    </w:rPr>
                  </w:pPr>
                  <w:r w:rsidRPr="00780D51">
                    <w:rPr>
                      <w:sz w:val="20"/>
                    </w:rPr>
                    <w:t>14 (61%)</w:t>
                  </w:r>
                </w:p>
              </w:tc>
              <w:tc>
                <w:tcPr>
                  <w:tcW w:w="1440" w:type="dxa"/>
                  <w:vAlign w:val="center"/>
                </w:tcPr>
                <w:p w:rsidR="00780D51" w:rsidRPr="00780D51" w:rsidRDefault="00780D51" w:rsidP="00780D51">
                  <w:pPr>
                    <w:jc w:val="right"/>
                    <w:rPr>
                      <w:sz w:val="20"/>
                    </w:rPr>
                  </w:pPr>
                  <w:r w:rsidRPr="00780D51">
                    <w:rPr>
                      <w:sz w:val="20"/>
                    </w:rPr>
                    <w:t>27 (64%)</w:t>
                  </w:r>
                </w:p>
              </w:tc>
              <w:tc>
                <w:tcPr>
                  <w:tcW w:w="1440" w:type="dxa"/>
                  <w:vAlign w:val="center"/>
                </w:tcPr>
                <w:p w:rsidR="00780D51" w:rsidRPr="00780D51" w:rsidRDefault="00780D51" w:rsidP="00780D51">
                  <w:pPr>
                    <w:jc w:val="right"/>
                    <w:rPr>
                      <w:sz w:val="20"/>
                    </w:rPr>
                  </w:pPr>
                  <w:r w:rsidRPr="00780D51">
                    <w:rPr>
                      <w:sz w:val="20"/>
                    </w:rPr>
                    <w:t>18 (69%)</w:t>
                  </w:r>
                </w:p>
              </w:tc>
              <w:tc>
                <w:tcPr>
                  <w:tcW w:w="1260" w:type="dxa"/>
                  <w:vAlign w:val="center"/>
                </w:tcPr>
                <w:p w:rsidR="00780D51" w:rsidRPr="00780D51" w:rsidRDefault="00780D51" w:rsidP="00780D51">
                  <w:pPr>
                    <w:jc w:val="right"/>
                    <w:rPr>
                      <w:sz w:val="20"/>
                    </w:rPr>
                  </w:pPr>
                  <w:r w:rsidRPr="00780D51">
                    <w:rPr>
                      <w:sz w:val="20"/>
                    </w:rPr>
                    <w:t>38 (79%)</w:t>
                  </w:r>
                </w:p>
              </w:tc>
              <w:tc>
                <w:tcPr>
                  <w:tcW w:w="1548" w:type="dxa"/>
                  <w:vAlign w:val="center"/>
                </w:tcPr>
                <w:p w:rsidR="00780D51" w:rsidRPr="00780D51" w:rsidRDefault="00780D51" w:rsidP="00780D51">
                  <w:pPr>
                    <w:jc w:val="right"/>
                    <w:rPr>
                      <w:sz w:val="20"/>
                    </w:rPr>
                  </w:pPr>
                  <w:r w:rsidRPr="00780D51">
                    <w:rPr>
                      <w:sz w:val="20"/>
                    </w:rPr>
                    <w:t xml:space="preserve">102 (69%) </w:t>
                  </w:r>
                </w:p>
              </w:tc>
            </w:tr>
            <w:tr w:rsidR="00780D51" w:rsidRPr="00780D51" w:rsidTr="00780D51">
              <w:tc>
                <w:tcPr>
                  <w:tcW w:w="4684" w:type="dxa"/>
                </w:tcPr>
                <w:p w:rsidR="00780D51" w:rsidRPr="00780D51" w:rsidRDefault="00780D51" w:rsidP="00780D51">
                  <w:pPr>
                    <w:rPr>
                      <w:sz w:val="20"/>
                    </w:rPr>
                  </w:pPr>
                  <w:r w:rsidRPr="00780D51">
                    <w:rPr>
                      <w:sz w:val="20"/>
                    </w:rPr>
                    <w:t>Cohort average at August 2011</w:t>
                  </w:r>
                </w:p>
              </w:tc>
              <w:tc>
                <w:tcPr>
                  <w:tcW w:w="1364" w:type="dxa"/>
                  <w:vAlign w:val="center"/>
                </w:tcPr>
                <w:p w:rsidR="00780D51" w:rsidRPr="00780D51" w:rsidRDefault="00780D51" w:rsidP="00780D51">
                  <w:pPr>
                    <w:jc w:val="right"/>
                    <w:rPr>
                      <w:sz w:val="20"/>
                    </w:rPr>
                  </w:pPr>
                  <w:r w:rsidRPr="00780D51">
                    <w:rPr>
                      <w:sz w:val="20"/>
                    </w:rPr>
                    <w:t>76.3%</w:t>
                  </w:r>
                </w:p>
              </w:tc>
              <w:tc>
                <w:tcPr>
                  <w:tcW w:w="1440" w:type="dxa"/>
                  <w:vAlign w:val="center"/>
                </w:tcPr>
                <w:p w:rsidR="00780D51" w:rsidRPr="00780D51" w:rsidRDefault="00780D51" w:rsidP="00780D51">
                  <w:pPr>
                    <w:jc w:val="right"/>
                    <w:rPr>
                      <w:sz w:val="20"/>
                    </w:rPr>
                  </w:pPr>
                  <w:r w:rsidRPr="00780D51">
                    <w:rPr>
                      <w:sz w:val="20"/>
                    </w:rPr>
                    <w:t>72.3%</w:t>
                  </w:r>
                </w:p>
              </w:tc>
              <w:tc>
                <w:tcPr>
                  <w:tcW w:w="1440" w:type="dxa"/>
                  <w:vAlign w:val="center"/>
                </w:tcPr>
                <w:p w:rsidR="00780D51" w:rsidRPr="00780D51" w:rsidRDefault="00780D51" w:rsidP="00780D51">
                  <w:pPr>
                    <w:jc w:val="right"/>
                    <w:rPr>
                      <w:sz w:val="20"/>
                    </w:rPr>
                  </w:pPr>
                  <w:r w:rsidRPr="00780D51">
                    <w:rPr>
                      <w:sz w:val="20"/>
                    </w:rPr>
                    <w:t>66.6%</w:t>
                  </w:r>
                </w:p>
              </w:tc>
              <w:tc>
                <w:tcPr>
                  <w:tcW w:w="1440" w:type="dxa"/>
                  <w:vAlign w:val="center"/>
                </w:tcPr>
                <w:p w:rsidR="00780D51" w:rsidRPr="00780D51" w:rsidRDefault="00780D51" w:rsidP="00780D51">
                  <w:pPr>
                    <w:jc w:val="right"/>
                    <w:rPr>
                      <w:sz w:val="20"/>
                    </w:rPr>
                  </w:pPr>
                  <w:r w:rsidRPr="00780D51">
                    <w:rPr>
                      <w:sz w:val="20"/>
                    </w:rPr>
                    <w:t>72.1%</w:t>
                  </w:r>
                </w:p>
              </w:tc>
              <w:tc>
                <w:tcPr>
                  <w:tcW w:w="1260" w:type="dxa"/>
                </w:tcPr>
                <w:p w:rsidR="00780D51" w:rsidRPr="00780D51" w:rsidRDefault="00780D51" w:rsidP="00780D51">
                  <w:pPr>
                    <w:jc w:val="right"/>
                    <w:rPr>
                      <w:sz w:val="20"/>
                    </w:rPr>
                  </w:pPr>
                  <w:r w:rsidRPr="00780D51">
                    <w:rPr>
                      <w:sz w:val="20"/>
                    </w:rPr>
                    <w:t>69.1%</w:t>
                  </w:r>
                </w:p>
              </w:tc>
              <w:tc>
                <w:tcPr>
                  <w:tcW w:w="1548" w:type="dxa"/>
                  <w:vAlign w:val="center"/>
                </w:tcPr>
                <w:p w:rsidR="00780D51" w:rsidRPr="00780D51" w:rsidRDefault="00780D51" w:rsidP="00780D51">
                  <w:pPr>
                    <w:jc w:val="right"/>
                    <w:rPr>
                      <w:sz w:val="20"/>
                    </w:rPr>
                  </w:pPr>
                </w:p>
              </w:tc>
            </w:tr>
            <w:tr w:rsidR="00780D51" w:rsidRPr="00780D51" w:rsidTr="00780D51">
              <w:tc>
                <w:tcPr>
                  <w:tcW w:w="4684" w:type="dxa"/>
                </w:tcPr>
                <w:p w:rsidR="00780D51" w:rsidRPr="00780D51" w:rsidRDefault="00780D51" w:rsidP="00780D51">
                  <w:pPr>
                    <w:rPr>
                      <w:sz w:val="20"/>
                    </w:rPr>
                  </w:pPr>
                </w:p>
              </w:tc>
              <w:tc>
                <w:tcPr>
                  <w:tcW w:w="1364" w:type="dxa"/>
                  <w:vAlign w:val="center"/>
                </w:tcPr>
                <w:p w:rsidR="00780D51" w:rsidRPr="00780D51" w:rsidRDefault="00780D51" w:rsidP="00780D51">
                  <w:pPr>
                    <w:jc w:val="right"/>
                    <w:rPr>
                      <w:sz w:val="20"/>
                    </w:rPr>
                  </w:pPr>
                </w:p>
              </w:tc>
              <w:tc>
                <w:tcPr>
                  <w:tcW w:w="1440" w:type="dxa"/>
                  <w:vAlign w:val="center"/>
                </w:tcPr>
                <w:p w:rsidR="00780D51" w:rsidRPr="00780D51" w:rsidRDefault="00780D51" w:rsidP="00780D51">
                  <w:pPr>
                    <w:jc w:val="right"/>
                    <w:rPr>
                      <w:sz w:val="20"/>
                    </w:rPr>
                  </w:pPr>
                </w:p>
              </w:tc>
              <w:tc>
                <w:tcPr>
                  <w:tcW w:w="1440" w:type="dxa"/>
                  <w:vAlign w:val="center"/>
                </w:tcPr>
                <w:p w:rsidR="00780D51" w:rsidRPr="00780D51" w:rsidRDefault="00780D51" w:rsidP="00780D51">
                  <w:pPr>
                    <w:jc w:val="right"/>
                    <w:rPr>
                      <w:sz w:val="20"/>
                    </w:rPr>
                  </w:pPr>
                </w:p>
              </w:tc>
              <w:tc>
                <w:tcPr>
                  <w:tcW w:w="1440" w:type="dxa"/>
                  <w:vAlign w:val="center"/>
                </w:tcPr>
                <w:p w:rsidR="00780D51" w:rsidRPr="00780D51" w:rsidRDefault="00780D51" w:rsidP="00780D51">
                  <w:pPr>
                    <w:jc w:val="right"/>
                    <w:rPr>
                      <w:sz w:val="20"/>
                    </w:rPr>
                  </w:pPr>
                </w:p>
              </w:tc>
              <w:tc>
                <w:tcPr>
                  <w:tcW w:w="1260" w:type="dxa"/>
                </w:tcPr>
                <w:p w:rsidR="00780D51" w:rsidRPr="00780D51" w:rsidRDefault="00780D51" w:rsidP="00780D51">
                  <w:pPr>
                    <w:jc w:val="right"/>
                    <w:rPr>
                      <w:sz w:val="20"/>
                    </w:rPr>
                  </w:pPr>
                </w:p>
              </w:tc>
              <w:tc>
                <w:tcPr>
                  <w:tcW w:w="1548" w:type="dxa"/>
                  <w:vAlign w:val="center"/>
                </w:tcPr>
                <w:p w:rsidR="00780D51" w:rsidRPr="00780D51" w:rsidRDefault="00780D51" w:rsidP="00780D51">
                  <w:pPr>
                    <w:jc w:val="right"/>
                    <w:rPr>
                      <w:sz w:val="20"/>
                    </w:rPr>
                  </w:pPr>
                </w:p>
              </w:tc>
            </w:tr>
          </w:tbl>
          <w:p w:rsidR="00780D51" w:rsidRPr="00780D51" w:rsidRDefault="00780D51" w:rsidP="00780D51">
            <w:pPr>
              <w:rPr>
                <w:sz w:val="20"/>
              </w:rPr>
            </w:pPr>
          </w:p>
          <w:p w:rsidR="00780D51" w:rsidRPr="00780D51" w:rsidRDefault="00780D51" w:rsidP="00780D51">
            <w:pPr>
              <w:rPr>
                <w:sz w:val="20"/>
              </w:rPr>
            </w:pPr>
          </w:p>
          <w:p w:rsidR="00780D51" w:rsidRPr="00780D51" w:rsidRDefault="00780D51" w:rsidP="00780D51">
            <w:pPr>
              <w:rPr>
                <w:sz w:val="20"/>
              </w:rPr>
            </w:pPr>
            <w:r w:rsidRPr="00780D51">
              <w:rPr>
                <w:b/>
                <w:sz w:val="20"/>
              </w:rPr>
              <w:t xml:space="preserve">What are they studying?  </w:t>
            </w:r>
            <w:r w:rsidRPr="00780D51">
              <w:rPr>
                <w:sz w:val="20"/>
              </w:rPr>
              <w:t>(based only on cohorts 1-4)</w:t>
            </w:r>
          </w:p>
          <w:p w:rsidR="00780D51" w:rsidRPr="00780D51" w:rsidRDefault="00780D51" w:rsidP="00780D51">
            <w:pPr>
              <w:rPr>
                <w:sz w:val="20"/>
              </w:rPr>
            </w:pPr>
            <w:r w:rsidRPr="00780D51">
              <w:rPr>
                <w:sz w:val="20"/>
              </w:rPr>
              <w:t>66%</w:t>
            </w:r>
            <w:r w:rsidRPr="00780D51">
              <w:rPr>
                <w:sz w:val="20"/>
              </w:rPr>
              <w:tab/>
              <w:t xml:space="preserve">are pursuing </w:t>
            </w:r>
            <w:r w:rsidRPr="00780D51">
              <w:rPr>
                <w:b/>
                <w:sz w:val="20"/>
              </w:rPr>
              <w:t>one of the transfer credit subjects</w:t>
            </w:r>
            <w:r w:rsidRPr="00780D51">
              <w:rPr>
                <w:sz w:val="20"/>
              </w:rPr>
              <w:t xml:space="preserve"> (English, Psychology, Sociology, Philosophy) as a major or joint major</w:t>
            </w:r>
          </w:p>
          <w:p w:rsidR="00780D51" w:rsidRPr="00780D51" w:rsidRDefault="00780D51" w:rsidP="00780D51">
            <w:pPr>
              <w:rPr>
                <w:sz w:val="20"/>
              </w:rPr>
            </w:pPr>
            <w:r w:rsidRPr="00780D51">
              <w:rPr>
                <w:sz w:val="20"/>
              </w:rPr>
              <w:t>27%</w:t>
            </w:r>
            <w:r w:rsidRPr="00780D51">
              <w:rPr>
                <w:sz w:val="20"/>
              </w:rPr>
              <w:tab/>
              <w:t xml:space="preserve">are pursuing a single major in </w:t>
            </w:r>
            <w:r w:rsidRPr="00780D51">
              <w:rPr>
                <w:b/>
                <w:sz w:val="20"/>
              </w:rPr>
              <w:t>Psychology</w:t>
            </w:r>
            <w:r w:rsidRPr="00780D51">
              <w:rPr>
                <w:sz w:val="20"/>
              </w:rPr>
              <w:t xml:space="preserve"> (combined BA/BSc, general/honours)</w:t>
            </w:r>
          </w:p>
          <w:p w:rsidR="00780D51" w:rsidRPr="00780D51" w:rsidRDefault="00780D51" w:rsidP="00780D51">
            <w:pPr>
              <w:rPr>
                <w:sz w:val="20"/>
              </w:rPr>
            </w:pPr>
            <w:r w:rsidRPr="00780D51">
              <w:rPr>
                <w:sz w:val="20"/>
              </w:rPr>
              <w:t xml:space="preserve">45% </w:t>
            </w:r>
            <w:r w:rsidRPr="00780D51">
              <w:rPr>
                <w:sz w:val="20"/>
              </w:rPr>
              <w:tab/>
              <w:t xml:space="preserve">are </w:t>
            </w:r>
            <w:r w:rsidRPr="00780D51">
              <w:rPr>
                <w:b/>
                <w:sz w:val="20"/>
              </w:rPr>
              <w:t>exploring other disciplines</w:t>
            </w:r>
            <w:r w:rsidRPr="00780D51">
              <w:rPr>
                <w:sz w:val="20"/>
              </w:rPr>
              <w:t>, pursuing a major or one joint major discipline outside of the 4 transfer credit disciplines</w:t>
            </w:r>
          </w:p>
          <w:p w:rsidR="00780D51" w:rsidRPr="00780D51" w:rsidRDefault="00780D51" w:rsidP="00780D51">
            <w:pPr>
              <w:rPr>
                <w:sz w:val="20"/>
              </w:rPr>
            </w:pPr>
            <w:r w:rsidRPr="00780D51">
              <w:rPr>
                <w:sz w:val="20"/>
              </w:rPr>
              <w:t>23%</w:t>
            </w:r>
            <w:r w:rsidRPr="00780D51">
              <w:rPr>
                <w:sz w:val="20"/>
              </w:rPr>
              <w:tab/>
              <w:t xml:space="preserve">are pursuing a program </w:t>
            </w:r>
            <w:r w:rsidRPr="00780D51">
              <w:rPr>
                <w:b/>
                <w:sz w:val="20"/>
              </w:rPr>
              <w:t>completely outside of the transfer credit disciplines</w:t>
            </w:r>
          </w:p>
          <w:p w:rsidR="00780D51" w:rsidRPr="00780D51" w:rsidRDefault="00780D51" w:rsidP="00780D51">
            <w:pPr>
              <w:rPr>
                <w:sz w:val="20"/>
              </w:rPr>
            </w:pPr>
            <w:r w:rsidRPr="00780D51">
              <w:rPr>
                <w:sz w:val="20"/>
              </w:rPr>
              <w:t>19%</w:t>
            </w:r>
            <w:r w:rsidRPr="00780D51">
              <w:rPr>
                <w:sz w:val="20"/>
              </w:rPr>
              <w:tab/>
              <w:t xml:space="preserve">are pursuing a </w:t>
            </w:r>
            <w:r w:rsidRPr="00780D51">
              <w:rPr>
                <w:b/>
                <w:sz w:val="20"/>
              </w:rPr>
              <w:t>science (other than Psychology)</w:t>
            </w:r>
            <w:r w:rsidRPr="00780D51">
              <w:rPr>
                <w:sz w:val="20"/>
              </w:rPr>
              <w:t xml:space="preserve"> as a major or joint major</w:t>
            </w:r>
          </w:p>
          <w:p w:rsidR="00780D51" w:rsidRPr="00780D51" w:rsidRDefault="00780D51" w:rsidP="00780D51">
            <w:pPr>
              <w:rPr>
                <w:sz w:val="20"/>
              </w:rPr>
            </w:pPr>
          </w:p>
          <w:p w:rsidR="00780D51" w:rsidRPr="00780D51" w:rsidRDefault="00780D51" w:rsidP="00780D51">
            <w:pPr>
              <w:rPr>
                <w:b/>
                <w:sz w:val="20"/>
              </w:rPr>
            </w:pPr>
            <w:r w:rsidRPr="00780D51">
              <w:rPr>
                <w:b/>
                <w:sz w:val="20"/>
              </w:rPr>
              <w:t>Graduates to date</w:t>
            </w:r>
          </w:p>
          <w:p w:rsidR="00780D51" w:rsidRPr="00780D51" w:rsidRDefault="00780D51" w:rsidP="00780D51">
            <w:pPr>
              <w:rPr>
                <w:sz w:val="20"/>
              </w:rPr>
            </w:pPr>
            <w:r w:rsidRPr="00780D51">
              <w:rPr>
                <w:sz w:val="20"/>
              </w:rPr>
              <w:t>21 students have graduated to date</w:t>
            </w:r>
          </w:p>
          <w:p w:rsidR="00780D51" w:rsidRPr="00780D51" w:rsidRDefault="00780D51" w:rsidP="00780D51">
            <w:pPr>
              <w:rPr>
                <w:sz w:val="20"/>
              </w:rPr>
            </w:pPr>
            <w:r w:rsidRPr="00780D51">
              <w:rPr>
                <w:sz w:val="20"/>
              </w:rPr>
              <w:t>75.5% is the average graduating average</w:t>
            </w:r>
          </w:p>
          <w:p w:rsidR="00780D51" w:rsidRPr="00780D51" w:rsidRDefault="00780D51" w:rsidP="00780D51">
            <w:pPr>
              <w:rPr>
                <w:sz w:val="20"/>
              </w:rPr>
            </w:pPr>
            <w:r w:rsidRPr="00780D51">
              <w:rPr>
                <w:sz w:val="20"/>
              </w:rPr>
              <w:t>5 graduates have achieved the President’s Honour Roll distinction with graduating averages &gt;80%</w:t>
            </w:r>
          </w:p>
          <w:p w:rsidR="00780D51" w:rsidRPr="00780D51" w:rsidRDefault="00780D51" w:rsidP="00780D51">
            <w:pPr>
              <w:rPr>
                <w:rFonts w:cs="Arial"/>
                <w:i/>
                <w:sz w:val="20"/>
              </w:rPr>
            </w:pPr>
          </w:p>
          <w:p w:rsidR="00780D51" w:rsidRPr="00780D51" w:rsidRDefault="00780D51" w:rsidP="00780D51">
            <w:pPr>
              <w:rPr>
                <w:rFonts w:cs="Arial"/>
                <w:i/>
                <w:sz w:val="20"/>
              </w:rPr>
            </w:pPr>
          </w:p>
          <w:p w:rsidR="00780D51" w:rsidRPr="00780D51" w:rsidRDefault="00780D51" w:rsidP="00780D51">
            <w:pPr>
              <w:rPr>
                <w:rFonts w:cs="Arial"/>
                <w:i/>
                <w:sz w:val="20"/>
              </w:rPr>
            </w:pPr>
            <w:r w:rsidRPr="00780D51">
              <w:rPr>
                <w:rFonts w:cs="Arial"/>
                <w:i/>
                <w:sz w:val="20"/>
              </w:rPr>
              <w:t>Compiled using data effective August 15, 2011</w:t>
            </w:r>
          </w:p>
          <w:p w:rsidR="00780D51" w:rsidRDefault="00780D51" w:rsidP="00780D51"/>
          <w:p w:rsidR="005141C4" w:rsidRPr="0030400B" w:rsidRDefault="005141C4" w:rsidP="00276F6B">
            <w:pPr>
              <w:rPr>
                <w:rFonts w:cs="Arial"/>
                <w:b/>
                <w:color w:val="C0504D"/>
                <w:sz w:val="20"/>
              </w:rPr>
            </w:pPr>
          </w:p>
        </w:tc>
      </w:tr>
    </w:tbl>
    <w:p w:rsidR="00276F6B" w:rsidRDefault="00276F6B" w:rsidP="00276F6B">
      <w:pPr>
        <w:rPr>
          <w:rFonts w:cs="Arial"/>
          <w:b/>
        </w:rPr>
      </w:pPr>
    </w:p>
    <w:p w:rsidR="00013250" w:rsidRDefault="00013250" w:rsidP="00276F6B">
      <w:pPr>
        <w:rPr>
          <w:rFonts w:cs="Arial"/>
          <w:b/>
        </w:rPr>
      </w:pPr>
    </w:p>
    <w:p w:rsidR="00013250" w:rsidRDefault="00013250" w:rsidP="00276F6B">
      <w:pPr>
        <w:rPr>
          <w:rFonts w:cs="Arial"/>
          <w:b/>
        </w:rPr>
      </w:pPr>
    </w:p>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4"/>
        <w:gridCol w:w="6534"/>
      </w:tblGrid>
      <w:tr w:rsidR="00276F6B" w:rsidRPr="000C3BAA" w:rsidTr="000C3BAA">
        <w:tc>
          <w:tcPr>
            <w:tcW w:w="6534" w:type="dxa"/>
            <w:shd w:val="clear" w:color="auto" w:fill="C0C0C0"/>
            <w:tcMar>
              <w:top w:w="113" w:type="dxa"/>
              <w:bottom w:w="113" w:type="dxa"/>
            </w:tcMar>
          </w:tcPr>
          <w:p w:rsidR="00276F6B" w:rsidRPr="000C3BAA" w:rsidRDefault="00276F6B" w:rsidP="000C3BAA">
            <w:pPr>
              <w:tabs>
                <w:tab w:val="left" w:pos="72"/>
              </w:tabs>
              <w:rPr>
                <w:rFonts w:cs="Arial"/>
                <w:b/>
              </w:rPr>
            </w:pPr>
            <w:r w:rsidRPr="000C3BAA">
              <w:rPr>
                <w:rFonts w:cs="Arial"/>
                <w:b/>
              </w:rPr>
              <w:lastRenderedPageBreak/>
              <w:t>7.0 External Relations</w:t>
            </w:r>
          </w:p>
        </w:tc>
        <w:tc>
          <w:tcPr>
            <w:tcW w:w="6534" w:type="dxa"/>
            <w:shd w:val="clear" w:color="auto" w:fill="C0C0C0"/>
            <w:tcMar>
              <w:top w:w="113" w:type="dxa"/>
              <w:bottom w:w="113" w:type="dxa"/>
            </w:tcMar>
          </w:tcPr>
          <w:p w:rsidR="00276F6B" w:rsidRPr="000C3BAA" w:rsidRDefault="00276F6B" w:rsidP="00276F6B">
            <w:pPr>
              <w:rPr>
                <w:rFonts w:cs="Arial"/>
                <w:b/>
              </w:rPr>
            </w:pPr>
            <w:r w:rsidRPr="000C3BAA">
              <w:rPr>
                <w:rFonts w:cs="Arial"/>
                <w:b/>
              </w:rPr>
              <w:t>Summary of Key Findings</w:t>
            </w:r>
          </w:p>
        </w:tc>
      </w:tr>
      <w:tr w:rsidR="00276F6B" w:rsidRPr="000C3BAA" w:rsidTr="000C3BAA">
        <w:tc>
          <w:tcPr>
            <w:tcW w:w="6534" w:type="dxa"/>
            <w:shd w:val="clear" w:color="auto" w:fill="auto"/>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 xml:space="preserve">7.1 Alumnae </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pStyle w:val="Title"/>
              <w:numPr>
                <w:ilvl w:val="0"/>
                <w:numId w:val="12"/>
              </w:numPr>
              <w:tabs>
                <w:tab w:val="clear" w:pos="720"/>
                <w:tab w:val="num" w:pos="360"/>
              </w:tabs>
              <w:ind w:hanging="720"/>
              <w:jc w:val="left"/>
              <w:rPr>
                <w:rFonts w:ascii="Arial" w:hAnsi="Arial" w:cs="Arial"/>
                <w:sz w:val="20"/>
              </w:rPr>
            </w:pPr>
            <w:r w:rsidRPr="000C3BAA">
              <w:rPr>
                <w:rFonts w:ascii="Arial" w:hAnsi="Arial" w:cs="Arial"/>
                <w:sz w:val="20"/>
              </w:rPr>
              <w:t>The type and range of alumnae involvement in the program</w:t>
            </w:r>
          </w:p>
          <w:p w:rsidR="00276F6B" w:rsidRPr="000C3BAA" w:rsidRDefault="00276F6B" w:rsidP="000C3BAA">
            <w:pPr>
              <w:pStyle w:val="Title"/>
              <w:numPr>
                <w:ilvl w:val="0"/>
                <w:numId w:val="12"/>
              </w:numPr>
              <w:tabs>
                <w:tab w:val="clear" w:pos="720"/>
                <w:tab w:val="num" w:pos="360"/>
              </w:tabs>
              <w:ind w:hanging="720"/>
              <w:jc w:val="left"/>
              <w:rPr>
                <w:rFonts w:ascii="Arial" w:hAnsi="Arial" w:cs="Arial"/>
                <w:sz w:val="20"/>
              </w:rPr>
            </w:pPr>
            <w:r w:rsidRPr="000C3BAA">
              <w:rPr>
                <w:rFonts w:ascii="Arial" w:hAnsi="Arial" w:cs="Arial"/>
                <w:sz w:val="20"/>
              </w:rPr>
              <w:t xml:space="preserve">Current and future strategies to engage alumnae in the program </w:t>
            </w:r>
          </w:p>
          <w:p w:rsidR="00276F6B" w:rsidRPr="000C3BAA" w:rsidRDefault="00276F6B" w:rsidP="000C3BAA">
            <w:pPr>
              <w:pStyle w:val="Title"/>
              <w:jc w:val="left"/>
              <w:rPr>
                <w:rFonts w:cs="Arial"/>
                <w:b/>
                <w:sz w:val="20"/>
              </w:rPr>
            </w:pPr>
          </w:p>
        </w:tc>
        <w:tc>
          <w:tcPr>
            <w:tcW w:w="6534" w:type="dxa"/>
            <w:shd w:val="clear" w:color="auto" w:fill="auto"/>
            <w:tcMar>
              <w:top w:w="113" w:type="dxa"/>
              <w:bottom w:w="113" w:type="dxa"/>
            </w:tcMar>
          </w:tcPr>
          <w:p w:rsidR="00FE27D9" w:rsidRPr="00013250" w:rsidRDefault="00013250" w:rsidP="00013250">
            <w:pPr>
              <w:jc w:val="both"/>
              <w:rPr>
                <w:rFonts w:cs="Arial"/>
                <w:sz w:val="20"/>
                <w:lang w:val="en-CA"/>
              </w:rPr>
            </w:pPr>
            <w:r w:rsidRPr="00013250">
              <w:rPr>
                <w:rFonts w:cs="Arial"/>
                <w:sz w:val="20"/>
                <w:lang w:val="en-CA"/>
              </w:rPr>
              <w:t>There are currently few alumnae involved in the UT program.  The few that do return to the college do so very informally by way of visits with individual faculty they may have connected with.</w:t>
            </w:r>
          </w:p>
          <w:p w:rsidR="00013250" w:rsidRPr="00013250" w:rsidRDefault="00013250" w:rsidP="00013250">
            <w:pPr>
              <w:jc w:val="both"/>
              <w:rPr>
                <w:rFonts w:cs="Arial"/>
                <w:sz w:val="20"/>
                <w:lang w:val="en-CA"/>
              </w:rPr>
            </w:pPr>
          </w:p>
          <w:p w:rsidR="00FE27D9" w:rsidRPr="00013250" w:rsidRDefault="008E1916" w:rsidP="00013250">
            <w:pPr>
              <w:jc w:val="both"/>
              <w:rPr>
                <w:rFonts w:cs="Arial"/>
                <w:sz w:val="20"/>
                <w:lang w:val="en-CA"/>
              </w:rPr>
            </w:pPr>
            <w:r>
              <w:rPr>
                <w:rFonts w:cs="Arial"/>
                <w:sz w:val="20"/>
                <w:lang w:val="en-CA"/>
              </w:rPr>
              <w:t>Some a</w:t>
            </w:r>
            <w:r w:rsidR="00FE27D9" w:rsidRPr="00013250">
              <w:rPr>
                <w:rFonts w:cs="Arial"/>
                <w:sz w:val="20"/>
                <w:lang w:val="en-CA"/>
              </w:rPr>
              <w:t>lumnae are connected through LSS and tutoring services. Alumnae of the program who have achieved an 80% in their courses are hired by LSS to provide tutoring in UT courses</w:t>
            </w:r>
            <w:r w:rsidR="008D76B2" w:rsidRPr="00013250">
              <w:rPr>
                <w:rFonts w:cs="Arial"/>
                <w:sz w:val="20"/>
                <w:lang w:val="en-CA"/>
              </w:rPr>
              <w:t>.</w:t>
            </w:r>
            <w:r w:rsidR="008465BF">
              <w:rPr>
                <w:rFonts w:cs="Arial"/>
                <w:sz w:val="20"/>
                <w:lang w:val="en-CA"/>
              </w:rPr>
              <w:t xml:space="preserve">  Availability of alumnae as tutors is contingent upon their willingness to offer their services.  (See Recommendation #8).</w:t>
            </w:r>
            <w:r w:rsidR="008D76B2" w:rsidRPr="00013250">
              <w:rPr>
                <w:rFonts w:cs="Arial"/>
                <w:sz w:val="20"/>
                <w:lang w:val="en-CA"/>
              </w:rPr>
              <w:t xml:space="preserve"> </w:t>
            </w:r>
          </w:p>
          <w:p w:rsidR="008D76B2" w:rsidRPr="00013250" w:rsidRDefault="008D76B2" w:rsidP="00013250">
            <w:pPr>
              <w:jc w:val="both"/>
              <w:rPr>
                <w:rFonts w:cs="Arial"/>
                <w:sz w:val="20"/>
              </w:rPr>
            </w:pPr>
          </w:p>
          <w:p w:rsidR="00D166C5" w:rsidRPr="00013250" w:rsidRDefault="00013250" w:rsidP="00013250">
            <w:pPr>
              <w:jc w:val="both"/>
              <w:rPr>
                <w:rFonts w:cs="Arial"/>
                <w:sz w:val="20"/>
              </w:rPr>
            </w:pPr>
            <w:r w:rsidRPr="00013250">
              <w:rPr>
                <w:rFonts w:cs="Arial"/>
                <w:sz w:val="20"/>
              </w:rPr>
              <w:t xml:space="preserve">There has been discussion to start a UT </w:t>
            </w:r>
            <w:r w:rsidR="00D166C5" w:rsidRPr="00013250">
              <w:rPr>
                <w:rFonts w:cs="Arial"/>
                <w:sz w:val="20"/>
              </w:rPr>
              <w:t>FaceBook</w:t>
            </w:r>
            <w:r w:rsidRPr="00013250">
              <w:rPr>
                <w:rFonts w:cs="Arial"/>
                <w:sz w:val="20"/>
              </w:rPr>
              <w:t xml:space="preserve"> page and discussions will begin in the winter with the marketing department to pursue this avenue of staying connected to alumnae of the program.</w:t>
            </w:r>
            <w:r w:rsidR="00D166C5" w:rsidRPr="00013250">
              <w:rPr>
                <w:rFonts w:cs="Arial"/>
                <w:sz w:val="20"/>
              </w:rPr>
              <w:t xml:space="preserve">  </w:t>
            </w:r>
          </w:p>
          <w:p w:rsidR="007A7BA6" w:rsidRPr="00013250" w:rsidRDefault="007A7BA6" w:rsidP="00013250">
            <w:pPr>
              <w:jc w:val="both"/>
              <w:rPr>
                <w:rFonts w:cs="Arial"/>
                <w:sz w:val="20"/>
              </w:rPr>
            </w:pPr>
          </w:p>
          <w:p w:rsidR="00780D51" w:rsidRDefault="00013250" w:rsidP="00013250">
            <w:pPr>
              <w:jc w:val="both"/>
              <w:rPr>
                <w:rFonts w:cs="Arial"/>
                <w:b/>
                <w:sz w:val="28"/>
                <w:szCs w:val="28"/>
              </w:rPr>
            </w:pPr>
            <w:r>
              <w:rPr>
                <w:rFonts w:cs="Arial"/>
                <w:sz w:val="20"/>
              </w:rPr>
              <w:t xml:space="preserve">In the past, invitations have been extended to </w:t>
            </w:r>
            <w:r w:rsidR="007A7BA6" w:rsidRPr="00013250">
              <w:rPr>
                <w:rFonts w:cs="Arial"/>
                <w:sz w:val="20"/>
              </w:rPr>
              <w:t>current program students to assist in Open House days and to Orientation</w:t>
            </w:r>
            <w:r>
              <w:rPr>
                <w:rFonts w:cs="Arial"/>
                <w:sz w:val="20"/>
              </w:rPr>
              <w:t xml:space="preserve">.  </w:t>
            </w:r>
          </w:p>
          <w:p w:rsidR="00A00802" w:rsidRDefault="00A00802" w:rsidP="00013250">
            <w:pPr>
              <w:pStyle w:val="Address"/>
              <w:tabs>
                <w:tab w:val="clear" w:pos="413"/>
                <w:tab w:val="left" w:pos="333"/>
              </w:tabs>
              <w:rPr>
                <w:rFonts w:cs="Arial"/>
                <w:b/>
                <w:color w:val="00B050"/>
              </w:rPr>
            </w:pPr>
          </w:p>
          <w:p w:rsidR="00780D51" w:rsidRPr="00780D51" w:rsidRDefault="00A00802" w:rsidP="00A00802">
            <w:pPr>
              <w:pStyle w:val="Address"/>
              <w:tabs>
                <w:tab w:val="clear" w:pos="413"/>
                <w:tab w:val="left" w:pos="333"/>
              </w:tabs>
              <w:rPr>
                <w:rFonts w:cs="Arial"/>
                <w:b/>
              </w:rPr>
            </w:pPr>
            <w:r w:rsidRPr="00A00802">
              <w:rPr>
                <w:rFonts w:cs="Arial"/>
              </w:rPr>
              <w:t>At the October 2011 Program meeting, the UT faculty discussed the GSU webpage.</w:t>
            </w:r>
            <w:r>
              <w:rPr>
                <w:rFonts w:cs="Arial"/>
                <w:b/>
                <w:color w:val="00B050"/>
              </w:rPr>
              <w:t xml:space="preserve">  </w:t>
            </w:r>
            <w:r w:rsidR="00780D51">
              <w:t>Th</w:t>
            </w:r>
            <w:r>
              <w:t xml:space="preserve">is </w:t>
            </w:r>
            <w:r w:rsidR="00780D51">
              <w:t>webpage needs to be revisited and should have sample essays, sample assignments and even a clear outline of what is required in the program. Perhaps a video interview with previous students talking about the UT program should be used to help provide a clearer picture of the program.</w:t>
            </w:r>
            <w:r w:rsidR="00013250">
              <w:t xml:space="preserve">  </w:t>
            </w:r>
            <w:r w:rsidR="00780D51" w:rsidRPr="00780D51">
              <w:t>Some summer development time should be set aside to work on the UT website and IT needs to be consulted to see what needs to be done to have this external site linked to the Fleming site.</w:t>
            </w:r>
          </w:p>
        </w:tc>
      </w:tr>
      <w:tr w:rsidR="00276F6B" w:rsidRPr="000C3BAA" w:rsidTr="000C3BAA">
        <w:tc>
          <w:tcPr>
            <w:tcW w:w="6534" w:type="dxa"/>
            <w:shd w:val="clear" w:color="auto" w:fill="auto"/>
            <w:tcMar>
              <w:top w:w="113" w:type="dxa"/>
              <w:bottom w:w="113" w:type="dxa"/>
            </w:tcMar>
          </w:tcPr>
          <w:p w:rsidR="00276F6B" w:rsidRPr="000C3BAA" w:rsidRDefault="00276F6B" w:rsidP="000C3BAA">
            <w:pPr>
              <w:pStyle w:val="Title"/>
              <w:jc w:val="left"/>
              <w:rPr>
                <w:rFonts w:ascii="Arial" w:hAnsi="Arial" w:cs="Arial"/>
                <w:b/>
                <w:sz w:val="20"/>
              </w:rPr>
            </w:pPr>
            <w:r w:rsidRPr="000C3BAA">
              <w:rPr>
                <w:rFonts w:ascii="Arial" w:hAnsi="Arial" w:cs="Arial"/>
                <w:b/>
                <w:sz w:val="20"/>
              </w:rPr>
              <w:t>7.2 Community Relations</w:t>
            </w:r>
          </w:p>
          <w:p w:rsidR="00276F6B" w:rsidRPr="000C3BAA" w:rsidRDefault="00276F6B" w:rsidP="000C3BAA">
            <w:pPr>
              <w:pStyle w:val="Title"/>
              <w:jc w:val="left"/>
              <w:rPr>
                <w:rFonts w:ascii="Arial" w:hAnsi="Arial" w:cs="Arial"/>
                <w:b/>
                <w:sz w:val="20"/>
              </w:rPr>
            </w:pPr>
            <w:r w:rsidRPr="000C3BAA">
              <w:rPr>
                <w:rFonts w:ascii="Arial" w:hAnsi="Arial" w:cs="Arial"/>
                <w:b/>
                <w:sz w:val="20"/>
              </w:rPr>
              <w:t xml:space="preserve"> </w:t>
            </w: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13"/>
              </w:numPr>
              <w:tabs>
                <w:tab w:val="clear" w:pos="720"/>
                <w:tab w:val="num" w:pos="360"/>
              </w:tabs>
              <w:ind w:left="360"/>
              <w:rPr>
                <w:rFonts w:cs="Arial"/>
                <w:sz w:val="20"/>
              </w:rPr>
            </w:pPr>
            <w:r w:rsidRPr="000C3BAA">
              <w:rPr>
                <w:rFonts w:cs="Arial"/>
                <w:sz w:val="20"/>
              </w:rPr>
              <w:t>Significant partnerships, relationships, connections, or offers of support from the community that help to enrich the program and the student experience</w:t>
            </w:r>
          </w:p>
          <w:p w:rsidR="00276F6B" w:rsidRPr="000C3BAA" w:rsidRDefault="00276F6B" w:rsidP="000C3BAA">
            <w:pPr>
              <w:numPr>
                <w:ilvl w:val="0"/>
                <w:numId w:val="13"/>
              </w:numPr>
              <w:tabs>
                <w:tab w:val="clear" w:pos="720"/>
                <w:tab w:val="num" w:pos="360"/>
              </w:tabs>
              <w:ind w:left="360"/>
              <w:rPr>
                <w:rFonts w:cs="Arial"/>
                <w:sz w:val="20"/>
              </w:rPr>
            </w:pPr>
            <w:r w:rsidRPr="000C3BAA">
              <w:rPr>
                <w:rFonts w:cs="Arial"/>
                <w:sz w:val="20"/>
              </w:rPr>
              <w:t xml:space="preserve">Faculty, staff, and student involvement </w:t>
            </w:r>
            <w:r w:rsidRPr="000C3BAA">
              <w:rPr>
                <w:rFonts w:cs="Arial"/>
                <w:sz w:val="20"/>
                <w:lang w:val="en-CA" w:eastAsia="en-CA"/>
              </w:rPr>
              <w:t>in volunteer projects and events</w:t>
            </w:r>
          </w:p>
          <w:p w:rsidR="00276F6B" w:rsidRPr="000C3BAA" w:rsidRDefault="00276F6B" w:rsidP="000C3BAA">
            <w:pPr>
              <w:numPr>
                <w:ilvl w:val="0"/>
                <w:numId w:val="13"/>
              </w:numPr>
              <w:tabs>
                <w:tab w:val="clear" w:pos="720"/>
                <w:tab w:val="num" w:pos="360"/>
              </w:tabs>
              <w:ind w:left="360"/>
              <w:rPr>
                <w:rFonts w:cs="Arial"/>
                <w:sz w:val="20"/>
              </w:rPr>
            </w:pPr>
            <w:r w:rsidRPr="000C3BAA">
              <w:rPr>
                <w:rFonts w:cs="Arial"/>
                <w:sz w:val="20"/>
                <w:lang w:val="en-CA" w:eastAsia="en-CA"/>
              </w:rPr>
              <w:lastRenderedPageBreak/>
              <w:t xml:space="preserve">Contributions to the not for profit sector such as committee or board service by program-associated faculty and staff </w:t>
            </w:r>
          </w:p>
          <w:p w:rsidR="00276F6B" w:rsidRPr="000C3BAA" w:rsidRDefault="00276F6B" w:rsidP="000C3BAA">
            <w:pPr>
              <w:numPr>
                <w:ilvl w:val="0"/>
                <w:numId w:val="13"/>
              </w:numPr>
              <w:tabs>
                <w:tab w:val="clear" w:pos="720"/>
                <w:tab w:val="num" w:pos="360"/>
              </w:tabs>
              <w:ind w:left="360"/>
              <w:rPr>
                <w:rFonts w:cs="Arial"/>
                <w:sz w:val="20"/>
              </w:rPr>
            </w:pPr>
            <w:r w:rsidRPr="000C3BAA">
              <w:rPr>
                <w:rFonts w:cs="Arial"/>
                <w:sz w:val="20"/>
              </w:rPr>
              <w:t xml:space="preserve">Community recognition in the form of student bursaries, awards and scholarships </w:t>
            </w:r>
          </w:p>
          <w:p w:rsidR="00276F6B" w:rsidRPr="000C3BAA" w:rsidRDefault="00276F6B" w:rsidP="00276F6B">
            <w:pPr>
              <w:rPr>
                <w:rFonts w:cs="Arial"/>
                <w:b/>
                <w:sz w:val="20"/>
              </w:rPr>
            </w:pPr>
          </w:p>
        </w:tc>
        <w:tc>
          <w:tcPr>
            <w:tcW w:w="6534" w:type="dxa"/>
            <w:shd w:val="clear" w:color="auto" w:fill="auto"/>
            <w:tcMar>
              <w:top w:w="113" w:type="dxa"/>
              <w:bottom w:w="113" w:type="dxa"/>
            </w:tcMar>
          </w:tcPr>
          <w:p w:rsidR="007A7BA6" w:rsidRPr="00013250" w:rsidRDefault="007A7BA6" w:rsidP="00013250">
            <w:pPr>
              <w:jc w:val="both"/>
              <w:rPr>
                <w:rFonts w:cs="Arial"/>
                <w:sz w:val="20"/>
              </w:rPr>
            </w:pPr>
            <w:r w:rsidRPr="00013250">
              <w:rPr>
                <w:rFonts w:cs="Arial"/>
                <w:sz w:val="20"/>
              </w:rPr>
              <w:lastRenderedPageBreak/>
              <w:t xml:space="preserve">One </w:t>
            </w:r>
            <w:r w:rsidR="00B33773">
              <w:rPr>
                <w:rFonts w:cs="Arial"/>
                <w:sz w:val="20"/>
              </w:rPr>
              <w:t>full-time</w:t>
            </w:r>
            <w:r w:rsidR="00013250" w:rsidRPr="00013250">
              <w:rPr>
                <w:rFonts w:cs="Arial"/>
                <w:sz w:val="20"/>
              </w:rPr>
              <w:t xml:space="preserve"> faculty member has solicited volunteers from the UT prog</w:t>
            </w:r>
            <w:r w:rsidRPr="00013250">
              <w:rPr>
                <w:rFonts w:cs="Arial"/>
                <w:sz w:val="20"/>
              </w:rPr>
              <w:t xml:space="preserve">ram to assist in </w:t>
            </w:r>
            <w:r w:rsidR="00013250" w:rsidRPr="00013250">
              <w:rPr>
                <w:rFonts w:cs="Arial"/>
                <w:sz w:val="20"/>
              </w:rPr>
              <w:t xml:space="preserve">a </w:t>
            </w:r>
            <w:r w:rsidRPr="00013250">
              <w:rPr>
                <w:rFonts w:cs="Arial"/>
                <w:sz w:val="20"/>
              </w:rPr>
              <w:t>community</w:t>
            </w:r>
            <w:r w:rsidR="00013250" w:rsidRPr="00013250">
              <w:rPr>
                <w:rFonts w:cs="Arial"/>
                <w:sz w:val="20"/>
              </w:rPr>
              <w:t>-based event</w:t>
            </w:r>
            <w:r w:rsidRPr="00013250">
              <w:rPr>
                <w:rFonts w:cs="Arial"/>
                <w:sz w:val="20"/>
              </w:rPr>
              <w:t xml:space="preserve"> for </w:t>
            </w:r>
            <w:r w:rsidR="00013250" w:rsidRPr="00013250">
              <w:rPr>
                <w:rFonts w:cs="Arial"/>
                <w:sz w:val="20"/>
              </w:rPr>
              <w:t>children</w:t>
            </w:r>
            <w:r w:rsidRPr="00013250">
              <w:rPr>
                <w:rFonts w:cs="Arial"/>
                <w:sz w:val="20"/>
              </w:rPr>
              <w:t>.</w:t>
            </w:r>
          </w:p>
          <w:p w:rsidR="007A7BA6" w:rsidRPr="00013250" w:rsidRDefault="007A7BA6" w:rsidP="00013250">
            <w:pPr>
              <w:jc w:val="both"/>
              <w:rPr>
                <w:rFonts w:cs="Arial"/>
                <w:sz w:val="20"/>
              </w:rPr>
            </w:pPr>
          </w:p>
          <w:p w:rsidR="00B01E76" w:rsidRDefault="00013250" w:rsidP="00013250">
            <w:pPr>
              <w:jc w:val="both"/>
              <w:rPr>
                <w:rFonts w:cs="Arial"/>
                <w:sz w:val="20"/>
              </w:rPr>
            </w:pPr>
            <w:r w:rsidRPr="00013250">
              <w:rPr>
                <w:rFonts w:cs="Arial"/>
                <w:sz w:val="20"/>
              </w:rPr>
              <w:t>As noted earlier, discussions and planning for the incorporation of an applied learning experience within the program will take place in the winter to prepare for full implementation in the Fall 2012 semester. Faculty will consider whether there is</w:t>
            </w:r>
            <w:r w:rsidR="002471AB" w:rsidRPr="00013250">
              <w:rPr>
                <w:rFonts w:cs="Arial"/>
                <w:sz w:val="20"/>
              </w:rPr>
              <w:t xml:space="preserve"> a service learning project that the program</w:t>
            </w:r>
            <w:r w:rsidRPr="00013250">
              <w:rPr>
                <w:rFonts w:cs="Arial"/>
                <w:sz w:val="20"/>
              </w:rPr>
              <w:t>/learners</w:t>
            </w:r>
            <w:r w:rsidR="002471AB" w:rsidRPr="00013250">
              <w:rPr>
                <w:rFonts w:cs="Arial"/>
                <w:sz w:val="20"/>
              </w:rPr>
              <w:t xml:space="preserve"> can see as being useful</w:t>
            </w:r>
            <w:r w:rsidR="00A9722F" w:rsidRPr="00013250">
              <w:rPr>
                <w:rFonts w:cs="Arial"/>
                <w:sz w:val="20"/>
              </w:rPr>
              <w:t xml:space="preserve"> </w:t>
            </w:r>
            <w:r w:rsidRPr="00013250">
              <w:rPr>
                <w:rFonts w:cs="Arial"/>
                <w:sz w:val="20"/>
              </w:rPr>
              <w:t>either</w:t>
            </w:r>
            <w:r w:rsidR="00A9722F" w:rsidRPr="00013250">
              <w:rPr>
                <w:rFonts w:cs="Arial"/>
                <w:sz w:val="20"/>
              </w:rPr>
              <w:t xml:space="preserve"> within each course and/or across the </w:t>
            </w:r>
            <w:r w:rsidRPr="00013250">
              <w:rPr>
                <w:rFonts w:cs="Arial"/>
                <w:sz w:val="20"/>
              </w:rPr>
              <w:t>term (i.e.</w:t>
            </w:r>
            <w:r w:rsidR="00B33773">
              <w:rPr>
                <w:rFonts w:cs="Arial"/>
                <w:sz w:val="20"/>
              </w:rPr>
              <w:t xml:space="preserve"> student</w:t>
            </w:r>
            <w:r w:rsidR="005E17F4">
              <w:rPr>
                <w:rFonts w:cs="Arial"/>
                <w:sz w:val="20"/>
              </w:rPr>
              <w:t>s</w:t>
            </w:r>
            <w:r w:rsidR="00B33773">
              <w:rPr>
                <w:rFonts w:cs="Arial"/>
                <w:sz w:val="20"/>
              </w:rPr>
              <w:t xml:space="preserve"> involved in organizing the Speakers’ S</w:t>
            </w:r>
            <w:r w:rsidR="005E17F4">
              <w:rPr>
                <w:rFonts w:cs="Arial"/>
                <w:sz w:val="20"/>
              </w:rPr>
              <w:t>eries and/or a mini conference</w:t>
            </w:r>
            <w:r w:rsidR="00B01E76">
              <w:rPr>
                <w:rFonts w:cs="Arial"/>
                <w:sz w:val="20"/>
              </w:rPr>
              <w:t xml:space="preserve">, and/or enhancing applied </w:t>
            </w:r>
            <w:r w:rsidR="00B01E76">
              <w:rPr>
                <w:rFonts w:cs="Arial"/>
                <w:sz w:val="20"/>
              </w:rPr>
              <w:lastRenderedPageBreak/>
              <w:t xml:space="preserve">research elements in the curriculum, as per Recommendation #6).  </w:t>
            </w:r>
          </w:p>
          <w:p w:rsidR="00A9722F" w:rsidRPr="00013250" w:rsidRDefault="005E17F4" w:rsidP="00013250">
            <w:pPr>
              <w:jc w:val="both"/>
              <w:rPr>
                <w:rFonts w:cs="Arial"/>
                <w:sz w:val="20"/>
              </w:rPr>
            </w:pPr>
            <w:r>
              <w:rPr>
                <w:rFonts w:cs="Arial"/>
                <w:sz w:val="20"/>
              </w:rPr>
              <w:t xml:space="preserve"> </w:t>
            </w:r>
            <w:r w:rsidR="00013250" w:rsidRPr="00013250">
              <w:rPr>
                <w:rFonts w:cs="Arial"/>
                <w:sz w:val="20"/>
              </w:rPr>
              <w:t xml:space="preserve">  </w:t>
            </w:r>
          </w:p>
          <w:p w:rsidR="005D598A" w:rsidRDefault="005D598A" w:rsidP="00013250">
            <w:pPr>
              <w:jc w:val="both"/>
              <w:rPr>
                <w:rFonts w:cs="Arial"/>
                <w:sz w:val="20"/>
              </w:rPr>
            </w:pPr>
            <w:r w:rsidRPr="00013250">
              <w:rPr>
                <w:rFonts w:cs="Arial"/>
                <w:sz w:val="20"/>
              </w:rPr>
              <w:t xml:space="preserve">This past year (Spring 2011), a graduating UT student won the Peterborough Examiner Award.  This is given to students within GAS programs who show excellent oral and </w:t>
            </w:r>
            <w:r w:rsidR="00200525" w:rsidRPr="00013250">
              <w:rPr>
                <w:rFonts w:cs="Arial"/>
                <w:sz w:val="20"/>
              </w:rPr>
              <w:t xml:space="preserve">written </w:t>
            </w:r>
            <w:r w:rsidRPr="00013250">
              <w:rPr>
                <w:rFonts w:cs="Arial"/>
                <w:sz w:val="20"/>
              </w:rPr>
              <w:t>communication skills and who also achieve academic excellence.</w:t>
            </w:r>
          </w:p>
          <w:p w:rsidR="00B01E76" w:rsidRDefault="00B01E76" w:rsidP="00013250">
            <w:pPr>
              <w:jc w:val="both"/>
              <w:rPr>
                <w:rFonts w:cs="Arial"/>
                <w:sz w:val="20"/>
              </w:rPr>
            </w:pPr>
          </w:p>
          <w:p w:rsidR="00532E39" w:rsidRPr="000C3BAA" w:rsidRDefault="005D598A" w:rsidP="00013250">
            <w:pPr>
              <w:jc w:val="both"/>
              <w:rPr>
                <w:rFonts w:cs="Arial"/>
                <w:b/>
                <w:sz w:val="28"/>
                <w:szCs w:val="28"/>
              </w:rPr>
            </w:pPr>
            <w:r w:rsidRPr="00013250">
              <w:rPr>
                <w:rFonts w:cs="Arial"/>
                <w:sz w:val="20"/>
              </w:rPr>
              <w:t>This coming year (Spring 2012), GAS will host, celebrate and acknowledge UT students with awards for highest overall GPA</w:t>
            </w:r>
            <w:r w:rsidR="00A1560E">
              <w:rPr>
                <w:rFonts w:cs="Arial"/>
                <w:sz w:val="20"/>
              </w:rPr>
              <w:t xml:space="preserve"> or most improved</w:t>
            </w:r>
            <w:r w:rsidRPr="00013250">
              <w:rPr>
                <w:rFonts w:cs="Arial"/>
                <w:sz w:val="20"/>
              </w:rPr>
              <w:t xml:space="preserve"> as well as honours for discipline-specific courses.</w:t>
            </w:r>
            <w:r>
              <w:rPr>
                <w:rFonts w:cs="Arial"/>
                <w:b/>
                <w:color w:val="FF0000"/>
                <w:sz w:val="24"/>
                <w:szCs w:val="24"/>
              </w:rPr>
              <w:t xml:space="preserve">  </w:t>
            </w:r>
          </w:p>
        </w:tc>
      </w:tr>
      <w:tr w:rsidR="00276F6B" w:rsidRPr="000C3BAA" w:rsidTr="000C3BAA">
        <w:tc>
          <w:tcPr>
            <w:tcW w:w="6534" w:type="dxa"/>
            <w:shd w:val="clear" w:color="auto" w:fill="auto"/>
            <w:tcMar>
              <w:top w:w="113" w:type="dxa"/>
              <w:bottom w:w="113" w:type="dxa"/>
            </w:tcMar>
          </w:tcPr>
          <w:p w:rsidR="00276F6B" w:rsidRPr="000C3BAA" w:rsidRDefault="00276F6B" w:rsidP="000C3BAA">
            <w:pPr>
              <w:pStyle w:val="Title"/>
              <w:jc w:val="left"/>
              <w:rPr>
                <w:rFonts w:ascii="Arial" w:hAnsi="Arial" w:cs="Arial"/>
                <w:b/>
                <w:sz w:val="20"/>
              </w:rPr>
            </w:pPr>
          </w:p>
          <w:p w:rsidR="00276F6B" w:rsidRPr="000C3BAA" w:rsidRDefault="00276F6B" w:rsidP="000C3BAA">
            <w:pPr>
              <w:pStyle w:val="Title"/>
              <w:jc w:val="left"/>
              <w:rPr>
                <w:rFonts w:ascii="Arial" w:hAnsi="Arial" w:cs="Arial"/>
                <w:b/>
                <w:sz w:val="20"/>
              </w:rPr>
            </w:pPr>
            <w:r w:rsidRPr="000C3BAA">
              <w:rPr>
                <w:rFonts w:ascii="Arial" w:hAnsi="Arial" w:cs="Arial"/>
                <w:b/>
                <w:sz w:val="20"/>
              </w:rPr>
              <w:t>7.3 Program Advisory Committee</w:t>
            </w:r>
          </w:p>
          <w:p w:rsidR="00276F6B" w:rsidRPr="000C3BAA" w:rsidRDefault="00276F6B" w:rsidP="000C3BAA">
            <w:pPr>
              <w:pStyle w:val="Title"/>
              <w:jc w:val="left"/>
              <w:rPr>
                <w:rFonts w:ascii="Arial" w:hAnsi="Arial" w:cs="Arial"/>
                <w:b/>
                <w:sz w:val="20"/>
              </w:rPr>
            </w:pPr>
          </w:p>
          <w:p w:rsidR="00276F6B" w:rsidRPr="000C3BAA" w:rsidRDefault="00276F6B" w:rsidP="00276F6B">
            <w:pPr>
              <w:rPr>
                <w:rFonts w:cs="Arial"/>
                <w:b/>
                <w:bCs/>
                <w:sz w:val="20"/>
              </w:rPr>
            </w:pPr>
            <w:r w:rsidRPr="000C3BAA">
              <w:rPr>
                <w:rFonts w:cs="Arial"/>
                <w:b/>
                <w:bCs/>
                <w:sz w:val="20"/>
              </w:rPr>
              <w:t>Review / discuss:</w:t>
            </w:r>
          </w:p>
          <w:p w:rsidR="00276F6B" w:rsidRPr="000C3BAA" w:rsidRDefault="00276F6B" w:rsidP="00276F6B">
            <w:pPr>
              <w:rPr>
                <w:rFonts w:cs="Arial"/>
                <w:b/>
                <w:bCs/>
                <w:sz w:val="20"/>
              </w:rPr>
            </w:pPr>
          </w:p>
          <w:p w:rsidR="00276F6B" w:rsidRPr="000C3BAA" w:rsidRDefault="00276F6B" w:rsidP="000C3BAA">
            <w:pPr>
              <w:numPr>
                <w:ilvl w:val="0"/>
                <w:numId w:val="21"/>
              </w:numPr>
              <w:tabs>
                <w:tab w:val="clear" w:pos="720"/>
                <w:tab w:val="num" w:pos="360"/>
              </w:tabs>
              <w:autoSpaceDE w:val="0"/>
              <w:autoSpaceDN w:val="0"/>
              <w:adjustRightInd w:val="0"/>
              <w:ind w:left="360"/>
              <w:rPr>
                <w:rFonts w:cs="Arial"/>
                <w:sz w:val="20"/>
                <w:lang w:val="en-CA" w:eastAsia="en-CA"/>
              </w:rPr>
            </w:pPr>
            <w:r w:rsidRPr="000C3BAA">
              <w:rPr>
                <w:rFonts w:cs="Arial"/>
                <w:sz w:val="20"/>
                <w:lang w:val="en-CA" w:eastAsia="en-CA"/>
              </w:rPr>
              <w:t>The distribution of Committee membership by constituency, sector, and / or region</w:t>
            </w:r>
          </w:p>
          <w:p w:rsidR="00276F6B" w:rsidRPr="000C3BAA" w:rsidRDefault="00276F6B" w:rsidP="000C3BAA">
            <w:pPr>
              <w:numPr>
                <w:ilvl w:val="0"/>
                <w:numId w:val="21"/>
              </w:numPr>
              <w:tabs>
                <w:tab w:val="clear" w:pos="720"/>
                <w:tab w:val="num" w:pos="360"/>
              </w:tabs>
              <w:autoSpaceDE w:val="0"/>
              <w:autoSpaceDN w:val="0"/>
              <w:adjustRightInd w:val="0"/>
              <w:ind w:left="360"/>
              <w:rPr>
                <w:rFonts w:cs="Arial"/>
                <w:sz w:val="20"/>
                <w:lang w:val="en-CA" w:eastAsia="en-CA"/>
              </w:rPr>
            </w:pPr>
            <w:r w:rsidRPr="000C3BAA">
              <w:rPr>
                <w:rFonts w:cs="Arial"/>
                <w:sz w:val="20"/>
                <w:lang w:val="en-CA" w:eastAsia="en-CA"/>
              </w:rPr>
              <w:t>The vitality of the Committee such as the frequency of meetings, and members’ level of participation, engagement, and turnover</w:t>
            </w:r>
          </w:p>
          <w:p w:rsidR="00276F6B" w:rsidRPr="000C3BAA" w:rsidRDefault="00276F6B" w:rsidP="000C3BAA">
            <w:pPr>
              <w:numPr>
                <w:ilvl w:val="0"/>
                <w:numId w:val="21"/>
              </w:numPr>
              <w:tabs>
                <w:tab w:val="clear" w:pos="720"/>
                <w:tab w:val="num" w:pos="360"/>
              </w:tabs>
              <w:autoSpaceDE w:val="0"/>
              <w:autoSpaceDN w:val="0"/>
              <w:adjustRightInd w:val="0"/>
              <w:ind w:left="360"/>
              <w:rPr>
                <w:rFonts w:ascii="Tahoma" w:hAnsi="Tahoma" w:cs="Tahoma"/>
                <w:sz w:val="20"/>
                <w:lang w:val="en-CA" w:eastAsia="en-CA"/>
              </w:rPr>
            </w:pPr>
            <w:r w:rsidRPr="000C3BAA">
              <w:rPr>
                <w:rFonts w:cs="Arial"/>
                <w:sz w:val="20"/>
                <w:lang w:val="en-CA" w:eastAsia="en-CA"/>
              </w:rPr>
              <w:t>The extent to which Committee operations are aligned with the Fleming College Advisory Committee Orientation Manual and Advisory Committee policy.</w:t>
            </w:r>
          </w:p>
          <w:p w:rsidR="00276F6B" w:rsidRPr="000C3BAA" w:rsidRDefault="00276F6B" w:rsidP="000C3BAA">
            <w:pPr>
              <w:pStyle w:val="Title"/>
              <w:jc w:val="left"/>
              <w:rPr>
                <w:rFonts w:ascii="Arial" w:hAnsi="Arial" w:cs="Arial"/>
                <w:b/>
                <w:sz w:val="20"/>
              </w:rPr>
            </w:pPr>
            <w:r w:rsidRPr="000C3BAA">
              <w:rPr>
                <w:rFonts w:ascii="Tahoma" w:hAnsi="Tahoma" w:cs="Tahoma"/>
                <w:lang w:val="en-CA" w:eastAsia="en-CA"/>
              </w:rPr>
              <w:t xml:space="preserve"> </w:t>
            </w:r>
          </w:p>
        </w:tc>
        <w:tc>
          <w:tcPr>
            <w:tcW w:w="6534" w:type="dxa"/>
            <w:shd w:val="clear" w:color="auto" w:fill="auto"/>
            <w:tcMar>
              <w:top w:w="113" w:type="dxa"/>
              <w:bottom w:w="113" w:type="dxa"/>
            </w:tcMar>
          </w:tcPr>
          <w:p w:rsidR="00276F6B" w:rsidRDefault="00013250" w:rsidP="00410606">
            <w:pPr>
              <w:jc w:val="both"/>
              <w:rPr>
                <w:rFonts w:cs="Arial"/>
                <w:sz w:val="20"/>
              </w:rPr>
            </w:pPr>
            <w:r w:rsidRPr="00410606">
              <w:rPr>
                <w:rFonts w:cs="Arial"/>
                <w:sz w:val="20"/>
              </w:rPr>
              <w:t>There are regularly scheduled PAC meetings to discuss the GAS suite of programs.  We have had excellent participation</w:t>
            </w:r>
            <w:r w:rsidR="00410606" w:rsidRPr="00410606">
              <w:rPr>
                <w:rFonts w:cs="Arial"/>
                <w:sz w:val="20"/>
              </w:rPr>
              <w:t>,</w:t>
            </w:r>
            <w:r w:rsidRPr="00410606">
              <w:rPr>
                <w:rFonts w:cs="Arial"/>
                <w:sz w:val="20"/>
              </w:rPr>
              <w:t xml:space="preserve"> engagement and support from its members.  All meetings are conducted following Fleming College’s guidelines for PAC.</w:t>
            </w:r>
          </w:p>
          <w:p w:rsidR="00410606" w:rsidRDefault="00410606" w:rsidP="00410606">
            <w:pPr>
              <w:jc w:val="both"/>
              <w:rPr>
                <w:rFonts w:cs="Arial"/>
                <w:sz w:val="20"/>
              </w:rPr>
            </w:pPr>
          </w:p>
          <w:p w:rsidR="00410606" w:rsidRDefault="00410606" w:rsidP="00410606">
            <w:pPr>
              <w:jc w:val="both"/>
              <w:rPr>
                <w:rFonts w:cs="Arial"/>
                <w:sz w:val="20"/>
              </w:rPr>
            </w:pPr>
            <w:r>
              <w:rPr>
                <w:rFonts w:cs="Arial"/>
                <w:sz w:val="20"/>
              </w:rPr>
              <w:t>There is representation from both local and Durham-region high school boards, faculty from Trent and local businesses within our community.</w:t>
            </w:r>
          </w:p>
          <w:p w:rsidR="00410606" w:rsidRDefault="00410606" w:rsidP="00410606">
            <w:pPr>
              <w:jc w:val="both"/>
              <w:rPr>
                <w:rFonts w:cs="Arial"/>
                <w:sz w:val="20"/>
              </w:rPr>
            </w:pPr>
          </w:p>
          <w:p w:rsidR="00410606" w:rsidRDefault="00410606" w:rsidP="00410606">
            <w:pPr>
              <w:jc w:val="both"/>
              <w:rPr>
                <w:rFonts w:cs="Arial"/>
                <w:sz w:val="20"/>
              </w:rPr>
            </w:pPr>
            <w:r>
              <w:rPr>
                <w:rFonts w:cs="Arial"/>
                <w:sz w:val="20"/>
              </w:rPr>
              <w:t>The PAC has agreed to meet once a semester.</w:t>
            </w:r>
          </w:p>
          <w:p w:rsidR="00410606" w:rsidRDefault="00410606" w:rsidP="00410606">
            <w:pPr>
              <w:jc w:val="both"/>
              <w:rPr>
                <w:rFonts w:cs="Arial"/>
                <w:sz w:val="20"/>
              </w:rPr>
            </w:pPr>
          </w:p>
          <w:p w:rsidR="00410606" w:rsidRPr="00410606" w:rsidRDefault="00410606" w:rsidP="00410606">
            <w:pPr>
              <w:jc w:val="both"/>
              <w:rPr>
                <w:rFonts w:cs="Arial"/>
                <w:sz w:val="20"/>
              </w:rPr>
            </w:pPr>
            <w:r>
              <w:rPr>
                <w:rFonts w:cs="Arial"/>
                <w:sz w:val="20"/>
              </w:rPr>
              <w:t>All members of the PAC have received the Orientation manual and the College’s policy on membership to an advisory committee.</w:t>
            </w:r>
          </w:p>
          <w:p w:rsidR="00A9722F" w:rsidRPr="000C3BAA" w:rsidRDefault="00A9722F" w:rsidP="00276F6B">
            <w:pPr>
              <w:rPr>
                <w:rFonts w:cs="Arial"/>
                <w:b/>
                <w:sz w:val="28"/>
                <w:szCs w:val="28"/>
              </w:rPr>
            </w:pPr>
          </w:p>
        </w:tc>
      </w:tr>
    </w:tbl>
    <w:p w:rsidR="00276F6B" w:rsidRDefault="00276F6B" w:rsidP="00276F6B"/>
    <w:p w:rsidR="00276F6B" w:rsidRDefault="00276F6B" w:rsidP="00276F6B">
      <w:pPr>
        <w:rPr>
          <w:rFonts w:cs="Arial"/>
          <w:b/>
        </w:rPr>
      </w:pPr>
    </w:p>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4"/>
        <w:gridCol w:w="6534"/>
      </w:tblGrid>
      <w:tr w:rsidR="00276F6B" w:rsidRPr="000C3BAA" w:rsidTr="000C3BAA">
        <w:tc>
          <w:tcPr>
            <w:tcW w:w="6534" w:type="dxa"/>
            <w:shd w:val="clear" w:color="auto" w:fill="C0C0C0"/>
            <w:tcMar>
              <w:top w:w="113" w:type="dxa"/>
              <w:bottom w:w="113" w:type="dxa"/>
            </w:tcMar>
          </w:tcPr>
          <w:p w:rsidR="00276F6B" w:rsidRPr="000C3BAA" w:rsidRDefault="00276F6B" w:rsidP="000C3BAA">
            <w:pPr>
              <w:tabs>
                <w:tab w:val="left" w:pos="72"/>
              </w:tabs>
              <w:rPr>
                <w:rFonts w:cs="Arial"/>
                <w:b/>
              </w:rPr>
            </w:pPr>
            <w:r w:rsidRPr="000C3BAA">
              <w:rPr>
                <w:rFonts w:cs="Arial"/>
                <w:b/>
              </w:rPr>
              <w:t xml:space="preserve">8.0 Program Resources </w:t>
            </w:r>
          </w:p>
        </w:tc>
        <w:tc>
          <w:tcPr>
            <w:tcW w:w="6534" w:type="dxa"/>
            <w:shd w:val="clear" w:color="auto" w:fill="C0C0C0"/>
            <w:tcMar>
              <w:top w:w="113" w:type="dxa"/>
              <w:bottom w:w="113" w:type="dxa"/>
            </w:tcMar>
          </w:tcPr>
          <w:p w:rsidR="00276F6B" w:rsidRPr="000C3BAA" w:rsidRDefault="00276F6B" w:rsidP="00276F6B">
            <w:pPr>
              <w:rPr>
                <w:rFonts w:cs="Arial"/>
                <w:b/>
              </w:rPr>
            </w:pPr>
            <w:r w:rsidRPr="000C3BAA">
              <w:rPr>
                <w:rFonts w:cs="Arial"/>
                <w:b/>
              </w:rPr>
              <w:t>Summary of Key Findings</w:t>
            </w:r>
          </w:p>
        </w:tc>
      </w:tr>
      <w:tr w:rsidR="00276F6B" w:rsidRPr="000C3BAA" w:rsidTr="000C3BAA">
        <w:tc>
          <w:tcPr>
            <w:tcW w:w="6534" w:type="dxa"/>
            <w:shd w:val="clear" w:color="auto" w:fill="auto"/>
            <w:tcMar>
              <w:top w:w="113" w:type="dxa"/>
              <w:bottom w:w="113" w:type="dxa"/>
            </w:tcMar>
          </w:tcPr>
          <w:p w:rsidR="00276F6B" w:rsidRPr="000C3BAA" w:rsidRDefault="00276F6B" w:rsidP="000C3BAA">
            <w:pPr>
              <w:pStyle w:val="Title"/>
              <w:ind w:left="360" w:hanging="360"/>
              <w:jc w:val="left"/>
              <w:rPr>
                <w:rFonts w:ascii="Arial" w:hAnsi="Arial" w:cs="Arial"/>
                <w:b/>
                <w:sz w:val="20"/>
              </w:rPr>
            </w:pPr>
            <w:r w:rsidRPr="000C3BAA">
              <w:rPr>
                <w:rFonts w:ascii="Arial" w:hAnsi="Arial" w:cs="Arial"/>
                <w:b/>
                <w:sz w:val="20"/>
              </w:rPr>
              <w:t xml:space="preserve">8.1 Human Resources </w:t>
            </w:r>
          </w:p>
          <w:p w:rsidR="00276F6B" w:rsidRPr="000C3BAA" w:rsidRDefault="00276F6B" w:rsidP="000C3BAA">
            <w:pPr>
              <w:pStyle w:val="Title"/>
              <w:ind w:left="360" w:hanging="360"/>
              <w:jc w:val="left"/>
              <w:rPr>
                <w:rFonts w:ascii="Arial" w:hAnsi="Arial" w:cs="Arial"/>
                <w:b/>
                <w:sz w:val="20"/>
              </w:rPr>
            </w:pPr>
          </w:p>
          <w:p w:rsidR="00276F6B" w:rsidRPr="000C3BAA" w:rsidRDefault="00276F6B" w:rsidP="000C3BAA">
            <w:pPr>
              <w:pStyle w:val="Title"/>
              <w:ind w:left="360" w:hanging="360"/>
              <w:jc w:val="left"/>
              <w:rPr>
                <w:rFonts w:ascii="Arial" w:hAnsi="Arial" w:cs="Arial"/>
                <w:b/>
                <w:bCs/>
                <w:sz w:val="20"/>
              </w:rPr>
            </w:pPr>
            <w:r w:rsidRPr="000C3BAA">
              <w:rPr>
                <w:rFonts w:ascii="Arial" w:hAnsi="Arial" w:cs="Arial"/>
                <w:b/>
                <w:bCs/>
                <w:sz w:val="20"/>
              </w:rPr>
              <w:t>Review / discuss:</w:t>
            </w:r>
          </w:p>
          <w:p w:rsidR="00276F6B" w:rsidRPr="000C3BAA" w:rsidRDefault="00276F6B" w:rsidP="000C3BAA">
            <w:pPr>
              <w:pStyle w:val="Title"/>
              <w:ind w:left="360" w:hanging="360"/>
              <w:jc w:val="left"/>
              <w:rPr>
                <w:rFonts w:ascii="Arial" w:hAnsi="Arial" w:cs="Arial"/>
                <w:b/>
                <w:bCs/>
                <w:sz w:val="20"/>
              </w:rPr>
            </w:pPr>
          </w:p>
          <w:p w:rsidR="00276F6B" w:rsidRPr="000C3BAA" w:rsidRDefault="00276F6B" w:rsidP="000C3BAA">
            <w:pPr>
              <w:pStyle w:val="Title"/>
              <w:numPr>
                <w:ilvl w:val="0"/>
                <w:numId w:val="14"/>
              </w:numPr>
              <w:tabs>
                <w:tab w:val="clear" w:pos="800"/>
              </w:tabs>
              <w:ind w:left="360"/>
              <w:jc w:val="left"/>
              <w:rPr>
                <w:rFonts w:ascii="Arial" w:hAnsi="Arial" w:cs="Arial"/>
                <w:sz w:val="20"/>
              </w:rPr>
            </w:pPr>
            <w:r w:rsidRPr="000C3BAA">
              <w:rPr>
                <w:rFonts w:ascii="Arial" w:hAnsi="Arial" w:cs="Arial"/>
                <w:sz w:val="20"/>
              </w:rPr>
              <w:t>The number and distribution of all faculty, technicians, and technologists associated with the program including full-time, part-time, sessional, and cross-appointments</w:t>
            </w:r>
          </w:p>
          <w:p w:rsidR="00276F6B" w:rsidRPr="000C3BAA" w:rsidRDefault="00276F6B" w:rsidP="000C3BAA">
            <w:pPr>
              <w:pStyle w:val="Title"/>
              <w:numPr>
                <w:ilvl w:val="0"/>
                <w:numId w:val="14"/>
              </w:numPr>
              <w:tabs>
                <w:tab w:val="clear" w:pos="800"/>
                <w:tab w:val="num" w:pos="360"/>
              </w:tabs>
              <w:ind w:left="360"/>
              <w:jc w:val="left"/>
              <w:rPr>
                <w:rFonts w:ascii="Arial" w:hAnsi="Arial" w:cs="Arial"/>
                <w:sz w:val="20"/>
              </w:rPr>
            </w:pPr>
            <w:r w:rsidRPr="000C3BAA">
              <w:rPr>
                <w:rFonts w:ascii="Arial" w:hAnsi="Arial" w:cs="Arial"/>
                <w:sz w:val="20"/>
              </w:rPr>
              <w:t xml:space="preserve">Profile of the Dean, faculty, and staff associated with the program </w:t>
            </w:r>
            <w:r w:rsidRPr="000C3BAA">
              <w:rPr>
                <w:rFonts w:ascii="Arial" w:hAnsi="Arial" w:cs="Arial"/>
                <w:sz w:val="20"/>
              </w:rPr>
              <w:lastRenderedPageBreak/>
              <w:t xml:space="preserve">including cumulative credentials, scholarship, work-related and teaching experience, and expertise in education </w:t>
            </w:r>
          </w:p>
          <w:p w:rsidR="00276F6B" w:rsidRPr="000C3BAA" w:rsidRDefault="00276F6B" w:rsidP="000C3BAA">
            <w:pPr>
              <w:pStyle w:val="Title"/>
              <w:numPr>
                <w:ilvl w:val="0"/>
                <w:numId w:val="14"/>
              </w:numPr>
              <w:tabs>
                <w:tab w:val="clear" w:pos="800"/>
                <w:tab w:val="num" w:pos="360"/>
              </w:tabs>
              <w:ind w:left="360"/>
              <w:jc w:val="left"/>
              <w:rPr>
                <w:rFonts w:ascii="Arial" w:hAnsi="Arial" w:cs="Arial"/>
                <w:sz w:val="20"/>
              </w:rPr>
            </w:pPr>
            <w:r w:rsidRPr="000C3BAA">
              <w:rPr>
                <w:rFonts w:ascii="Arial" w:hAnsi="Arial" w:cs="Arial"/>
                <w:sz w:val="20"/>
              </w:rPr>
              <w:t>Significant faculty or staff accomplishments such as professional recognition and awards, achievement of credentials, and appointments</w:t>
            </w:r>
          </w:p>
          <w:p w:rsidR="00276F6B" w:rsidRPr="000C3BAA" w:rsidRDefault="00276F6B" w:rsidP="000C3BAA">
            <w:pPr>
              <w:pStyle w:val="Title"/>
              <w:numPr>
                <w:ilvl w:val="0"/>
                <w:numId w:val="14"/>
              </w:numPr>
              <w:tabs>
                <w:tab w:val="clear" w:pos="800"/>
                <w:tab w:val="num" w:pos="360"/>
              </w:tabs>
              <w:ind w:left="360"/>
              <w:jc w:val="left"/>
              <w:rPr>
                <w:rFonts w:ascii="Arial" w:hAnsi="Arial" w:cs="Arial"/>
                <w:sz w:val="20"/>
              </w:rPr>
            </w:pPr>
            <w:r w:rsidRPr="000C3BAA">
              <w:rPr>
                <w:rFonts w:ascii="Arial" w:hAnsi="Arial" w:cs="Arial"/>
                <w:sz w:val="20"/>
              </w:rPr>
              <w:t>Contributions to the professional community or industry by program-associated faculty and staff including board / committee service, research, and presentations / publications</w:t>
            </w:r>
          </w:p>
          <w:p w:rsidR="00276F6B" w:rsidRPr="000C3BAA" w:rsidRDefault="00276F6B" w:rsidP="000C3BAA">
            <w:pPr>
              <w:pStyle w:val="Title"/>
              <w:numPr>
                <w:ilvl w:val="0"/>
                <w:numId w:val="14"/>
              </w:numPr>
              <w:tabs>
                <w:tab w:val="clear" w:pos="800"/>
                <w:tab w:val="num" w:pos="360"/>
              </w:tabs>
              <w:ind w:left="360"/>
              <w:jc w:val="left"/>
              <w:rPr>
                <w:rFonts w:ascii="Arial" w:hAnsi="Arial" w:cs="Arial"/>
                <w:sz w:val="20"/>
              </w:rPr>
            </w:pPr>
            <w:r w:rsidRPr="000C3BAA">
              <w:rPr>
                <w:rFonts w:ascii="Arial" w:hAnsi="Arial" w:cs="Arial"/>
                <w:sz w:val="20"/>
              </w:rPr>
              <w:t xml:space="preserve">Current staffing levels for the program in relation to program </w:t>
            </w:r>
          </w:p>
          <w:p w:rsidR="00276F6B" w:rsidRPr="000C3BAA" w:rsidRDefault="00276F6B" w:rsidP="000C3BAA">
            <w:pPr>
              <w:pStyle w:val="Title"/>
              <w:jc w:val="left"/>
              <w:rPr>
                <w:rFonts w:ascii="Arial" w:hAnsi="Arial" w:cs="Arial"/>
                <w:sz w:val="20"/>
              </w:rPr>
            </w:pPr>
          </w:p>
          <w:p w:rsidR="00276F6B" w:rsidRPr="000C3BAA" w:rsidRDefault="00276F6B" w:rsidP="000C3BAA">
            <w:pPr>
              <w:pStyle w:val="Title"/>
              <w:ind w:left="357" w:hanging="73"/>
              <w:jc w:val="left"/>
              <w:rPr>
                <w:rFonts w:ascii="Arial" w:hAnsi="Arial" w:cs="Arial"/>
                <w:sz w:val="20"/>
              </w:rPr>
            </w:pPr>
            <w:r w:rsidRPr="000C3BAA">
              <w:rPr>
                <w:rFonts w:ascii="Arial" w:hAnsi="Arial" w:cs="Arial"/>
                <w:sz w:val="20"/>
              </w:rPr>
              <w:t xml:space="preserve"> numbers, curriculum, delivery modes and areas of specialization / generalization</w:t>
            </w:r>
          </w:p>
          <w:p w:rsidR="00276F6B" w:rsidRPr="000C3BAA" w:rsidRDefault="00276F6B" w:rsidP="000C3BAA">
            <w:pPr>
              <w:pStyle w:val="Title"/>
              <w:numPr>
                <w:ilvl w:val="0"/>
                <w:numId w:val="14"/>
              </w:numPr>
              <w:tabs>
                <w:tab w:val="clear" w:pos="800"/>
                <w:tab w:val="num" w:pos="360"/>
              </w:tabs>
              <w:ind w:left="360"/>
              <w:jc w:val="left"/>
              <w:rPr>
                <w:rFonts w:ascii="Arial" w:hAnsi="Arial" w:cs="Arial"/>
                <w:sz w:val="20"/>
              </w:rPr>
            </w:pPr>
            <w:r w:rsidRPr="000C3BAA">
              <w:rPr>
                <w:rFonts w:ascii="Arial" w:hAnsi="Arial" w:cs="Arial"/>
                <w:sz w:val="20"/>
              </w:rPr>
              <w:t>Hiring priorities over the next few years based on the above</w:t>
            </w:r>
          </w:p>
          <w:p w:rsidR="00276F6B" w:rsidRPr="000C3BAA" w:rsidRDefault="00276F6B" w:rsidP="000C3BAA">
            <w:pPr>
              <w:pStyle w:val="Title"/>
              <w:numPr>
                <w:ilvl w:val="0"/>
                <w:numId w:val="14"/>
              </w:numPr>
              <w:tabs>
                <w:tab w:val="clear" w:pos="800"/>
                <w:tab w:val="num" w:pos="360"/>
              </w:tabs>
              <w:ind w:left="360"/>
              <w:jc w:val="left"/>
              <w:rPr>
                <w:rFonts w:ascii="Arial" w:hAnsi="Arial" w:cs="Arial"/>
                <w:b/>
                <w:sz w:val="20"/>
              </w:rPr>
            </w:pPr>
            <w:r w:rsidRPr="000C3BAA">
              <w:rPr>
                <w:rFonts w:ascii="Arial" w:hAnsi="Arial" w:cs="Arial"/>
                <w:sz w:val="20"/>
              </w:rPr>
              <w:t xml:space="preserve">Current professional development and renewal plans in relation to program or student needs </w:t>
            </w:r>
          </w:p>
          <w:p w:rsidR="00276F6B" w:rsidRPr="000C3BAA" w:rsidRDefault="00276F6B" w:rsidP="000C3BAA">
            <w:pPr>
              <w:tabs>
                <w:tab w:val="left" w:pos="0"/>
              </w:tabs>
              <w:ind w:left="360" w:hanging="360"/>
              <w:rPr>
                <w:rFonts w:cs="Arial"/>
                <w:b/>
                <w:sz w:val="20"/>
              </w:rPr>
            </w:pPr>
          </w:p>
        </w:tc>
        <w:tc>
          <w:tcPr>
            <w:tcW w:w="6534" w:type="dxa"/>
            <w:shd w:val="clear" w:color="auto" w:fill="auto"/>
            <w:tcMar>
              <w:top w:w="113" w:type="dxa"/>
              <w:bottom w:w="113" w:type="dxa"/>
            </w:tcMar>
          </w:tcPr>
          <w:p w:rsidR="00D263AD" w:rsidRDefault="00D263AD" w:rsidP="00D263AD">
            <w:pPr>
              <w:rPr>
                <w:rFonts w:cs="Arial"/>
                <w:sz w:val="20"/>
              </w:rPr>
            </w:pPr>
            <w:r w:rsidRPr="0071766C">
              <w:rPr>
                <w:rFonts w:cs="Arial"/>
                <w:sz w:val="20"/>
              </w:rPr>
              <w:lastRenderedPageBreak/>
              <w:t xml:space="preserve">The University Transfer faculty consist of </w:t>
            </w:r>
            <w:r w:rsidR="00884128">
              <w:rPr>
                <w:rFonts w:cs="Arial"/>
                <w:sz w:val="20"/>
              </w:rPr>
              <w:t xml:space="preserve">6 </w:t>
            </w:r>
            <w:r w:rsidR="008D76B2" w:rsidRPr="0071766C">
              <w:rPr>
                <w:rFonts w:cs="Arial"/>
                <w:sz w:val="20"/>
              </w:rPr>
              <w:t>f</w:t>
            </w:r>
            <w:r w:rsidRPr="0071766C">
              <w:rPr>
                <w:rFonts w:cs="Arial"/>
                <w:sz w:val="20"/>
              </w:rPr>
              <w:t>ull-time faculty</w:t>
            </w:r>
            <w:r w:rsidR="00884128">
              <w:rPr>
                <w:rFonts w:cs="Arial"/>
                <w:sz w:val="20"/>
              </w:rPr>
              <w:t xml:space="preserve">.  </w:t>
            </w:r>
            <w:r w:rsidR="0071766C">
              <w:rPr>
                <w:rFonts w:cs="Arial"/>
                <w:sz w:val="20"/>
              </w:rPr>
              <w:t xml:space="preserve">.  </w:t>
            </w:r>
          </w:p>
          <w:p w:rsidR="0071766C" w:rsidRPr="0030400B" w:rsidRDefault="0071766C" w:rsidP="00D263AD">
            <w:pPr>
              <w:rPr>
                <w:rFonts w:cs="Arial"/>
                <w:b/>
                <w:color w:val="FF0000"/>
                <w:sz w:val="20"/>
              </w:rPr>
            </w:pPr>
          </w:p>
          <w:p w:rsidR="00D263AD" w:rsidRPr="0071766C" w:rsidRDefault="00D263AD" w:rsidP="00D263AD">
            <w:pPr>
              <w:rPr>
                <w:rFonts w:cs="Arial"/>
                <w:sz w:val="20"/>
              </w:rPr>
            </w:pPr>
            <w:r w:rsidRPr="0071766C">
              <w:rPr>
                <w:rFonts w:cs="Arial"/>
                <w:sz w:val="20"/>
              </w:rPr>
              <w:t>Currently, there are no sessional or cross-appointed faculty in the program.</w:t>
            </w:r>
            <w:r w:rsidR="0071766C">
              <w:rPr>
                <w:rFonts w:cs="Arial"/>
                <w:sz w:val="20"/>
              </w:rPr>
              <w:t xml:space="preserve">  </w:t>
            </w:r>
            <w:r w:rsidRPr="0071766C">
              <w:rPr>
                <w:rFonts w:cs="Arial"/>
                <w:sz w:val="20"/>
              </w:rPr>
              <w:t>All faculty in the UT program me</w:t>
            </w:r>
            <w:r w:rsidR="00884128">
              <w:rPr>
                <w:rFonts w:cs="Arial"/>
                <w:sz w:val="20"/>
              </w:rPr>
              <w:t>e</w:t>
            </w:r>
            <w:r w:rsidRPr="0071766C">
              <w:rPr>
                <w:rFonts w:cs="Arial"/>
                <w:sz w:val="20"/>
              </w:rPr>
              <w:t>t the requirements for teaching at a university and have university teaching experience</w:t>
            </w:r>
            <w:r w:rsidR="00884128" w:rsidRPr="0071766C">
              <w:rPr>
                <w:rFonts w:cs="Arial"/>
                <w:sz w:val="20"/>
              </w:rPr>
              <w:t xml:space="preserve"> (within the last </w:t>
            </w:r>
            <w:r w:rsidR="0036491C">
              <w:rPr>
                <w:rFonts w:cs="Arial"/>
                <w:sz w:val="20"/>
              </w:rPr>
              <w:t xml:space="preserve">10 </w:t>
            </w:r>
            <w:r w:rsidR="00884128" w:rsidRPr="0071766C">
              <w:rPr>
                <w:rFonts w:cs="Arial"/>
                <w:sz w:val="20"/>
              </w:rPr>
              <w:t>years)</w:t>
            </w:r>
            <w:r w:rsidR="00884128">
              <w:rPr>
                <w:rFonts w:cs="Arial"/>
                <w:sz w:val="20"/>
              </w:rPr>
              <w:t xml:space="preserve">. </w:t>
            </w:r>
          </w:p>
          <w:p w:rsidR="00D263AD" w:rsidRPr="0071766C" w:rsidRDefault="00D263AD" w:rsidP="00D263AD">
            <w:pPr>
              <w:rPr>
                <w:rFonts w:cs="Arial"/>
                <w:sz w:val="20"/>
              </w:rPr>
            </w:pPr>
          </w:p>
          <w:p w:rsidR="00D263AD" w:rsidRPr="0071766C" w:rsidRDefault="0036491C" w:rsidP="00D263AD">
            <w:pPr>
              <w:rPr>
                <w:rFonts w:cs="Arial"/>
                <w:sz w:val="20"/>
              </w:rPr>
            </w:pPr>
            <w:r>
              <w:rPr>
                <w:rFonts w:cs="Arial"/>
                <w:sz w:val="20"/>
              </w:rPr>
              <w:t xml:space="preserve">Previous </w:t>
            </w:r>
            <w:r w:rsidR="00D263AD" w:rsidRPr="0071766C">
              <w:rPr>
                <w:rFonts w:cs="Arial"/>
                <w:sz w:val="20"/>
              </w:rPr>
              <w:t>part-time faculty</w:t>
            </w:r>
            <w:r>
              <w:rPr>
                <w:rFonts w:cs="Arial"/>
                <w:sz w:val="20"/>
              </w:rPr>
              <w:t xml:space="preserve"> have taught </w:t>
            </w:r>
            <w:r w:rsidR="00D263AD" w:rsidRPr="0071766C">
              <w:rPr>
                <w:rFonts w:cs="Arial"/>
                <w:sz w:val="20"/>
              </w:rPr>
              <w:t xml:space="preserve">at both Trent and at Fleming </w:t>
            </w:r>
            <w:r w:rsidR="00D263AD" w:rsidRPr="0071766C">
              <w:rPr>
                <w:rFonts w:cs="Arial"/>
                <w:sz w:val="20"/>
              </w:rPr>
              <w:lastRenderedPageBreak/>
              <w:t xml:space="preserve">during </w:t>
            </w:r>
            <w:r>
              <w:rPr>
                <w:rFonts w:cs="Arial"/>
                <w:sz w:val="20"/>
              </w:rPr>
              <w:t xml:space="preserve">the </w:t>
            </w:r>
            <w:r w:rsidR="00D263AD" w:rsidRPr="0071766C">
              <w:rPr>
                <w:rFonts w:cs="Arial"/>
                <w:sz w:val="20"/>
              </w:rPr>
              <w:t>fall</w:t>
            </w:r>
            <w:r>
              <w:rPr>
                <w:rFonts w:cs="Arial"/>
                <w:sz w:val="20"/>
              </w:rPr>
              <w:t xml:space="preserve"> and </w:t>
            </w:r>
            <w:r w:rsidR="00D263AD" w:rsidRPr="0071766C">
              <w:rPr>
                <w:rFonts w:cs="Arial"/>
                <w:sz w:val="20"/>
              </w:rPr>
              <w:t>winter semesters.</w:t>
            </w:r>
          </w:p>
          <w:p w:rsidR="00D263AD" w:rsidRPr="0071766C" w:rsidRDefault="00D263AD" w:rsidP="00D263AD">
            <w:pPr>
              <w:rPr>
                <w:rFonts w:cs="Arial"/>
                <w:sz w:val="24"/>
                <w:szCs w:val="24"/>
              </w:rPr>
            </w:pPr>
          </w:p>
          <w:p w:rsidR="00D263AD" w:rsidRPr="0071766C" w:rsidRDefault="00D263AD" w:rsidP="00D263AD">
            <w:pPr>
              <w:rPr>
                <w:rFonts w:cs="Arial"/>
                <w:sz w:val="20"/>
              </w:rPr>
            </w:pPr>
            <w:r w:rsidRPr="0071766C">
              <w:rPr>
                <w:rFonts w:cs="Arial"/>
                <w:sz w:val="20"/>
              </w:rPr>
              <w:t>A number of UT faculty have recently received distinctions/awards:</w:t>
            </w:r>
          </w:p>
          <w:p w:rsidR="00D263AD" w:rsidRPr="0071766C" w:rsidRDefault="00D263AD" w:rsidP="00D263AD">
            <w:pPr>
              <w:numPr>
                <w:ilvl w:val="0"/>
                <w:numId w:val="25"/>
              </w:numPr>
              <w:rPr>
                <w:rFonts w:cs="Arial"/>
                <w:sz w:val="20"/>
              </w:rPr>
            </w:pPr>
            <w:r w:rsidRPr="0071766C">
              <w:rPr>
                <w:rFonts w:cs="Arial"/>
                <w:sz w:val="20"/>
              </w:rPr>
              <w:t xml:space="preserve">Barbara Bond </w:t>
            </w:r>
            <w:r w:rsidR="0071766C" w:rsidRPr="0071766C">
              <w:rPr>
                <w:rFonts w:cs="Arial"/>
                <w:sz w:val="20"/>
              </w:rPr>
              <w:t>won the</w:t>
            </w:r>
            <w:r w:rsidRPr="0071766C">
              <w:rPr>
                <w:rFonts w:cs="Arial"/>
                <w:sz w:val="20"/>
              </w:rPr>
              <w:t xml:space="preserve"> Pascal Award for Teaching  in 2010.  This award is given to a </w:t>
            </w:r>
            <w:r w:rsidR="0036491C">
              <w:rPr>
                <w:rFonts w:cs="Arial"/>
                <w:sz w:val="20"/>
              </w:rPr>
              <w:t xml:space="preserve">full-time </w:t>
            </w:r>
            <w:r w:rsidRPr="0071766C">
              <w:rPr>
                <w:rFonts w:cs="Arial"/>
                <w:sz w:val="20"/>
              </w:rPr>
              <w:t>faculty member within the college who has demonstrated teaching excellence.  Barb was nominated by current Trent university students and former UT students.</w:t>
            </w:r>
          </w:p>
          <w:p w:rsidR="00D263AD" w:rsidRPr="0071766C" w:rsidRDefault="00D263AD" w:rsidP="00D263AD">
            <w:pPr>
              <w:numPr>
                <w:ilvl w:val="0"/>
                <w:numId w:val="25"/>
              </w:numPr>
              <w:rPr>
                <w:rFonts w:cs="Arial"/>
                <w:sz w:val="20"/>
              </w:rPr>
            </w:pPr>
            <w:r w:rsidRPr="0071766C">
              <w:rPr>
                <w:rFonts w:cs="Arial"/>
                <w:sz w:val="20"/>
              </w:rPr>
              <w:t>Helen Bajorek-MacDonald was a finalist in the CBC Best Lecturer series.</w:t>
            </w:r>
          </w:p>
          <w:p w:rsidR="0071766C" w:rsidRPr="0071766C" w:rsidRDefault="00D263AD" w:rsidP="00D263AD">
            <w:pPr>
              <w:numPr>
                <w:ilvl w:val="0"/>
                <w:numId w:val="25"/>
              </w:numPr>
              <w:rPr>
                <w:rFonts w:cs="Arial"/>
                <w:sz w:val="20"/>
              </w:rPr>
            </w:pPr>
            <w:r w:rsidRPr="0071766C">
              <w:rPr>
                <w:rFonts w:cs="Arial"/>
                <w:sz w:val="20"/>
              </w:rPr>
              <w:t xml:space="preserve">Peter Lapp has just finished a 1-year secondment as </w:t>
            </w:r>
            <w:r w:rsidR="00AA3321" w:rsidRPr="0071766C">
              <w:rPr>
                <w:rFonts w:cs="Arial"/>
                <w:sz w:val="20"/>
              </w:rPr>
              <w:t>Acting Principal, Trent in Oshawa</w:t>
            </w:r>
            <w:r w:rsidRPr="0071766C">
              <w:rPr>
                <w:rFonts w:cs="Arial"/>
                <w:sz w:val="20"/>
              </w:rPr>
              <w:t>.</w:t>
            </w:r>
          </w:p>
          <w:p w:rsidR="00D263AD" w:rsidRPr="0071766C" w:rsidRDefault="00150B00" w:rsidP="00D263AD">
            <w:pPr>
              <w:numPr>
                <w:ilvl w:val="0"/>
                <w:numId w:val="25"/>
              </w:numPr>
              <w:rPr>
                <w:rFonts w:cs="Arial"/>
                <w:sz w:val="20"/>
              </w:rPr>
            </w:pPr>
            <w:r w:rsidRPr="0071766C">
              <w:rPr>
                <w:rFonts w:cs="Arial"/>
                <w:sz w:val="20"/>
              </w:rPr>
              <w:t>P</w:t>
            </w:r>
            <w:r w:rsidR="00443209" w:rsidRPr="0071766C">
              <w:rPr>
                <w:rFonts w:cs="Arial"/>
                <w:sz w:val="20"/>
              </w:rPr>
              <w:t xml:space="preserve">eter </w:t>
            </w:r>
            <w:r w:rsidRPr="0071766C">
              <w:rPr>
                <w:rFonts w:cs="Arial"/>
                <w:sz w:val="20"/>
              </w:rPr>
              <w:t>Lapp</w:t>
            </w:r>
            <w:r w:rsidR="00443209" w:rsidRPr="0071766C">
              <w:rPr>
                <w:rFonts w:cs="Arial"/>
                <w:sz w:val="20"/>
              </w:rPr>
              <w:t xml:space="preserve"> and </w:t>
            </w:r>
            <w:r w:rsidRPr="0071766C">
              <w:rPr>
                <w:rFonts w:cs="Arial"/>
                <w:sz w:val="20"/>
              </w:rPr>
              <w:t xml:space="preserve">Christopher </w:t>
            </w:r>
            <w:r w:rsidR="00443209" w:rsidRPr="0071766C">
              <w:rPr>
                <w:rFonts w:cs="Arial"/>
                <w:sz w:val="20"/>
              </w:rPr>
              <w:t xml:space="preserve">Shields </w:t>
            </w:r>
            <w:r w:rsidR="00AA3321" w:rsidRPr="0071766C">
              <w:rPr>
                <w:sz w:val="20"/>
              </w:rPr>
              <w:t>participated in CUCC Change Fund Project on Arts and Science University Transfer</w:t>
            </w:r>
          </w:p>
          <w:p w:rsidR="00D263AD" w:rsidRPr="0071766C" w:rsidRDefault="00D263AD" w:rsidP="0071766C">
            <w:pPr>
              <w:jc w:val="both"/>
              <w:rPr>
                <w:rFonts w:cs="Arial"/>
                <w:sz w:val="20"/>
              </w:rPr>
            </w:pPr>
          </w:p>
          <w:p w:rsidR="00D263AD" w:rsidRPr="0071766C" w:rsidRDefault="00D263AD" w:rsidP="0071766C">
            <w:pPr>
              <w:jc w:val="both"/>
              <w:rPr>
                <w:rFonts w:cs="Arial"/>
                <w:sz w:val="20"/>
              </w:rPr>
            </w:pPr>
            <w:r w:rsidRPr="0071766C">
              <w:rPr>
                <w:rFonts w:cs="Arial"/>
                <w:sz w:val="20"/>
              </w:rPr>
              <w:t xml:space="preserve">In an effort to produce consistency in </w:t>
            </w:r>
            <w:r w:rsidR="0036491C">
              <w:rPr>
                <w:rFonts w:cs="Arial"/>
                <w:sz w:val="20"/>
              </w:rPr>
              <w:t xml:space="preserve">the </w:t>
            </w:r>
            <w:r w:rsidRPr="0071766C">
              <w:rPr>
                <w:rFonts w:cs="Arial"/>
                <w:sz w:val="20"/>
              </w:rPr>
              <w:t xml:space="preserve">program for </w:t>
            </w:r>
            <w:r w:rsidR="0036491C">
              <w:rPr>
                <w:rFonts w:cs="Arial"/>
                <w:sz w:val="20"/>
              </w:rPr>
              <w:t xml:space="preserve">the </w:t>
            </w:r>
            <w:r w:rsidRPr="0071766C">
              <w:rPr>
                <w:rFonts w:cs="Arial"/>
                <w:sz w:val="20"/>
              </w:rPr>
              <w:t xml:space="preserve">students and </w:t>
            </w:r>
            <w:r w:rsidR="0036491C">
              <w:rPr>
                <w:rFonts w:cs="Arial"/>
                <w:sz w:val="20"/>
              </w:rPr>
              <w:t>t</w:t>
            </w:r>
            <w:r w:rsidRPr="0071766C">
              <w:rPr>
                <w:rFonts w:cs="Arial"/>
                <w:sz w:val="20"/>
              </w:rPr>
              <w:t xml:space="preserve">he curriculum, </w:t>
            </w:r>
            <w:r w:rsidR="0036491C">
              <w:rPr>
                <w:rFonts w:cs="Arial"/>
                <w:sz w:val="20"/>
              </w:rPr>
              <w:t xml:space="preserve">there is an effort </w:t>
            </w:r>
            <w:r w:rsidRPr="0071766C">
              <w:rPr>
                <w:rFonts w:cs="Arial"/>
                <w:sz w:val="20"/>
              </w:rPr>
              <w:t xml:space="preserve">to staff the program with </w:t>
            </w:r>
            <w:r w:rsidR="0036491C">
              <w:rPr>
                <w:rFonts w:cs="Arial"/>
                <w:sz w:val="20"/>
              </w:rPr>
              <w:t>full-time</w:t>
            </w:r>
            <w:r w:rsidRPr="0071766C">
              <w:rPr>
                <w:rFonts w:cs="Arial"/>
                <w:sz w:val="20"/>
              </w:rPr>
              <w:t xml:space="preserve"> faculty.  The </w:t>
            </w:r>
            <w:r w:rsidR="0036491C">
              <w:rPr>
                <w:rFonts w:cs="Arial"/>
                <w:sz w:val="20"/>
              </w:rPr>
              <w:t xml:space="preserve">full-time </w:t>
            </w:r>
            <w:r w:rsidRPr="0071766C">
              <w:rPr>
                <w:rFonts w:cs="Arial"/>
                <w:sz w:val="20"/>
              </w:rPr>
              <w:t>compl</w:t>
            </w:r>
            <w:r w:rsidR="0036491C">
              <w:rPr>
                <w:rFonts w:cs="Arial"/>
                <w:sz w:val="20"/>
              </w:rPr>
              <w:t>e</w:t>
            </w:r>
            <w:r w:rsidRPr="0071766C">
              <w:rPr>
                <w:rFonts w:cs="Arial"/>
                <w:sz w:val="20"/>
              </w:rPr>
              <w:t>ment ha</w:t>
            </w:r>
            <w:r w:rsidR="0024530C">
              <w:rPr>
                <w:rFonts w:cs="Arial"/>
                <w:sz w:val="20"/>
              </w:rPr>
              <w:t>ve</w:t>
            </w:r>
            <w:r w:rsidRPr="0071766C">
              <w:rPr>
                <w:rFonts w:cs="Arial"/>
                <w:sz w:val="20"/>
              </w:rPr>
              <w:t xml:space="preserve"> taught in the program since 200</w:t>
            </w:r>
            <w:r w:rsidR="0036491C">
              <w:rPr>
                <w:rFonts w:cs="Arial"/>
                <w:sz w:val="20"/>
              </w:rPr>
              <w:t>4</w:t>
            </w:r>
            <w:r w:rsidRPr="0071766C">
              <w:rPr>
                <w:rFonts w:cs="Arial"/>
                <w:sz w:val="20"/>
              </w:rPr>
              <w:t xml:space="preserve"> and have established an effective and highly cohesive teaching team.  They m</w:t>
            </w:r>
            <w:r w:rsidR="0036491C">
              <w:rPr>
                <w:rFonts w:cs="Arial"/>
                <w:sz w:val="20"/>
              </w:rPr>
              <w:t>e</w:t>
            </w:r>
            <w:r w:rsidRPr="0071766C">
              <w:rPr>
                <w:rFonts w:cs="Arial"/>
                <w:sz w:val="20"/>
              </w:rPr>
              <w:t xml:space="preserve">et regularly to discuss student issues/challenges and work collaboratively on curriculum.  Given the projected intake of students in </w:t>
            </w:r>
            <w:r w:rsidR="0036491C">
              <w:rPr>
                <w:rFonts w:cs="Arial"/>
                <w:sz w:val="20"/>
              </w:rPr>
              <w:t xml:space="preserve">the </w:t>
            </w:r>
            <w:r w:rsidRPr="0071766C">
              <w:rPr>
                <w:rFonts w:cs="Arial"/>
                <w:sz w:val="20"/>
              </w:rPr>
              <w:t xml:space="preserve">fall/winter semesters, it is not anticipated that other faculty would be required to teach in the program.  </w:t>
            </w:r>
            <w:r w:rsidR="0024530C">
              <w:rPr>
                <w:rFonts w:cs="Arial"/>
                <w:sz w:val="20"/>
              </w:rPr>
              <w:t xml:space="preserve">The full-time faculty are </w:t>
            </w:r>
            <w:r w:rsidRPr="0071766C">
              <w:rPr>
                <w:rFonts w:cs="Arial"/>
                <w:sz w:val="20"/>
              </w:rPr>
              <w:t xml:space="preserve">strategically and </w:t>
            </w:r>
            <w:r w:rsidR="0024530C">
              <w:rPr>
                <w:rFonts w:cs="Arial"/>
                <w:sz w:val="20"/>
              </w:rPr>
              <w:t xml:space="preserve">deliberately </w:t>
            </w:r>
            <w:r w:rsidR="00872709" w:rsidRPr="0071766C">
              <w:rPr>
                <w:rFonts w:cs="Arial"/>
                <w:sz w:val="20"/>
              </w:rPr>
              <w:t>assign</w:t>
            </w:r>
            <w:r w:rsidR="00872709">
              <w:rPr>
                <w:rFonts w:cs="Arial"/>
                <w:sz w:val="20"/>
              </w:rPr>
              <w:t xml:space="preserve">ed </w:t>
            </w:r>
            <w:r w:rsidR="00872709" w:rsidRPr="0071766C">
              <w:rPr>
                <w:rFonts w:cs="Arial"/>
                <w:sz w:val="20"/>
              </w:rPr>
              <w:t>to</w:t>
            </w:r>
            <w:r w:rsidRPr="0071766C">
              <w:rPr>
                <w:rFonts w:cs="Arial"/>
                <w:sz w:val="20"/>
              </w:rPr>
              <w:t xml:space="preserve"> teach multiple sections of students within their areas of expertise/specialization.  This is an important and significant contributor to the program’s success.</w:t>
            </w:r>
          </w:p>
          <w:p w:rsidR="00D263AD" w:rsidRPr="0071766C" w:rsidRDefault="00D263AD" w:rsidP="0071766C">
            <w:pPr>
              <w:jc w:val="both"/>
              <w:rPr>
                <w:rFonts w:cs="Arial"/>
                <w:sz w:val="24"/>
                <w:szCs w:val="24"/>
              </w:rPr>
            </w:pPr>
          </w:p>
          <w:p w:rsidR="00D263AD" w:rsidRDefault="00D263AD" w:rsidP="0071766C">
            <w:pPr>
              <w:jc w:val="both"/>
              <w:rPr>
                <w:rFonts w:cs="Arial"/>
                <w:sz w:val="20"/>
              </w:rPr>
            </w:pPr>
            <w:r w:rsidRPr="0071766C">
              <w:rPr>
                <w:rFonts w:cs="Arial"/>
                <w:sz w:val="20"/>
              </w:rPr>
              <w:t xml:space="preserve">Currently, </w:t>
            </w:r>
            <w:r w:rsidR="00872709">
              <w:rPr>
                <w:rFonts w:cs="Arial"/>
                <w:sz w:val="20"/>
              </w:rPr>
              <w:t xml:space="preserve">there is a </w:t>
            </w:r>
            <w:r w:rsidRPr="0071766C">
              <w:rPr>
                <w:rFonts w:cs="Arial"/>
                <w:sz w:val="20"/>
              </w:rPr>
              <w:t>large pool of candidates who meet the requirements to teach in the University Transfer program should it grow beyond the 2 or 3 sections (n = 105) offer</w:t>
            </w:r>
            <w:r w:rsidR="00872709">
              <w:rPr>
                <w:rFonts w:cs="Arial"/>
                <w:sz w:val="20"/>
              </w:rPr>
              <w:t>ed</w:t>
            </w:r>
            <w:r w:rsidRPr="0071766C">
              <w:rPr>
                <w:rFonts w:cs="Arial"/>
                <w:sz w:val="20"/>
              </w:rPr>
              <w:t xml:space="preserve"> in a semester.</w:t>
            </w:r>
            <w:r w:rsidR="0071766C">
              <w:rPr>
                <w:rFonts w:cs="Arial"/>
                <w:sz w:val="20"/>
              </w:rPr>
              <w:t xml:space="preserve">  </w:t>
            </w:r>
            <w:r w:rsidRPr="0071766C">
              <w:rPr>
                <w:rFonts w:cs="Arial"/>
                <w:sz w:val="20"/>
              </w:rPr>
              <w:t xml:space="preserve">Should </w:t>
            </w:r>
            <w:r w:rsidR="00872709">
              <w:rPr>
                <w:rFonts w:cs="Arial"/>
                <w:sz w:val="20"/>
              </w:rPr>
              <w:t xml:space="preserve">the program </w:t>
            </w:r>
            <w:r w:rsidRPr="0071766C">
              <w:rPr>
                <w:rFonts w:cs="Arial"/>
                <w:sz w:val="20"/>
              </w:rPr>
              <w:t xml:space="preserve">expand to include </w:t>
            </w:r>
            <w:r w:rsidR="00A56794">
              <w:rPr>
                <w:rFonts w:cs="Arial"/>
                <w:sz w:val="20"/>
              </w:rPr>
              <w:t xml:space="preserve">a combined </w:t>
            </w:r>
            <w:r w:rsidR="00DF778B">
              <w:rPr>
                <w:rFonts w:cs="Arial"/>
                <w:sz w:val="20"/>
              </w:rPr>
              <w:t>A</w:t>
            </w:r>
            <w:r w:rsidR="00A56794">
              <w:rPr>
                <w:rFonts w:cs="Arial"/>
                <w:sz w:val="20"/>
              </w:rPr>
              <w:t>rts</w:t>
            </w:r>
            <w:r w:rsidR="00872709">
              <w:rPr>
                <w:rFonts w:cs="Arial"/>
                <w:sz w:val="20"/>
              </w:rPr>
              <w:t xml:space="preserve"> and </w:t>
            </w:r>
            <w:r w:rsidR="00DF778B">
              <w:rPr>
                <w:rFonts w:cs="Arial"/>
                <w:sz w:val="20"/>
              </w:rPr>
              <w:t>S</w:t>
            </w:r>
            <w:r w:rsidR="00872709">
              <w:rPr>
                <w:rFonts w:cs="Arial"/>
                <w:sz w:val="20"/>
              </w:rPr>
              <w:t>cience stream and/or a Math/</w:t>
            </w:r>
            <w:r w:rsidRPr="0071766C">
              <w:rPr>
                <w:rFonts w:cs="Arial"/>
                <w:sz w:val="20"/>
              </w:rPr>
              <w:t xml:space="preserve">Science </w:t>
            </w:r>
            <w:r w:rsidR="00872709">
              <w:rPr>
                <w:rFonts w:cs="Arial"/>
                <w:sz w:val="20"/>
              </w:rPr>
              <w:t xml:space="preserve">stream, there are several </w:t>
            </w:r>
            <w:r w:rsidR="00FC0F19">
              <w:rPr>
                <w:rFonts w:cs="Arial"/>
                <w:sz w:val="20"/>
              </w:rPr>
              <w:t xml:space="preserve">full-time </w:t>
            </w:r>
            <w:r w:rsidRPr="0071766C">
              <w:rPr>
                <w:rFonts w:cs="Arial"/>
                <w:sz w:val="20"/>
              </w:rPr>
              <w:t xml:space="preserve">faculty </w:t>
            </w:r>
            <w:r w:rsidR="00872709">
              <w:rPr>
                <w:rFonts w:cs="Arial"/>
                <w:sz w:val="20"/>
              </w:rPr>
              <w:t xml:space="preserve">with the credentials </w:t>
            </w:r>
            <w:r w:rsidRPr="0071766C">
              <w:rPr>
                <w:rFonts w:cs="Arial"/>
                <w:sz w:val="20"/>
              </w:rPr>
              <w:t xml:space="preserve">to teach at the university level.  However, </w:t>
            </w:r>
            <w:r w:rsidR="00A56794">
              <w:rPr>
                <w:rFonts w:cs="Arial"/>
                <w:sz w:val="20"/>
              </w:rPr>
              <w:t xml:space="preserve">additional faculty may need to be recruited as well.  </w:t>
            </w:r>
          </w:p>
          <w:p w:rsidR="00A56794" w:rsidRPr="0071766C" w:rsidRDefault="00A56794" w:rsidP="0071766C">
            <w:pPr>
              <w:jc w:val="both"/>
              <w:rPr>
                <w:rFonts w:cs="Arial"/>
                <w:sz w:val="20"/>
              </w:rPr>
            </w:pPr>
          </w:p>
          <w:p w:rsidR="00276F6B" w:rsidRPr="00F91EEE" w:rsidRDefault="00DF778B" w:rsidP="00DF778B">
            <w:pPr>
              <w:jc w:val="both"/>
              <w:rPr>
                <w:rFonts w:cs="Arial"/>
                <w:b/>
                <w:sz w:val="28"/>
                <w:szCs w:val="28"/>
              </w:rPr>
            </w:pPr>
            <w:r>
              <w:rPr>
                <w:rFonts w:cs="Arial"/>
                <w:sz w:val="20"/>
              </w:rPr>
              <w:t>Faculty are eager to initiate professional development opportunities to maintain currency and connections to their academic disciplines. (See Recommendation #4).</w:t>
            </w:r>
            <w:r w:rsidR="00D263AD">
              <w:rPr>
                <w:rFonts w:cs="Arial"/>
                <w:b/>
                <w:color w:val="FF0000"/>
                <w:sz w:val="24"/>
                <w:szCs w:val="24"/>
              </w:rPr>
              <w:t xml:space="preserve"> </w:t>
            </w:r>
          </w:p>
        </w:tc>
      </w:tr>
      <w:tr w:rsidR="00276F6B" w:rsidRPr="000C3BAA" w:rsidTr="000C3BAA">
        <w:tc>
          <w:tcPr>
            <w:tcW w:w="6534" w:type="dxa"/>
            <w:shd w:val="clear" w:color="auto" w:fill="auto"/>
            <w:tcMar>
              <w:top w:w="113" w:type="dxa"/>
              <w:bottom w:w="113" w:type="dxa"/>
            </w:tcMar>
          </w:tcPr>
          <w:p w:rsidR="00276F6B" w:rsidRPr="000C3BAA" w:rsidRDefault="00276F6B" w:rsidP="000C3BAA">
            <w:pPr>
              <w:ind w:left="360" w:hanging="360"/>
              <w:rPr>
                <w:rFonts w:cs="Arial"/>
                <w:b/>
                <w:sz w:val="20"/>
              </w:rPr>
            </w:pPr>
            <w:r w:rsidRPr="000C3BAA">
              <w:rPr>
                <w:rFonts w:cs="Arial"/>
                <w:b/>
                <w:sz w:val="20"/>
              </w:rPr>
              <w:lastRenderedPageBreak/>
              <w:t>8.2 Physical Resources</w:t>
            </w:r>
          </w:p>
          <w:p w:rsidR="00276F6B" w:rsidRPr="000C3BAA" w:rsidRDefault="00276F6B" w:rsidP="000C3BAA">
            <w:pPr>
              <w:ind w:left="360" w:hanging="360"/>
              <w:rPr>
                <w:rFonts w:cs="Arial"/>
                <w:b/>
                <w:sz w:val="20"/>
              </w:rPr>
            </w:pPr>
          </w:p>
          <w:p w:rsidR="00276F6B" w:rsidRPr="000C3BAA" w:rsidRDefault="00276F6B" w:rsidP="000C3BAA">
            <w:pPr>
              <w:ind w:left="360" w:hanging="360"/>
              <w:rPr>
                <w:rFonts w:cs="Arial"/>
                <w:b/>
                <w:bCs/>
                <w:sz w:val="20"/>
              </w:rPr>
            </w:pPr>
            <w:r w:rsidRPr="000C3BAA">
              <w:rPr>
                <w:rFonts w:cs="Arial"/>
                <w:b/>
                <w:bCs/>
                <w:sz w:val="20"/>
              </w:rPr>
              <w:t>Review / discuss:</w:t>
            </w:r>
          </w:p>
          <w:p w:rsidR="00276F6B" w:rsidRPr="000C3BAA" w:rsidRDefault="00276F6B" w:rsidP="000C3BAA">
            <w:pPr>
              <w:ind w:left="360" w:hanging="360"/>
              <w:rPr>
                <w:rFonts w:cs="Arial"/>
                <w:b/>
                <w:bCs/>
                <w:sz w:val="20"/>
              </w:rPr>
            </w:pPr>
          </w:p>
          <w:p w:rsidR="00276F6B" w:rsidRPr="000C3BAA" w:rsidRDefault="00276F6B" w:rsidP="000C3BAA">
            <w:pPr>
              <w:numPr>
                <w:ilvl w:val="0"/>
                <w:numId w:val="15"/>
              </w:numPr>
              <w:tabs>
                <w:tab w:val="clear" w:pos="720"/>
                <w:tab w:val="num" w:pos="360"/>
              </w:tabs>
              <w:ind w:left="360"/>
              <w:rPr>
                <w:rFonts w:cs="Arial"/>
                <w:sz w:val="20"/>
              </w:rPr>
            </w:pPr>
            <w:r w:rsidRPr="000C3BAA">
              <w:rPr>
                <w:rFonts w:cs="Arial"/>
                <w:sz w:val="20"/>
              </w:rPr>
              <w:t>Program costing information</w:t>
            </w:r>
          </w:p>
          <w:p w:rsidR="00276F6B" w:rsidRPr="000C3BAA" w:rsidRDefault="00276F6B" w:rsidP="000C3BAA">
            <w:pPr>
              <w:numPr>
                <w:ilvl w:val="0"/>
                <w:numId w:val="15"/>
              </w:numPr>
              <w:tabs>
                <w:tab w:val="clear" w:pos="720"/>
                <w:tab w:val="num" w:pos="360"/>
              </w:tabs>
              <w:ind w:left="360"/>
              <w:rPr>
                <w:rFonts w:cs="Arial"/>
                <w:sz w:val="20"/>
              </w:rPr>
            </w:pPr>
            <w:r w:rsidRPr="000C3BAA">
              <w:rPr>
                <w:rFonts w:cs="Arial"/>
                <w:sz w:val="20"/>
              </w:rPr>
              <w:t>Scope of current program resources such as laboratory equipment, software, library holdings, or tools essential to or which enhance program delivery or student learning</w:t>
            </w:r>
          </w:p>
          <w:p w:rsidR="00276F6B" w:rsidRPr="000C3BAA" w:rsidRDefault="00276F6B" w:rsidP="000C3BAA">
            <w:pPr>
              <w:numPr>
                <w:ilvl w:val="0"/>
                <w:numId w:val="15"/>
              </w:numPr>
              <w:tabs>
                <w:tab w:val="clear" w:pos="720"/>
                <w:tab w:val="num" w:pos="360"/>
              </w:tabs>
              <w:ind w:left="360"/>
              <w:rPr>
                <w:rFonts w:cs="Arial"/>
                <w:sz w:val="20"/>
              </w:rPr>
            </w:pPr>
            <w:r w:rsidRPr="000C3BAA">
              <w:rPr>
                <w:rFonts w:cs="Arial"/>
                <w:sz w:val="20"/>
              </w:rPr>
              <w:t>The adequacy of above resources in the context of program outcomes, program currency, and student numbers</w:t>
            </w:r>
          </w:p>
          <w:p w:rsidR="00276F6B" w:rsidRPr="000C3BAA" w:rsidRDefault="00276F6B" w:rsidP="000C3BAA">
            <w:pPr>
              <w:numPr>
                <w:ilvl w:val="0"/>
                <w:numId w:val="15"/>
              </w:numPr>
              <w:tabs>
                <w:tab w:val="clear" w:pos="720"/>
                <w:tab w:val="num" w:pos="360"/>
              </w:tabs>
              <w:ind w:left="360"/>
              <w:rPr>
                <w:rFonts w:cs="Arial"/>
                <w:sz w:val="20"/>
              </w:rPr>
            </w:pPr>
            <w:r w:rsidRPr="000C3BAA">
              <w:rPr>
                <w:rFonts w:cs="Arial"/>
                <w:sz w:val="20"/>
              </w:rPr>
              <w:t>Program specific external revenue such as sponsorships, grants, donations or gifts-in-kind</w:t>
            </w:r>
          </w:p>
          <w:p w:rsidR="00276F6B" w:rsidRPr="000C3BAA" w:rsidRDefault="00276F6B" w:rsidP="000C3BAA">
            <w:pPr>
              <w:numPr>
                <w:ilvl w:val="0"/>
                <w:numId w:val="15"/>
              </w:numPr>
              <w:tabs>
                <w:tab w:val="clear" w:pos="720"/>
                <w:tab w:val="left" w:pos="0"/>
                <w:tab w:val="num" w:pos="360"/>
              </w:tabs>
              <w:ind w:left="360"/>
              <w:rPr>
                <w:rFonts w:cs="Arial"/>
                <w:b/>
                <w:sz w:val="20"/>
              </w:rPr>
            </w:pPr>
            <w:r w:rsidRPr="000C3BAA">
              <w:rPr>
                <w:rFonts w:cs="Arial"/>
                <w:sz w:val="20"/>
              </w:rPr>
              <w:t>Other externally generated revenues, if applicable</w:t>
            </w:r>
          </w:p>
        </w:tc>
        <w:tc>
          <w:tcPr>
            <w:tcW w:w="6534" w:type="dxa"/>
            <w:shd w:val="clear" w:color="auto" w:fill="auto"/>
            <w:tcMar>
              <w:top w:w="113" w:type="dxa"/>
              <w:bottom w:w="113" w:type="dxa"/>
            </w:tcMar>
          </w:tcPr>
          <w:p w:rsidR="00150B00" w:rsidRPr="0071766C" w:rsidRDefault="0071766C" w:rsidP="000C3BAA">
            <w:pPr>
              <w:ind w:left="360" w:hanging="360"/>
              <w:rPr>
                <w:rFonts w:cs="Arial"/>
                <w:sz w:val="20"/>
              </w:rPr>
            </w:pPr>
            <w:r w:rsidRPr="0071766C">
              <w:rPr>
                <w:rFonts w:cs="Arial"/>
                <w:sz w:val="20"/>
              </w:rPr>
              <w:t xml:space="preserve">Because the program is staffed exclusively with FT faculty, it is </w:t>
            </w:r>
            <w:r>
              <w:rPr>
                <w:rFonts w:cs="Arial"/>
                <w:sz w:val="20"/>
              </w:rPr>
              <w:t xml:space="preserve">the most expensive program within GAS to </w:t>
            </w:r>
            <w:r w:rsidRPr="0071766C">
              <w:rPr>
                <w:rFonts w:cs="Arial"/>
                <w:sz w:val="20"/>
              </w:rPr>
              <w:t>run.</w:t>
            </w:r>
          </w:p>
          <w:p w:rsidR="00AA3321" w:rsidRDefault="00AA3321" w:rsidP="0071766C">
            <w:pPr>
              <w:rPr>
                <w:rFonts w:cs="Arial"/>
                <w:sz w:val="20"/>
              </w:rPr>
            </w:pPr>
          </w:p>
          <w:p w:rsidR="00292ABB" w:rsidRDefault="0071766C" w:rsidP="0071766C">
            <w:pPr>
              <w:rPr>
                <w:rFonts w:cs="Arial"/>
                <w:sz w:val="20"/>
              </w:rPr>
            </w:pPr>
            <w:r>
              <w:rPr>
                <w:rFonts w:cs="Arial"/>
                <w:sz w:val="20"/>
              </w:rPr>
              <w:t xml:space="preserve">The physical spaces in the college have long been a contentious issue.  </w:t>
            </w:r>
            <w:r w:rsidR="00292ABB">
              <w:rPr>
                <w:rFonts w:cs="Arial"/>
                <w:sz w:val="20"/>
              </w:rPr>
              <w:t xml:space="preserve">Many </w:t>
            </w:r>
            <w:r>
              <w:rPr>
                <w:rFonts w:cs="Arial"/>
                <w:sz w:val="20"/>
              </w:rPr>
              <w:t>classes are held in seminar rooms</w:t>
            </w:r>
            <w:r w:rsidR="00292ABB">
              <w:rPr>
                <w:rFonts w:cs="Arial"/>
                <w:sz w:val="20"/>
              </w:rPr>
              <w:t xml:space="preserve">.  For optimum course delivery, the program requires flexibility in classroom setup.  </w:t>
            </w:r>
          </w:p>
          <w:p w:rsidR="00292ABB" w:rsidRDefault="00292ABB" w:rsidP="0071766C">
            <w:pPr>
              <w:rPr>
                <w:rFonts w:cs="Arial"/>
                <w:sz w:val="20"/>
              </w:rPr>
            </w:pPr>
          </w:p>
          <w:p w:rsidR="00DB69FF" w:rsidRDefault="00DB69FF" w:rsidP="0071766C">
            <w:pPr>
              <w:rPr>
                <w:rFonts w:cs="Arial"/>
                <w:sz w:val="20"/>
              </w:rPr>
            </w:pPr>
            <w:r>
              <w:rPr>
                <w:rFonts w:cs="Arial"/>
                <w:sz w:val="20"/>
              </w:rPr>
              <w:t>The</w:t>
            </w:r>
            <w:r w:rsidR="00292ABB">
              <w:rPr>
                <w:rFonts w:cs="Arial"/>
                <w:sz w:val="20"/>
              </w:rPr>
              <w:t xml:space="preserve"> P</w:t>
            </w:r>
            <w:r>
              <w:rPr>
                <w:rFonts w:cs="Arial"/>
                <w:sz w:val="20"/>
              </w:rPr>
              <w:t xml:space="preserve">rogram </w:t>
            </w:r>
            <w:r w:rsidR="00292ABB">
              <w:rPr>
                <w:rFonts w:cs="Arial"/>
                <w:sz w:val="20"/>
              </w:rPr>
              <w:t>C</w:t>
            </w:r>
            <w:r>
              <w:rPr>
                <w:rFonts w:cs="Arial"/>
                <w:sz w:val="20"/>
              </w:rPr>
              <w:t>oordinator hold</w:t>
            </w:r>
            <w:r w:rsidR="00292ABB">
              <w:rPr>
                <w:rFonts w:cs="Arial"/>
                <w:sz w:val="20"/>
              </w:rPr>
              <w:t>s two</w:t>
            </w:r>
            <w:r>
              <w:rPr>
                <w:rFonts w:cs="Arial"/>
                <w:sz w:val="20"/>
              </w:rPr>
              <w:t xml:space="preserve">-hour </w:t>
            </w:r>
            <w:r w:rsidR="00292ABB">
              <w:rPr>
                <w:rFonts w:cs="Arial"/>
                <w:sz w:val="20"/>
              </w:rPr>
              <w:t xml:space="preserve">weekly </w:t>
            </w:r>
            <w:r>
              <w:rPr>
                <w:rFonts w:cs="Arial"/>
                <w:sz w:val="20"/>
              </w:rPr>
              <w:t xml:space="preserve">drop-in writing labs, but securing a space in the college for this “non-teaching” activity has proven difficult. </w:t>
            </w:r>
            <w:r w:rsidR="00292ABB">
              <w:rPr>
                <w:rFonts w:cs="Arial"/>
                <w:sz w:val="20"/>
              </w:rPr>
              <w:t xml:space="preserve"> During the student focus groups that the Dean held this Fall 2011, the students specifically mentioned how useful the drop-in sessions are.  (See Recommendation #12). </w:t>
            </w:r>
          </w:p>
          <w:p w:rsidR="00DB69FF" w:rsidRDefault="00DB69FF" w:rsidP="0071766C">
            <w:pPr>
              <w:rPr>
                <w:rFonts w:cs="Arial"/>
                <w:sz w:val="20"/>
              </w:rPr>
            </w:pPr>
          </w:p>
          <w:p w:rsidR="00DB69FF" w:rsidRPr="00150B00" w:rsidRDefault="00DB69FF" w:rsidP="009E43FA">
            <w:pPr>
              <w:rPr>
                <w:rFonts w:cs="Arial"/>
                <w:b/>
                <w:color w:val="9BBB59"/>
                <w:szCs w:val="22"/>
              </w:rPr>
            </w:pPr>
            <w:r>
              <w:rPr>
                <w:rFonts w:cs="Arial"/>
                <w:sz w:val="20"/>
              </w:rPr>
              <w:t>There has been a request for a GAS meeting area (i.e.</w:t>
            </w:r>
            <w:r w:rsidR="009E43FA">
              <w:rPr>
                <w:rFonts w:cs="Arial"/>
                <w:sz w:val="20"/>
              </w:rPr>
              <w:t>sofas</w:t>
            </w:r>
            <w:r>
              <w:rPr>
                <w:rFonts w:cs="Arial"/>
                <w:sz w:val="20"/>
              </w:rPr>
              <w:t xml:space="preserve">/chairs) where faculty and students can meet both formally and informally.  </w:t>
            </w:r>
          </w:p>
        </w:tc>
      </w:tr>
    </w:tbl>
    <w:p w:rsidR="00276F6B" w:rsidRPr="00ED4E12" w:rsidRDefault="00276F6B" w:rsidP="00276F6B">
      <w:pPr>
        <w:rPr>
          <w:lang w:val="en-CA"/>
        </w:rPr>
      </w:pPr>
    </w:p>
    <w:p w:rsidR="00276F6B" w:rsidRDefault="00276F6B" w:rsidP="00276F6B">
      <w:pPr>
        <w:rPr>
          <w:rFonts w:cs="Arial"/>
          <w:b/>
        </w:rPr>
      </w:pPr>
    </w:p>
    <w:p w:rsidR="00276F6B" w:rsidRDefault="00276F6B" w:rsidP="00276F6B">
      <w:pPr>
        <w:rPr>
          <w:rFonts w:cs="Arial"/>
          <w:b/>
        </w:rPr>
      </w:pPr>
    </w:p>
    <w:p w:rsidR="00276F6B" w:rsidRPr="00434C06" w:rsidRDefault="00276F6B" w:rsidP="00276F6B">
      <w:pPr>
        <w:pStyle w:val="Title"/>
        <w:jc w:val="left"/>
        <w:rPr>
          <w:rFonts w:ascii="Arial" w:hAnsi="Arial" w:cs="Arial"/>
          <w:sz w:val="16"/>
          <w:szCs w:val="16"/>
        </w:rPr>
      </w:pPr>
      <w:r>
        <w:rPr>
          <w:rFonts w:ascii="Arial" w:hAnsi="Arial" w:cs="Arial"/>
          <w:sz w:val="18"/>
          <w:szCs w:val="18"/>
        </w:rPr>
        <w:t>F</w:t>
      </w:r>
      <w:r w:rsidRPr="00DC1597">
        <w:rPr>
          <w:rFonts w:ascii="Arial" w:hAnsi="Arial" w:cs="Arial"/>
          <w:sz w:val="18"/>
          <w:szCs w:val="18"/>
        </w:rPr>
        <w:t xml:space="preserve">ile report in: </w:t>
      </w:r>
    </w:p>
    <w:p w:rsidR="00276F6B" w:rsidRDefault="0079462C" w:rsidP="00276F6B">
      <w:pPr>
        <w:pStyle w:val="Title"/>
        <w:jc w:val="left"/>
        <w:rPr>
          <w:rFonts w:ascii="Arial" w:hAnsi="Arial" w:cs="Arial"/>
          <w:b/>
          <w:sz w:val="16"/>
          <w:szCs w:val="16"/>
        </w:rPr>
      </w:pPr>
      <w:r>
        <w:rPr>
          <w:rFonts w:cs="Arial"/>
          <w:b/>
          <w:sz w:val="16"/>
          <w:szCs w:val="16"/>
        </w:rPr>
        <w:t>S:\shared data\CLT\:</w:t>
      </w:r>
      <w:r>
        <w:rPr>
          <w:rFonts w:cs="Arial"/>
          <w:b/>
          <w:i/>
          <w:sz w:val="16"/>
          <w:szCs w:val="16"/>
        </w:rPr>
        <w:t>&lt; School name</w:t>
      </w:r>
      <w:r>
        <w:rPr>
          <w:rFonts w:cs="Arial"/>
          <w:b/>
          <w:sz w:val="16"/>
          <w:szCs w:val="16"/>
        </w:rPr>
        <w:t>&gt;: &lt;</w:t>
      </w:r>
      <w:r>
        <w:rPr>
          <w:rFonts w:cs="Arial"/>
          <w:b/>
          <w:i/>
          <w:sz w:val="16"/>
          <w:szCs w:val="16"/>
        </w:rPr>
        <w:t>Program Name</w:t>
      </w:r>
      <w:r>
        <w:rPr>
          <w:rFonts w:cs="Arial"/>
          <w:b/>
          <w:sz w:val="16"/>
          <w:szCs w:val="16"/>
        </w:rPr>
        <w:t>&gt;</w:t>
      </w:r>
      <w:r w:rsidR="00276F6B" w:rsidRPr="00434C06">
        <w:rPr>
          <w:rFonts w:ascii="Arial" w:hAnsi="Arial" w:cs="Arial"/>
          <w:b/>
          <w:sz w:val="16"/>
          <w:szCs w:val="16"/>
        </w:rPr>
        <w:t xml:space="preserve">: </w:t>
      </w:r>
      <w:r w:rsidR="00276F6B">
        <w:rPr>
          <w:rFonts w:ascii="Arial" w:hAnsi="Arial" w:cs="Arial"/>
          <w:b/>
          <w:sz w:val="16"/>
          <w:szCs w:val="16"/>
        </w:rPr>
        <w:t>Program Review Report</w:t>
      </w:r>
    </w:p>
    <w:p w:rsidR="00276F6B" w:rsidRDefault="00276F6B" w:rsidP="00276F6B">
      <w:pPr>
        <w:pStyle w:val="Title"/>
        <w:jc w:val="left"/>
        <w:rPr>
          <w:rFonts w:ascii="Arial" w:hAnsi="Arial" w:cs="Arial"/>
          <w:b/>
          <w:sz w:val="16"/>
          <w:szCs w:val="16"/>
        </w:rPr>
      </w:pPr>
    </w:p>
    <w:p w:rsidR="00276F6B" w:rsidRDefault="00276F6B" w:rsidP="00276F6B">
      <w:pPr>
        <w:pStyle w:val="Title"/>
        <w:jc w:val="left"/>
        <w:rPr>
          <w:rFonts w:ascii="Arial" w:hAnsi="Arial" w:cs="Arial"/>
          <w:sz w:val="16"/>
          <w:szCs w:val="16"/>
        </w:rPr>
      </w:pPr>
      <w:r w:rsidRPr="00681EEA">
        <w:rPr>
          <w:rFonts w:ascii="Arial" w:hAnsi="Arial" w:cs="Arial"/>
          <w:sz w:val="16"/>
          <w:szCs w:val="16"/>
        </w:rPr>
        <w:t xml:space="preserve">Attach </w:t>
      </w:r>
      <w:r>
        <w:rPr>
          <w:rFonts w:ascii="Arial" w:hAnsi="Arial" w:cs="Arial"/>
          <w:sz w:val="16"/>
          <w:szCs w:val="16"/>
        </w:rPr>
        <w:t>copies of existing and revised bench marks</w:t>
      </w:r>
    </w:p>
    <w:p w:rsidR="00276F6B" w:rsidRPr="00681EEA" w:rsidRDefault="00276F6B" w:rsidP="00276F6B">
      <w:pPr>
        <w:pStyle w:val="Title"/>
        <w:jc w:val="left"/>
        <w:rPr>
          <w:rFonts w:ascii="Arial" w:hAnsi="Arial" w:cs="Arial"/>
          <w:sz w:val="16"/>
          <w:szCs w:val="16"/>
        </w:rPr>
      </w:pPr>
      <w:r>
        <w:rPr>
          <w:rFonts w:ascii="Arial" w:hAnsi="Arial" w:cs="Arial"/>
          <w:sz w:val="16"/>
          <w:szCs w:val="16"/>
        </w:rPr>
        <w:t>Attach an updated Program Curriculum Map</w:t>
      </w:r>
    </w:p>
    <w:p w:rsidR="00276F6B" w:rsidRPr="00CA49A8" w:rsidRDefault="00276F6B" w:rsidP="00276F6B">
      <w:pPr>
        <w:rPr>
          <w:rFonts w:cs="Arial"/>
          <w:b/>
        </w:rPr>
        <w:sectPr w:rsidR="00276F6B" w:rsidRPr="00CA49A8" w:rsidSect="00276F6B">
          <w:pgSz w:w="15840" w:h="12240" w:orient="landscape"/>
          <w:pgMar w:top="1979" w:right="1440" w:bottom="851" w:left="2520" w:header="709" w:footer="709" w:gutter="0"/>
          <w:cols w:space="708"/>
          <w:docGrid w:linePitch="360"/>
        </w:sectPr>
      </w:pPr>
    </w:p>
    <w:p w:rsidR="00276F6B" w:rsidRDefault="00276F6B" w:rsidP="00276F6B">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276F6B" w:rsidRDefault="00276F6B" w:rsidP="00276F6B">
      <w:pPr>
        <w:rPr>
          <w:rFonts w:cs="Arial"/>
          <w:b/>
        </w:rPr>
      </w:pPr>
    </w:p>
    <w:p w:rsidR="00276F6B" w:rsidRPr="00DC1597" w:rsidRDefault="00276F6B" w:rsidP="00276F6B">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276F6B" w:rsidRPr="00DC1597" w:rsidRDefault="00276F6B" w:rsidP="00276F6B">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1857"/>
        <w:gridCol w:w="1430"/>
      </w:tblGrid>
      <w:tr w:rsidR="00276F6B" w:rsidRPr="000C3BAA" w:rsidTr="000C3BAA">
        <w:tc>
          <w:tcPr>
            <w:tcW w:w="6660"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0C3BAA" w:rsidRDefault="00276F6B" w:rsidP="00276F6B">
            <w:pPr>
              <w:pStyle w:val="Title"/>
              <w:rPr>
                <w:rFonts w:ascii="Arial" w:hAnsi="Arial" w:cs="Arial"/>
                <w:b/>
                <w:szCs w:val="24"/>
              </w:rPr>
            </w:pPr>
          </w:p>
          <w:p w:rsidR="00276F6B" w:rsidRPr="000C3BAA" w:rsidRDefault="00276F6B" w:rsidP="00276F6B">
            <w:pPr>
              <w:pStyle w:val="Title"/>
              <w:rPr>
                <w:rFonts w:ascii="Arial" w:hAnsi="Arial" w:cs="Arial"/>
                <w:b/>
                <w:szCs w:val="24"/>
              </w:rPr>
            </w:pPr>
            <w:r w:rsidRPr="000C3BAA">
              <w:rPr>
                <w:rFonts w:ascii="Arial" w:hAnsi="Arial" w:cs="Arial"/>
                <w:b/>
                <w:szCs w:val="24"/>
              </w:rPr>
              <w:t>Program Review Action Plan</w:t>
            </w:r>
          </w:p>
          <w:p w:rsidR="00276F6B" w:rsidRPr="000C3BAA" w:rsidRDefault="00276F6B" w:rsidP="00276F6B">
            <w:pPr>
              <w:pStyle w:val="Title"/>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0C3BAA" w:rsidRDefault="00276F6B" w:rsidP="00276F6B">
            <w:pPr>
              <w:pStyle w:val="Title"/>
              <w:rPr>
                <w:rFonts w:ascii="Arial" w:hAnsi="Arial" w:cs="Arial"/>
                <w:b/>
                <w:szCs w:val="24"/>
              </w:rPr>
            </w:pPr>
            <w:r w:rsidRPr="000C3BAA">
              <w:rPr>
                <w:rFonts w:ascii="Arial" w:hAnsi="Arial" w:cs="Arial"/>
                <w:b/>
                <w:szCs w:val="24"/>
              </w:rPr>
              <w:t>Responsibility</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0C3BAA" w:rsidRDefault="00276F6B" w:rsidP="00276F6B">
            <w:pPr>
              <w:pStyle w:val="Title"/>
              <w:rPr>
                <w:rFonts w:ascii="Arial" w:hAnsi="Arial" w:cs="Arial"/>
                <w:b/>
                <w:szCs w:val="24"/>
              </w:rPr>
            </w:pPr>
            <w:r w:rsidRPr="000C3BAA">
              <w:rPr>
                <w:rFonts w:ascii="Arial" w:hAnsi="Arial" w:cs="Arial"/>
                <w:b/>
                <w:szCs w:val="24"/>
              </w:rPr>
              <w:t>Timeframe</w:t>
            </w:r>
          </w:p>
        </w:tc>
      </w:tr>
      <w:tr w:rsidR="00276F6B" w:rsidRPr="000C3BAA" w:rsidTr="000C3BAA">
        <w:tc>
          <w:tcPr>
            <w:tcW w:w="6660" w:type="dxa"/>
            <w:tcBorders>
              <w:top w:val="single" w:sz="4" w:space="0" w:color="auto"/>
              <w:left w:val="single" w:sz="4" w:space="0" w:color="auto"/>
              <w:bottom w:val="single" w:sz="4" w:space="0" w:color="auto"/>
              <w:right w:val="single" w:sz="4" w:space="0" w:color="auto"/>
            </w:tcBorders>
          </w:tcPr>
          <w:p w:rsidR="00276F6B" w:rsidRPr="000C3BAA" w:rsidRDefault="00276F6B" w:rsidP="000C3BAA">
            <w:pPr>
              <w:pStyle w:val="Title"/>
              <w:jc w:val="left"/>
              <w:rPr>
                <w:rFonts w:ascii="Arial" w:hAnsi="Arial" w:cs="Arial"/>
                <w:b/>
                <w:sz w:val="20"/>
              </w:rPr>
            </w:pPr>
          </w:p>
          <w:p w:rsidR="00276F6B" w:rsidRDefault="00276F6B" w:rsidP="000C3BAA">
            <w:pPr>
              <w:pStyle w:val="Title"/>
              <w:jc w:val="left"/>
              <w:rPr>
                <w:rFonts w:ascii="Arial" w:hAnsi="Arial" w:cs="Arial"/>
                <w:b/>
                <w:szCs w:val="24"/>
              </w:rPr>
            </w:pPr>
            <w:r w:rsidRPr="000C3BAA">
              <w:rPr>
                <w:rFonts w:ascii="Arial" w:hAnsi="Arial" w:cs="Arial"/>
                <w:b/>
                <w:szCs w:val="24"/>
                <w:u w:val="single"/>
              </w:rPr>
              <w:t>Recommendations</w:t>
            </w:r>
            <w:r w:rsidRPr="000C3BAA">
              <w:rPr>
                <w:rFonts w:ascii="Arial" w:hAnsi="Arial" w:cs="Arial"/>
                <w:b/>
                <w:szCs w:val="24"/>
              </w:rPr>
              <w:t>:</w:t>
            </w:r>
          </w:p>
          <w:p w:rsidR="00DA455A" w:rsidRDefault="00DA455A" w:rsidP="000C3BAA">
            <w:pPr>
              <w:pStyle w:val="Title"/>
              <w:jc w:val="left"/>
              <w:rPr>
                <w:rFonts w:ascii="Arial" w:hAnsi="Arial" w:cs="Arial"/>
                <w:b/>
                <w:szCs w:val="24"/>
              </w:rPr>
            </w:pPr>
          </w:p>
          <w:p w:rsidR="009B2472" w:rsidRPr="00543231"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543231">
              <w:rPr>
                <w:rFonts w:cs="Arial"/>
              </w:rPr>
              <w:t>Expand articulation agreements to include other university and college partners.</w:t>
            </w:r>
          </w:p>
          <w:p w:rsidR="009B2472" w:rsidRPr="00543231"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543231">
              <w:rPr>
                <w:rFonts w:cs="Arial"/>
              </w:rPr>
              <w:t>Improve mentoring/support of students as part of retention and success strategies.</w:t>
            </w:r>
          </w:p>
          <w:p w:rsidR="009B2472"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Facilitate curriculum renewal through strategic allocation of time during regular program meetings.</w:t>
            </w:r>
          </w:p>
          <w:p w:rsidR="009B2472"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Support faculty teaching and disciplinary currency with a comprehensive PD plan.</w:t>
            </w:r>
          </w:p>
          <w:p w:rsidR="009B2472"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Review relevance of KPI questions by program vocational learning outcomes. If KPI data not applicable to the program are affecting overall KPI results, consider context and method of KPI survey administration and data analysis.</w:t>
            </w:r>
          </w:p>
          <w:p w:rsidR="009B2472" w:rsidRPr="00543231"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543231">
              <w:rPr>
                <w:rFonts w:cs="Arial"/>
              </w:rPr>
              <w:t>Enhance applied research elements in the curriculum.</w:t>
            </w:r>
          </w:p>
          <w:p w:rsidR="009B2472" w:rsidRPr="00543231"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Consider e</w:t>
            </w:r>
            <w:r w:rsidRPr="00543231">
              <w:rPr>
                <w:rFonts w:cs="Arial"/>
              </w:rPr>
              <w:t>xpand</w:t>
            </w:r>
            <w:r>
              <w:rPr>
                <w:rFonts w:cs="Arial"/>
              </w:rPr>
              <w:t>ing</w:t>
            </w:r>
            <w:r w:rsidRPr="00543231">
              <w:rPr>
                <w:rFonts w:cs="Arial"/>
              </w:rPr>
              <w:t xml:space="preserve"> course offerings with electives (</w:t>
            </w:r>
            <w:r>
              <w:rPr>
                <w:rFonts w:cs="Arial"/>
              </w:rPr>
              <w:t xml:space="preserve">some </w:t>
            </w:r>
            <w:r w:rsidRPr="00543231">
              <w:rPr>
                <w:rFonts w:cs="Arial"/>
              </w:rPr>
              <w:t xml:space="preserve">options include History, </w:t>
            </w:r>
            <w:r>
              <w:rPr>
                <w:rFonts w:cs="Arial"/>
              </w:rPr>
              <w:t xml:space="preserve">Science, Economics, </w:t>
            </w:r>
            <w:r w:rsidRPr="00543231">
              <w:rPr>
                <w:rFonts w:cs="Arial"/>
              </w:rPr>
              <w:t xml:space="preserve">Social Justice, </w:t>
            </w:r>
            <w:r>
              <w:rPr>
                <w:rFonts w:cs="Arial"/>
              </w:rPr>
              <w:t xml:space="preserve">Cultural Studies, </w:t>
            </w:r>
            <w:r w:rsidRPr="00543231">
              <w:rPr>
                <w:rFonts w:cs="Arial"/>
              </w:rPr>
              <w:t>and Global Perspectives).</w:t>
            </w:r>
          </w:p>
          <w:p w:rsidR="009B2472" w:rsidRPr="00543231"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543231">
              <w:rPr>
                <w:rFonts w:cs="Arial"/>
              </w:rPr>
              <w:t>Increase involvement of and connection with program alumnae.</w:t>
            </w:r>
          </w:p>
          <w:p w:rsidR="009B2472" w:rsidRPr="00543231"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543231">
              <w:rPr>
                <w:rFonts w:cs="Arial"/>
              </w:rPr>
              <w:t>Continue the ‘semester-long’ integrated orientation approach as a key strategy to ensure students have a comprehensive transition into and understanding of the program.</w:t>
            </w:r>
          </w:p>
          <w:p w:rsidR="009B2472" w:rsidRPr="00543231"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543231">
              <w:rPr>
                <w:rFonts w:cs="Arial"/>
              </w:rPr>
              <w:t>Ensure a yearly curriculum renewal report is conducted that includes student and faculty feedback.</w:t>
            </w:r>
          </w:p>
          <w:p w:rsidR="009B2472"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Review the possibility of UT courses being offered to high school students as dual credit.</w:t>
            </w:r>
          </w:p>
          <w:p w:rsidR="009B2472" w:rsidRDefault="009B2472" w:rsidP="009B2472">
            <w:pPr>
              <w:pStyle w:val="ListParagraph"/>
              <w:numPr>
                <w:ilvl w:val="0"/>
                <w:numId w:val="39"/>
              </w:numPr>
              <w:tabs>
                <w:tab w:val="left" w:pos="-1440"/>
              </w:tabs>
              <w:rPr>
                <w:rFonts w:cs="Arial"/>
              </w:rPr>
            </w:pPr>
            <w:r>
              <w:rPr>
                <w:rFonts w:cs="Arial"/>
              </w:rPr>
              <w:t xml:space="preserve">Continue writing clinics and drop-in </w:t>
            </w:r>
            <w:r w:rsidRPr="00676C81">
              <w:rPr>
                <w:rFonts w:cs="Arial"/>
              </w:rPr>
              <w:t>sessions</w:t>
            </w:r>
            <w:r>
              <w:rPr>
                <w:rFonts w:cs="Arial"/>
              </w:rPr>
              <w:t xml:space="preserve"> for Writing and Composition.</w:t>
            </w:r>
          </w:p>
          <w:p w:rsidR="009B2472"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 xml:space="preserve"> Review the market demand and pedagogical implications for offering this program as an online option for students outside the usual catchment area.</w:t>
            </w:r>
          </w:p>
          <w:p w:rsidR="009B2472"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 xml:space="preserve">Enhance the means to track progress of program </w:t>
            </w:r>
            <w:r>
              <w:rPr>
                <w:rFonts w:cs="Arial"/>
              </w:rPr>
              <w:lastRenderedPageBreak/>
              <w:t>alumnae with our university partner and beyond.</w:t>
            </w:r>
          </w:p>
          <w:p w:rsidR="009B2472"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295D1F">
              <w:rPr>
                <w:rFonts w:cs="Arial"/>
              </w:rPr>
              <w:t>Consider offering math/science options for an alternate UT stream.</w:t>
            </w:r>
          </w:p>
          <w:p w:rsidR="009B2472"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Consider offering an alternate combination arts and sciences UT stream for those students who are uncertain about their program interests and who want to keep their study options open.</w:t>
            </w:r>
          </w:p>
          <w:p w:rsidR="009B2472" w:rsidRDefault="009B2472" w:rsidP="009B2472">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Communicate annually with university partners to determine alignment between university and college equivalent courses.</w:t>
            </w:r>
          </w:p>
          <w:p w:rsidR="00E039BD" w:rsidRPr="009B2472" w:rsidRDefault="009B2472" w:rsidP="009B2472">
            <w:pPr>
              <w:pStyle w:val="ListParagraph"/>
              <w:numPr>
                <w:ilvl w:val="0"/>
                <w:numId w:val="39"/>
              </w:numPr>
              <w:rPr>
                <w:b/>
                <w:color w:val="00B050"/>
                <w:szCs w:val="22"/>
              </w:rPr>
            </w:pPr>
            <w:r>
              <w:t xml:space="preserve">Discuss the possible need for additional admission criteria in order to enhance retention rates. </w:t>
            </w:r>
          </w:p>
          <w:p w:rsidR="00E039BD" w:rsidRPr="00E039BD" w:rsidRDefault="00DA455A" w:rsidP="009B2472">
            <w:pPr>
              <w:pStyle w:val="Title"/>
              <w:numPr>
                <w:ilvl w:val="0"/>
                <w:numId w:val="39"/>
              </w:numPr>
              <w:jc w:val="left"/>
              <w:rPr>
                <w:rFonts w:ascii="Arial" w:hAnsi="Arial" w:cs="Arial"/>
                <w:sz w:val="22"/>
                <w:szCs w:val="22"/>
              </w:rPr>
            </w:pPr>
            <w:r w:rsidRPr="00E039BD">
              <w:rPr>
                <w:rFonts w:ascii="Arial" w:hAnsi="Arial" w:cs="Arial"/>
                <w:sz w:val="22"/>
                <w:szCs w:val="22"/>
              </w:rPr>
              <w:t xml:space="preserve">Reconfigure and enhance the Articulation Agreement with Trent U </w:t>
            </w:r>
            <w:r w:rsidR="00E039BD" w:rsidRPr="00E039BD">
              <w:rPr>
                <w:rFonts w:ascii="Arial" w:hAnsi="Arial" w:cs="Arial"/>
                <w:sz w:val="22"/>
                <w:szCs w:val="22"/>
              </w:rPr>
              <w:t xml:space="preserve">to feature four assigned and one unassigned university credit.  </w:t>
            </w:r>
          </w:p>
          <w:p w:rsidR="00DA455A" w:rsidRPr="004B04D5" w:rsidRDefault="00DA455A" w:rsidP="00DA455A">
            <w:pPr>
              <w:pStyle w:val="Title"/>
              <w:jc w:val="left"/>
              <w:rPr>
                <w:rFonts w:ascii="Arial" w:hAnsi="Arial" w:cs="Arial"/>
                <w:b/>
                <w:color w:val="00B050"/>
                <w:sz w:val="22"/>
                <w:szCs w:val="22"/>
              </w:rPr>
            </w:pPr>
          </w:p>
          <w:p w:rsidR="00DA455A" w:rsidRPr="004B04D5" w:rsidRDefault="00DA455A" w:rsidP="00DA455A">
            <w:pPr>
              <w:pStyle w:val="Title"/>
              <w:jc w:val="left"/>
              <w:rPr>
                <w:rFonts w:ascii="Arial" w:hAnsi="Arial" w:cs="Arial"/>
                <w:b/>
                <w:color w:val="00B050"/>
                <w:sz w:val="22"/>
                <w:szCs w:val="22"/>
              </w:rPr>
            </w:pPr>
          </w:p>
          <w:p w:rsidR="00DA455A" w:rsidRPr="000C3BAA" w:rsidRDefault="00DA455A" w:rsidP="00DA455A">
            <w:pPr>
              <w:pStyle w:val="Title"/>
              <w:jc w:val="left"/>
              <w:rPr>
                <w:rFonts w:ascii="Arial" w:hAnsi="Arial" w:cs="Arial"/>
                <w:b/>
                <w:sz w:val="22"/>
                <w:szCs w:val="22"/>
              </w:rPr>
            </w:pPr>
          </w:p>
          <w:p w:rsidR="00DA455A" w:rsidRPr="000C3BAA" w:rsidRDefault="00DA455A" w:rsidP="00DA455A">
            <w:pPr>
              <w:pStyle w:val="Title"/>
              <w:jc w:val="left"/>
              <w:rPr>
                <w:rFonts w:ascii="Arial" w:hAnsi="Arial" w:cs="Arial"/>
                <w:b/>
                <w:sz w:val="22"/>
                <w:szCs w:val="22"/>
              </w:rPr>
            </w:pPr>
          </w:p>
          <w:p w:rsidR="00DA455A" w:rsidRPr="000C3BAA" w:rsidRDefault="00DA455A" w:rsidP="000C3BAA">
            <w:pPr>
              <w:pStyle w:val="Title"/>
              <w:jc w:val="left"/>
              <w:rPr>
                <w:rFonts w:ascii="Arial" w:hAnsi="Arial" w:cs="Arial"/>
                <w:b/>
                <w:szCs w:val="24"/>
                <w:u w:val="single"/>
              </w:rPr>
            </w:pPr>
          </w:p>
          <w:p w:rsidR="00276F6B"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p w:rsidR="00276F6B" w:rsidRPr="000C3BAA" w:rsidRDefault="00276F6B" w:rsidP="000C3BAA">
            <w:pPr>
              <w:pStyle w:val="Title"/>
              <w:jc w:val="left"/>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tcPr>
          <w:p w:rsidR="00276F6B" w:rsidRPr="000C3BAA" w:rsidRDefault="00276F6B" w:rsidP="000C3BAA">
            <w:pPr>
              <w:pStyle w:val="Title"/>
              <w:jc w:val="left"/>
              <w:rPr>
                <w:rFonts w:ascii="Arial" w:hAnsi="Arial" w:cs="Arial"/>
                <w:b/>
                <w:sz w:val="22"/>
                <w:szCs w:val="22"/>
              </w:rPr>
            </w:pPr>
          </w:p>
        </w:tc>
        <w:tc>
          <w:tcPr>
            <w:tcW w:w="1080" w:type="dxa"/>
            <w:tcBorders>
              <w:top w:val="single" w:sz="4" w:space="0" w:color="auto"/>
              <w:left w:val="single" w:sz="4" w:space="0" w:color="auto"/>
              <w:bottom w:val="single" w:sz="4" w:space="0" w:color="auto"/>
              <w:right w:val="single" w:sz="4" w:space="0" w:color="auto"/>
            </w:tcBorders>
          </w:tcPr>
          <w:p w:rsidR="00276F6B" w:rsidRPr="000C3BAA" w:rsidRDefault="00276F6B" w:rsidP="000C3BAA">
            <w:pPr>
              <w:pStyle w:val="Title"/>
              <w:jc w:val="left"/>
              <w:rPr>
                <w:rFonts w:ascii="Arial" w:hAnsi="Arial" w:cs="Arial"/>
                <w:b/>
                <w:sz w:val="22"/>
                <w:szCs w:val="22"/>
              </w:rPr>
            </w:pPr>
          </w:p>
        </w:tc>
      </w:tr>
    </w:tbl>
    <w:p w:rsidR="00F0505A" w:rsidRDefault="00F0505A"/>
    <w:sectPr w:rsidR="00F0505A" w:rsidSect="00FA7A8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03C" w:rsidRDefault="007D703C">
      <w:r>
        <w:separator/>
      </w:r>
    </w:p>
  </w:endnote>
  <w:endnote w:type="continuationSeparator" w:id="0">
    <w:p w:rsidR="007D703C" w:rsidRDefault="007D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03C" w:rsidRDefault="007D703C">
      <w:r>
        <w:separator/>
      </w:r>
    </w:p>
  </w:footnote>
  <w:footnote w:type="continuationSeparator" w:id="0">
    <w:p w:rsidR="007D703C" w:rsidRDefault="007D7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A076E01"/>
    <w:multiLevelType w:val="multilevel"/>
    <w:tmpl w:val="F58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4">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0D7B5550"/>
    <w:multiLevelType w:val="hybridMultilevel"/>
    <w:tmpl w:val="A6A6B060"/>
    <w:lvl w:ilvl="0" w:tplc="83A00544">
      <w:start w:val="1"/>
      <w:numFmt w:val="decimal"/>
      <w:lvlText w:val="%1."/>
      <w:lvlJc w:val="left"/>
      <w:pPr>
        <w:ind w:left="720" w:hanging="360"/>
      </w:pPr>
      <w:rPr>
        <w:rFonts w:ascii="Arial" w:hAnsi="Arial" w:hint="default"/>
        <w:b w:val="0"/>
        <w:i w:val="0"/>
        <w:caps w:val="0"/>
        <w:smallCaps w:val="0"/>
        <w:strike w:val="0"/>
        <w:dstrike w:val="0"/>
        <w:outline w:val="0"/>
        <w:shadow w:val="0"/>
        <w:emboss w:val="0"/>
        <w:imprint w:val="0"/>
        <w:vanish w:val="0"/>
        <w:color w:val="auto"/>
        <w:spacing w:val="0"/>
        <w:w w:val="100"/>
        <w:kern w:val="0"/>
        <w:position w:val="0"/>
        <w:sz w:val="24"/>
        <w:u w:val="single"/>
        <w:effect w:val="none"/>
        <w:vertAlign w:val="baseline"/>
        <w:em w:val="none"/>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6">
    <w:nsid w:val="17C76464"/>
    <w:multiLevelType w:val="hybridMultilevel"/>
    <w:tmpl w:val="36F6EF04"/>
    <w:lvl w:ilvl="0" w:tplc="10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7FF20BA"/>
    <w:multiLevelType w:val="hybridMultilevel"/>
    <w:tmpl w:val="6F20A394"/>
    <w:lvl w:ilvl="0" w:tplc="10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2D2E0039"/>
    <w:multiLevelType w:val="hybridMultilevel"/>
    <w:tmpl w:val="A38017D2"/>
    <w:lvl w:ilvl="0" w:tplc="7310BD6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7171D67"/>
    <w:multiLevelType w:val="multilevel"/>
    <w:tmpl w:val="56C8B49E"/>
    <w:lvl w:ilvl="0">
      <w:start w:val="4"/>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835015B"/>
    <w:multiLevelType w:val="multilevel"/>
    <w:tmpl w:val="63B4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75047C"/>
    <w:multiLevelType w:val="hybridMultilevel"/>
    <w:tmpl w:val="7D6293CE"/>
    <w:lvl w:ilvl="0" w:tplc="10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497D092E"/>
    <w:multiLevelType w:val="hybridMultilevel"/>
    <w:tmpl w:val="EC146DDE"/>
    <w:lvl w:ilvl="0" w:tplc="10090005">
      <w:start w:val="1"/>
      <w:numFmt w:val="bullet"/>
      <w:lvlText w:val=""/>
      <w:lvlJc w:val="left"/>
      <w:pPr>
        <w:tabs>
          <w:tab w:val="num" w:pos="720"/>
        </w:tabs>
        <w:ind w:left="720" w:hanging="360"/>
      </w:pPr>
      <w:rPr>
        <w:rFonts w:ascii="Wingdings" w:hAnsi="Wingdings" w:hint="default"/>
      </w:rPr>
    </w:lvl>
    <w:lvl w:ilvl="1" w:tplc="41EC4CC6">
      <w:start w:val="1"/>
      <w:numFmt w:val="bullet"/>
      <w:lvlText w:val="o"/>
      <w:lvlJc w:val="left"/>
      <w:pPr>
        <w:tabs>
          <w:tab w:val="num" w:pos="1440"/>
        </w:tabs>
        <w:ind w:left="1440" w:hanging="360"/>
      </w:pPr>
      <w:rPr>
        <w:rFonts w:ascii="Courier New" w:hAnsi="Courier New" w:cs="Courier New" w:hint="default"/>
        <w:color w:val="auto"/>
        <w:sz w:val="22"/>
        <w:szCs w:val="22"/>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4E9C7C99"/>
    <w:multiLevelType w:val="hybridMultilevel"/>
    <w:tmpl w:val="82B6F596"/>
    <w:lvl w:ilvl="0" w:tplc="10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8951897"/>
    <w:multiLevelType w:val="hybridMultilevel"/>
    <w:tmpl w:val="D37CD954"/>
    <w:lvl w:ilvl="0" w:tplc="10090005">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8">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6A620572"/>
    <w:multiLevelType w:val="multilevel"/>
    <w:tmpl w:val="11CC1E1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D5F30EE"/>
    <w:multiLevelType w:val="multilevel"/>
    <w:tmpl w:val="BCE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6F2E0BDB"/>
    <w:multiLevelType w:val="hybridMultilevel"/>
    <w:tmpl w:val="482C14A2"/>
    <w:lvl w:ilvl="0" w:tplc="10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9D76CF9"/>
    <w:multiLevelType w:val="multilevel"/>
    <w:tmpl w:val="A610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9"/>
  </w:num>
  <w:num w:numId="3">
    <w:abstractNumId w:val="27"/>
  </w:num>
  <w:num w:numId="4">
    <w:abstractNumId w:val="33"/>
  </w:num>
  <w:num w:numId="5">
    <w:abstractNumId w:val="19"/>
  </w:num>
  <w:num w:numId="6">
    <w:abstractNumId w:val="11"/>
  </w:num>
  <w:num w:numId="7">
    <w:abstractNumId w:val="9"/>
  </w:num>
  <w:num w:numId="8">
    <w:abstractNumId w:val="4"/>
  </w:num>
  <w:num w:numId="9">
    <w:abstractNumId w:val="24"/>
  </w:num>
  <w:num w:numId="10">
    <w:abstractNumId w:val="7"/>
  </w:num>
  <w:num w:numId="11">
    <w:abstractNumId w:val="34"/>
  </w:num>
  <w:num w:numId="12">
    <w:abstractNumId w:val="15"/>
  </w:num>
  <w:num w:numId="13">
    <w:abstractNumId w:val="38"/>
  </w:num>
  <w:num w:numId="14">
    <w:abstractNumId w:val="3"/>
  </w:num>
  <w:num w:numId="15">
    <w:abstractNumId w:val="30"/>
  </w:num>
  <w:num w:numId="16">
    <w:abstractNumId w:val="0"/>
  </w:num>
  <w:num w:numId="17">
    <w:abstractNumId w:val="36"/>
  </w:num>
  <w:num w:numId="18">
    <w:abstractNumId w:val="8"/>
  </w:num>
  <w:num w:numId="19">
    <w:abstractNumId w:val="14"/>
  </w:num>
  <w:num w:numId="20">
    <w:abstractNumId w:val="28"/>
  </w:num>
  <w:num w:numId="21">
    <w:abstractNumId w:val="20"/>
  </w:num>
  <w:num w:numId="22">
    <w:abstractNumId w:val="1"/>
  </w:num>
  <w:num w:numId="23">
    <w:abstractNumId w:val="26"/>
  </w:num>
  <w:num w:numId="24">
    <w:abstractNumId w:val="12"/>
  </w:num>
  <w:num w:numId="25">
    <w:abstractNumId w:val="13"/>
  </w:num>
  <w:num w:numId="26">
    <w:abstractNumId w:val="16"/>
  </w:num>
  <w:num w:numId="27">
    <w:abstractNumId w:val="37"/>
  </w:num>
  <w:num w:numId="28">
    <w:abstractNumId w:val="2"/>
  </w:num>
  <w:num w:numId="29">
    <w:abstractNumId w:val="22"/>
  </w:num>
  <w:num w:numId="30">
    <w:abstractNumId w:val="25"/>
  </w:num>
  <w:num w:numId="31">
    <w:abstractNumId w:val="31"/>
  </w:num>
  <w:num w:numId="32">
    <w:abstractNumId w:val="18"/>
  </w:num>
  <w:num w:numId="33">
    <w:abstractNumId w:val="32"/>
  </w:num>
  <w:num w:numId="34">
    <w:abstractNumId w:val="23"/>
  </w:num>
  <w:num w:numId="35">
    <w:abstractNumId w:val="6"/>
  </w:num>
  <w:num w:numId="36">
    <w:abstractNumId w:val="10"/>
  </w:num>
  <w:num w:numId="37">
    <w:abstractNumId w:val="35"/>
  </w:num>
  <w:num w:numId="38">
    <w:abstractNumId w:val="1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6F6B"/>
    <w:rsid w:val="0000043E"/>
    <w:rsid w:val="00013250"/>
    <w:rsid w:val="0001560C"/>
    <w:rsid w:val="000176C5"/>
    <w:rsid w:val="00042036"/>
    <w:rsid w:val="00051AA0"/>
    <w:rsid w:val="000578E1"/>
    <w:rsid w:val="00073A42"/>
    <w:rsid w:val="000A01CD"/>
    <w:rsid w:val="000A041D"/>
    <w:rsid w:val="000B2C9D"/>
    <w:rsid w:val="000B7569"/>
    <w:rsid w:val="000C3BAA"/>
    <w:rsid w:val="000C7EF6"/>
    <w:rsid w:val="000D1183"/>
    <w:rsid w:val="000D27FB"/>
    <w:rsid w:val="000D6491"/>
    <w:rsid w:val="000D6999"/>
    <w:rsid w:val="000F1F8B"/>
    <w:rsid w:val="00104938"/>
    <w:rsid w:val="00110E3B"/>
    <w:rsid w:val="001118E8"/>
    <w:rsid w:val="00115035"/>
    <w:rsid w:val="00122665"/>
    <w:rsid w:val="00136A38"/>
    <w:rsid w:val="0014722F"/>
    <w:rsid w:val="00150B00"/>
    <w:rsid w:val="00163A66"/>
    <w:rsid w:val="00170F91"/>
    <w:rsid w:val="001813E3"/>
    <w:rsid w:val="00195C26"/>
    <w:rsid w:val="001B07FF"/>
    <w:rsid w:val="001D761A"/>
    <w:rsid w:val="001F612A"/>
    <w:rsid w:val="0020041E"/>
    <w:rsid w:val="00200525"/>
    <w:rsid w:val="0023015B"/>
    <w:rsid w:val="00236088"/>
    <w:rsid w:val="0024530C"/>
    <w:rsid w:val="002471AB"/>
    <w:rsid w:val="002520E8"/>
    <w:rsid w:val="002543CC"/>
    <w:rsid w:val="00266AB4"/>
    <w:rsid w:val="002709C5"/>
    <w:rsid w:val="00276F6B"/>
    <w:rsid w:val="00286947"/>
    <w:rsid w:val="00287D7B"/>
    <w:rsid w:val="00287D89"/>
    <w:rsid w:val="00292ABB"/>
    <w:rsid w:val="002A0C96"/>
    <w:rsid w:val="002A1172"/>
    <w:rsid w:val="002B5612"/>
    <w:rsid w:val="002F219E"/>
    <w:rsid w:val="002F4271"/>
    <w:rsid w:val="002F68D6"/>
    <w:rsid w:val="002F72BA"/>
    <w:rsid w:val="00300274"/>
    <w:rsid w:val="0030400B"/>
    <w:rsid w:val="003041F4"/>
    <w:rsid w:val="00315246"/>
    <w:rsid w:val="003175DE"/>
    <w:rsid w:val="00333275"/>
    <w:rsid w:val="003333EC"/>
    <w:rsid w:val="00333F76"/>
    <w:rsid w:val="00346910"/>
    <w:rsid w:val="00357E72"/>
    <w:rsid w:val="0036491C"/>
    <w:rsid w:val="00393DDD"/>
    <w:rsid w:val="003A6759"/>
    <w:rsid w:val="003C7BA8"/>
    <w:rsid w:val="003D2216"/>
    <w:rsid w:val="003F6C12"/>
    <w:rsid w:val="00400B54"/>
    <w:rsid w:val="004032BC"/>
    <w:rsid w:val="00410606"/>
    <w:rsid w:val="00431A0C"/>
    <w:rsid w:val="00431BC9"/>
    <w:rsid w:val="00437EAE"/>
    <w:rsid w:val="00441809"/>
    <w:rsid w:val="00443209"/>
    <w:rsid w:val="00444411"/>
    <w:rsid w:val="004563C6"/>
    <w:rsid w:val="00474C0D"/>
    <w:rsid w:val="0049661D"/>
    <w:rsid w:val="004A4D6B"/>
    <w:rsid w:val="004B04D5"/>
    <w:rsid w:val="004D1BB9"/>
    <w:rsid w:val="004D60AC"/>
    <w:rsid w:val="004E2458"/>
    <w:rsid w:val="004F5775"/>
    <w:rsid w:val="004F7EC0"/>
    <w:rsid w:val="005141C4"/>
    <w:rsid w:val="00532E39"/>
    <w:rsid w:val="0055209D"/>
    <w:rsid w:val="00561F4E"/>
    <w:rsid w:val="00564CE9"/>
    <w:rsid w:val="005A72E9"/>
    <w:rsid w:val="005B4BFE"/>
    <w:rsid w:val="005D598A"/>
    <w:rsid w:val="005E17F4"/>
    <w:rsid w:val="00604D8A"/>
    <w:rsid w:val="006108C9"/>
    <w:rsid w:val="006161D6"/>
    <w:rsid w:val="006278D3"/>
    <w:rsid w:val="00627FDA"/>
    <w:rsid w:val="0067059F"/>
    <w:rsid w:val="00676C3B"/>
    <w:rsid w:val="006B308B"/>
    <w:rsid w:val="006D653A"/>
    <w:rsid w:val="006E3EB9"/>
    <w:rsid w:val="006F06E0"/>
    <w:rsid w:val="006F34D9"/>
    <w:rsid w:val="00714834"/>
    <w:rsid w:val="0071766C"/>
    <w:rsid w:val="00717E4E"/>
    <w:rsid w:val="00724533"/>
    <w:rsid w:val="00726D12"/>
    <w:rsid w:val="007552E6"/>
    <w:rsid w:val="007649CB"/>
    <w:rsid w:val="00780D51"/>
    <w:rsid w:val="0079462C"/>
    <w:rsid w:val="007A7BA6"/>
    <w:rsid w:val="007B7083"/>
    <w:rsid w:val="007D39BE"/>
    <w:rsid w:val="007D703C"/>
    <w:rsid w:val="007F2513"/>
    <w:rsid w:val="008069F1"/>
    <w:rsid w:val="008465BF"/>
    <w:rsid w:val="0084769E"/>
    <w:rsid w:val="00851CC2"/>
    <w:rsid w:val="008554AC"/>
    <w:rsid w:val="00862208"/>
    <w:rsid w:val="008637E1"/>
    <w:rsid w:val="008644E4"/>
    <w:rsid w:val="00864E4B"/>
    <w:rsid w:val="008657BD"/>
    <w:rsid w:val="00872709"/>
    <w:rsid w:val="008770F3"/>
    <w:rsid w:val="00884128"/>
    <w:rsid w:val="00884891"/>
    <w:rsid w:val="008900E0"/>
    <w:rsid w:val="00892338"/>
    <w:rsid w:val="008C57D9"/>
    <w:rsid w:val="008C6083"/>
    <w:rsid w:val="008D0926"/>
    <w:rsid w:val="008D76B2"/>
    <w:rsid w:val="008E1916"/>
    <w:rsid w:val="008E4DCF"/>
    <w:rsid w:val="009068D0"/>
    <w:rsid w:val="00926FDF"/>
    <w:rsid w:val="00927E1B"/>
    <w:rsid w:val="0094474C"/>
    <w:rsid w:val="009511D4"/>
    <w:rsid w:val="009528D7"/>
    <w:rsid w:val="0095704B"/>
    <w:rsid w:val="009851C5"/>
    <w:rsid w:val="00993CF0"/>
    <w:rsid w:val="00994278"/>
    <w:rsid w:val="0099772F"/>
    <w:rsid w:val="009A0867"/>
    <w:rsid w:val="009A3D6E"/>
    <w:rsid w:val="009B2472"/>
    <w:rsid w:val="009B5A07"/>
    <w:rsid w:val="009C5FBF"/>
    <w:rsid w:val="009D1030"/>
    <w:rsid w:val="009D62E4"/>
    <w:rsid w:val="009E169D"/>
    <w:rsid w:val="009E43FA"/>
    <w:rsid w:val="00A00802"/>
    <w:rsid w:val="00A1560E"/>
    <w:rsid w:val="00A5323B"/>
    <w:rsid w:val="00A56794"/>
    <w:rsid w:val="00A61588"/>
    <w:rsid w:val="00A7606F"/>
    <w:rsid w:val="00A76E8B"/>
    <w:rsid w:val="00A80023"/>
    <w:rsid w:val="00A82B3B"/>
    <w:rsid w:val="00A94297"/>
    <w:rsid w:val="00A9722F"/>
    <w:rsid w:val="00AA0859"/>
    <w:rsid w:val="00AA3321"/>
    <w:rsid w:val="00AA6CDB"/>
    <w:rsid w:val="00AB0BEC"/>
    <w:rsid w:val="00AC0738"/>
    <w:rsid w:val="00AC1038"/>
    <w:rsid w:val="00AC2F01"/>
    <w:rsid w:val="00AE4F35"/>
    <w:rsid w:val="00B01E76"/>
    <w:rsid w:val="00B0396A"/>
    <w:rsid w:val="00B067D8"/>
    <w:rsid w:val="00B067F4"/>
    <w:rsid w:val="00B06D7D"/>
    <w:rsid w:val="00B13D91"/>
    <w:rsid w:val="00B33773"/>
    <w:rsid w:val="00B546C7"/>
    <w:rsid w:val="00B642D5"/>
    <w:rsid w:val="00B767D4"/>
    <w:rsid w:val="00BE6DD7"/>
    <w:rsid w:val="00BF4B59"/>
    <w:rsid w:val="00C05A8B"/>
    <w:rsid w:val="00C2328F"/>
    <w:rsid w:val="00C2795D"/>
    <w:rsid w:val="00C27D65"/>
    <w:rsid w:val="00C362F4"/>
    <w:rsid w:val="00C47E3F"/>
    <w:rsid w:val="00C54F14"/>
    <w:rsid w:val="00CB50F1"/>
    <w:rsid w:val="00CB5F0B"/>
    <w:rsid w:val="00CE01B7"/>
    <w:rsid w:val="00CF7E58"/>
    <w:rsid w:val="00D0422F"/>
    <w:rsid w:val="00D166C5"/>
    <w:rsid w:val="00D263AD"/>
    <w:rsid w:val="00D518B1"/>
    <w:rsid w:val="00D70468"/>
    <w:rsid w:val="00D97269"/>
    <w:rsid w:val="00DA02C7"/>
    <w:rsid w:val="00DA455A"/>
    <w:rsid w:val="00DA55A0"/>
    <w:rsid w:val="00DB2192"/>
    <w:rsid w:val="00DB69FF"/>
    <w:rsid w:val="00DD63B4"/>
    <w:rsid w:val="00DE436A"/>
    <w:rsid w:val="00DE6319"/>
    <w:rsid w:val="00DF778B"/>
    <w:rsid w:val="00E01626"/>
    <w:rsid w:val="00E039BD"/>
    <w:rsid w:val="00E370B7"/>
    <w:rsid w:val="00E370F7"/>
    <w:rsid w:val="00E644FC"/>
    <w:rsid w:val="00E76589"/>
    <w:rsid w:val="00E768FD"/>
    <w:rsid w:val="00E8224E"/>
    <w:rsid w:val="00EB0A84"/>
    <w:rsid w:val="00EC2607"/>
    <w:rsid w:val="00EC3172"/>
    <w:rsid w:val="00EF4869"/>
    <w:rsid w:val="00EF6595"/>
    <w:rsid w:val="00F0505A"/>
    <w:rsid w:val="00F06584"/>
    <w:rsid w:val="00F104BF"/>
    <w:rsid w:val="00F15B66"/>
    <w:rsid w:val="00F3516B"/>
    <w:rsid w:val="00F45403"/>
    <w:rsid w:val="00F46942"/>
    <w:rsid w:val="00F56DBB"/>
    <w:rsid w:val="00F5739C"/>
    <w:rsid w:val="00F70AF8"/>
    <w:rsid w:val="00F73EC1"/>
    <w:rsid w:val="00F91EEE"/>
    <w:rsid w:val="00FA7A80"/>
    <w:rsid w:val="00FC0F19"/>
    <w:rsid w:val="00FC3012"/>
    <w:rsid w:val="00FC34FA"/>
    <w:rsid w:val="00FC7C72"/>
    <w:rsid w:val="00FE27D9"/>
    <w:rsid w:val="00FE6DB1"/>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F15BB8-2731-48C2-986D-76141EBF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F6B"/>
    <w:rPr>
      <w:rFonts w:ascii="Arial" w:hAnsi="Arial"/>
      <w:sz w:val="22"/>
    </w:rPr>
  </w:style>
  <w:style w:type="paragraph" w:styleId="Heading1">
    <w:name w:val="heading 1"/>
    <w:basedOn w:val="Normal"/>
    <w:next w:val="Normal"/>
    <w:link w:val="Heading1Char"/>
    <w:qFormat/>
    <w:rsid w:val="003C7BA8"/>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2709C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6F6B"/>
    <w:pPr>
      <w:jc w:val="center"/>
    </w:pPr>
    <w:rPr>
      <w:rFonts w:ascii="Times New Roman" w:hAnsi="Times New Roman"/>
      <w:sz w:val="24"/>
      <w:lang w:val="en-GB"/>
    </w:rPr>
  </w:style>
  <w:style w:type="paragraph" w:styleId="Header">
    <w:name w:val="header"/>
    <w:basedOn w:val="Normal"/>
    <w:link w:val="HeaderChar"/>
    <w:uiPriority w:val="99"/>
    <w:rsid w:val="00276F6B"/>
    <w:pPr>
      <w:tabs>
        <w:tab w:val="center" w:pos="4320"/>
        <w:tab w:val="right" w:pos="8640"/>
      </w:tabs>
    </w:pPr>
  </w:style>
  <w:style w:type="table" w:styleId="TableGrid">
    <w:name w:val="Table Grid"/>
    <w:basedOn w:val="TableNormal"/>
    <w:rsid w:val="0027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B2C9D"/>
    <w:pPr>
      <w:tabs>
        <w:tab w:val="center" w:pos="4680"/>
        <w:tab w:val="right" w:pos="9360"/>
      </w:tabs>
    </w:pPr>
  </w:style>
  <w:style w:type="character" w:customStyle="1" w:styleId="FooterChar">
    <w:name w:val="Footer Char"/>
    <w:basedOn w:val="DefaultParagraphFont"/>
    <w:link w:val="Footer"/>
    <w:rsid w:val="000B2C9D"/>
    <w:rPr>
      <w:rFonts w:ascii="Arial" w:hAnsi="Arial"/>
      <w:sz w:val="22"/>
    </w:rPr>
  </w:style>
  <w:style w:type="character" w:customStyle="1" w:styleId="HeaderChar">
    <w:name w:val="Header Char"/>
    <w:basedOn w:val="DefaultParagraphFont"/>
    <w:link w:val="Header"/>
    <w:uiPriority w:val="99"/>
    <w:rsid w:val="000B2C9D"/>
    <w:rPr>
      <w:rFonts w:ascii="Arial" w:hAnsi="Arial"/>
      <w:sz w:val="22"/>
    </w:rPr>
  </w:style>
  <w:style w:type="paragraph" w:styleId="BalloonText">
    <w:name w:val="Balloon Text"/>
    <w:basedOn w:val="Normal"/>
    <w:link w:val="BalloonTextChar"/>
    <w:rsid w:val="000B2C9D"/>
    <w:rPr>
      <w:rFonts w:ascii="Tahoma" w:hAnsi="Tahoma" w:cs="Tahoma"/>
      <w:sz w:val="16"/>
      <w:szCs w:val="16"/>
    </w:rPr>
  </w:style>
  <w:style w:type="character" w:customStyle="1" w:styleId="BalloonTextChar">
    <w:name w:val="Balloon Text Char"/>
    <w:basedOn w:val="DefaultParagraphFont"/>
    <w:link w:val="BalloonText"/>
    <w:rsid w:val="000B2C9D"/>
    <w:rPr>
      <w:rFonts w:ascii="Tahoma" w:hAnsi="Tahoma" w:cs="Tahoma"/>
      <w:sz w:val="16"/>
      <w:szCs w:val="16"/>
    </w:rPr>
  </w:style>
  <w:style w:type="character" w:customStyle="1" w:styleId="Heading3Char">
    <w:name w:val="Heading 3 Char"/>
    <w:basedOn w:val="DefaultParagraphFont"/>
    <w:link w:val="Heading3"/>
    <w:uiPriority w:val="9"/>
    <w:rsid w:val="002709C5"/>
    <w:rPr>
      <w:b/>
      <w:bCs/>
      <w:sz w:val="27"/>
      <w:szCs w:val="27"/>
    </w:rPr>
  </w:style>
  <w:style w:type="character" w:styleId="Hyperlink">
    <w:name w:val="Hyperlink"/>
    <w:basedOn w:val="DefaultParagraphFont"/>
    <w:uiPriority w:val="99"/>
    <w:unhideWhenUsed/>
    <w:rsid w:val="002709C5"/>
    <w:rPr>
      <w:color w:val="0000FF"/>
      <w:u w:val="single"/>
    </w:rPr>
  </w:style>
  <w:style w:type="paragraph" w:styleId="NormalWeb">
    <w:name w:val="Normal (Web)"/>
    <w:basedOn w:val="Normal"/>
    <w:uiPriority w:val="99"/>
    <w:unhideWhenUsed/>
    <w:rsid w:val="002709C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709C5"/>
    <w:rPr>
      <w:b/>
      <w:bCs/>
    </w:rPr>
  </w:style>
  <w:style w:type="character" w:styleId="Emphasis">
    <w:name w:val="Emphasis"/>
    <w:basedOn w:val="DefaultParagraphFont"/>
    <w:qFormat/>
    <w:rsid w:val="003C7BA8"/>
    <w:rPr>
      <w:i/>
      <w:iCs/>
    </w:rPr>
  </w:style>
  <w:style w:type="character" w:customStyle="1" w:styleId="Heading1Char">
    <w:name w:val="Heading 1 Char"/>
    <w:basedOn w:val="DefaultParagraphFont"/>
    <w:link w:val="Heading1"/>
    <w:rsid w:val="003C7BA8"/>
    <w:rPr>
      <w:rFonts w:ascii="Cambria" w:eastAsia="Times New Roman" w:hAnsi="Cambria" w:cs="Times New Roman"/>
      <w:b/>
      <w:bCs/>
      <w:kern w:val="32"/>
      <w:sz w:val="32"/>
      <w:szCs w:val="32"/>
    </w:rPr>
  </w:style>
  <w:style w:type="paragraph" w:customStyle="1" w:styleId="Address">
    <w:name w:val="Address"/>
    <w:basedOn w:val="Normal"/>
    <w:rsid w:val="00780D51"/>
    <w:pPr>
      <w:tabs>
        <w:tab w:val="left" w:pos="413"/>
      </w:tabs>
      <w:spacing w:before="60"/>
      <w:jc w:val="both"/>
    </w:pPr>
    <w:rPr>
      <w:sz w:val="20"/>
      <w:lang w:val="en-CA"/>
    </w:rPr>
  </w:style>
  <w:style w:type="paragraph" w:styleId="ListParagraph">
    <w:name w:val="List Paragraph"/>
    <w:basedOn w:val="Normal"/>
    <w:qFormat/>
    <w:rsid w:val="009A3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890249">
      <w:bodyDiv w:val="1"/>
      <w:marLeft w:val="0"/>
      <w:marRight w:val="0"/>
      <w:marTop w:val="0"/>
      <w:marBottom w:val="0"/>
      <w:divBdr>
        <w:top w:val="none" w:sz="0" w:space="0" w:color="auto"/>
        <w:left w:val="none" w:sz="0" w:space="0" w:color="auto"/>
        <w:bottom w:val="none" w:sz="0" w:space="0" w:color="auto"/>
        <w:right w:val="none" w:sz="0" w:space="0" w:color="auto"/>
      </w:divBdr>
      <w:divsChild>
        <w:div w:id="1959874593">
          <w:marLeft w:val="0"/>
          <w:marRight w:val="0"/>
          <w:marTop w:val="0"/>
          <w:marBottom w:val="0"/>
          <w:divBdr>
            <w:top w:val="none" w:sz="0" w:space="0" w:color="auto"/>
            <w:left w:val="none" w:sz="0" w:space="0" w:color="auto"/>
            <w:bottom w:val="none" w:sz="0" w:space="0" w:color="auto"/>
            <w:right w:val="none" w:sz="0" w:space="0" w:color="auto"/>
          </w:divBdr>
          <w:divsChild>
            <w:div w:id="129711725">
              <w:marLeft w:val="0"/>
              <w:marRight w:val="0"/>
              <w:marTop w:val="0"/>
              <w:marBottom w:val="0"/>
              <w:divBdr>
                <w:top w:val="none" w:sz="0" w:space="0" w:color="auto"/>
                <w:left w:val="none" w:sz="0" w:space="0" w:color="auto"/>
                <w:bottom w:val="none" w:sz="0" w:space="0" w:color="auto"/>
                <w:right w:val="none" w:sz="0" w:space="0" w:color="auto"/>
              </w:divBdr>
              <w:divsChild>
                <w:div w:id="1370842513">
                  <w:marLeft w:val="0"/>
                  <w:marRight w:val="0"/>
                  <w:marTop w:val="0"/>
                  <w:marBottom w:val="0"/>
                  <w:divBdr>
                    <w:top w:val="none" w:sz="0" w:space="0" w:color="auto"/>
                    <w:left w:val="none" w:sz="0" w:space="0" w:color="auto"/>
                    <w:bottom w:val="none" w:sz="0" w:space="0" w:color="auto"/>
                    <w:right w:val="none" w:sz="0" w:space="0" w:color="auto"/>
                  </w:divBdr>
                  <w:divsChild>
                    <w:div w:id="2036271237">
                      <w:marLeft w:val="0"/>
                      <w:marRight w:val="0"/>
                      <w:marTop w:val="0"/>
                      <w:marBottom w:val="0"/>
                      <w:divBdr>
                        <w:top w:val="none" w:sz="0" w:space="0" w:color="auto"/>
                        <w:left w:val="none" w:sz="0" w:space="0" w:color="auto"/>
                        <w:bottom w:val="none" w:sz="0" w:space="0" w:color="auto"/>
                        <w:right w:val="none" w:sz="0" w:space="0" w:color="auto"/>
                      </w:divBdr>
                      <w:divsChild>
                        <w:div w:id="247345392">
                          <w:marLeft w:val="0"/>
                          <w:marRight w:val="0"/>
                          <w:marTop w:val="0"/>
                          <w:marBottom w:val="0"/>
                          <w:divBdr>
                            <w:top w:val="none" w:sz="0" w:space="0" w:color="auto"/>
                            <w:left w:val="none" w:sz="0" w:space="0" w:color="auto"/>
                            <w:bottom w:val="none" w:sz="0" w:space="0" w:color="auto"/>
                            <w:right w:val="none" w:sz="0" w:space="0" w:color="auto"/>
                          </w:divBdr>
                          <w:divsChild>
                            <w:div w:id="1050762550">
                              <w:marLeft w:val="0"/>
                              <w:marRight w:val="0"/>
                              <w:marTop w:val="0"/>
                              <w:marBottom w:val="0"/>
                              <w:divBdr>
                                <w:top w:val="none" w:sz="0" w:space="0" w:color="auto"/>
                                <w:left w:val="none" w:sz="0" w:space="0" w:color="auto"/>
                                <w:bottom w:val="none" w:sz="0" w:space="0" w:color="auto"/>
                                <w:right w:val="none" w:sz="0" w:space="0" w:color="auto"/>
                              </w:divBdr>
                              <w:divsChild>
                                <w:div w:id="1417820452">
                                  <w:marLeft w:val="0"/>
                                  <w:marRight w:val="0"/>
                                  <w:marTop w:val="0"/>
                                  <w:marBottom w:val="0"/>
                                  <w:divBdr>
                                    <w:top w:val="none" w:sz="0" w:space="0" w:color="auto"/>
                                    <w:left w:val="none" w:sz="0" w:space="0" w:color="auto"/>
                                    <w:bottom w:val="none" w:sz="0" w:space="0" w:color="auto"/>
                                    <w:right w:val="none" w:sz="0" w:space="0" w:color="auto"/>
                                  </w:divBdr>
                                  <w:divsChild>
                                    <w:div w:id="1439713534">
                                      <w:marLeft w:val="0"/>
                                      <w:marRight w:val="0"/>
                                      <w:marTop w:val="0"/>
                                      <w:marBottom w:val="0"/>
                                      <w:divBdr>
                                        <w:top w:val="none" w:sz="0" w:space="0" w:color="auto"/>
                                        <w:left w:val="none" w:sz="0" w:space="0" w:color="auto"/>
                                        <w:bottom w:val="none" w:sz="0" w:space="0" w:color="auto"/>
                                        <w:right w:val="none" w:sz="0" w:space="0" w:color="auto"/>
                                      </w:divBdr>
                                      <w:divsChild>
                                        <w:div w:id="17232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044372">
      <w:bodyDiv w:val="1"/>
      <w:marLeft w:val="0"/>
      <w:marRight w:val="0"/>
      <w:marTop w:val="0"/>
      <w:marBottom w:val="0"/>
      <w:divBdr>
        <w:top w:val="none" w:sz="0" w:space="0" w:color="auto"/>
        <w:left w:val="none" w:sz="0" w:space="0" w:color="auto"/>
        <w:bottom w:val="none" w:sz="0" w:space="0" w:color="auto"/>
        <w:right w:val="none" w:sz="0" w:space="0" w:color="auto"/>
      </w:divBdr>
      <w:divsChild>
        <w:div w:id="161706053">
          <w:marLeft w:val="0"/>
          <w:marRight w:val="0"/>
          <w:marTop w:val="0"/>
          <w:marBottom w:val="0"/>
          <w:divBdr>
            <w:top w:val="none" w:sz="0" w:space="0" w:color="auto"/>
            <w:left w:val="none" w:sz="0" w:space="0" w:color="auto"/>
            <w:bottom w:val="none" w:sz="0" w:space="0" w:color="auto"/>
            <w:right w:val="none" w:sz="0" w:space="0" w:color="auto"/>
          </w:divBdr>
          <w:divsChild>
            <w:div w:id="227500089">
              <w:marLeft w:val="0"/>
              <w:marRight w:val="0"/>
              <w:marTop w:val="0"/>
              <w:marBottom w:val="0"/>
              <w:divBdr>
                <w:top w:val="none" w:sz="0" w:space="0" w:color="auto"/>
                <w:left w:val="none" w:sz="0" w:space="0" w:color="auto"/>
                <w:bottom w:val="none" w:sz="0" w:space="0" w:color="auto"/>
                <w:right w:val="none" w:sz="0" w:space="0" w:color="auto"/>
              </w:divBdr>
              <w:divsChild>
                <w:div w:id="8997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20">
      <w:bodyDiv w:val="1"/>
      <w:marLeft w:val="0"/>
      <w:marRight w:val="0"/>
      <w:marTop w:val="0"/>
      <w:marBottom w:val="0"/>
      <w:divBdr>
        <w:top w:val="none" w:sz="0" w:space="0" w:color="auto"/>
        <w:left w:val="none" w:sz="0" w:space="0" w:color="auto"/>
        <w:bottom w:val="none" w:sz="0" w:space="0" w:color="auto"/>
        <w:right w:val="none" w:sz="0" w:space="0" w:color="auto"/>
      </w:divBdr>
      <w:divsChild>
        <w:div w:id="1119643174">
          <w:marLeft w:val="0"/>
          <w:marRight w:val="0"/>
          <w:marTop w:val="0"/>
          <w:marBottom w:val="0"/>
          <w:divBdr>
            <w:top w:val="none" w:sz="0" w:space="0" w:color="auto"/>
            <w:left w:val="none" w:sz="0" w:space="0" w:color="auto"/>
            <w:bottom w:val="none" w:sz="0" w:space="0" w:color="auto"/>
            <w:right w:val="none" w:sz="0" w:space="0" w:color="auto"/>
          </w:divBdr>
          <w:divsChild>
            <w:div w:id="1202748727">
              <w:marLeft w:val="0"/>
              <w:marRight w:val="0"/>
              <w:marTop w:val="0"/>
              <w:marBottom w:val="0"/>
              <w:divBdr>
                <w:top w:val="none" w:sz="0" w:space="0" w:color="auto"/>
                <w:left w:val="none" w:sz="0" w:space="0" w:color="auto"/>
                <w:bottom w:val="none" w:sz="0" w:space="0" w:color="auto"/>
                <w:right w:val="none" w:sz="0" w:space="0" w:color="auto"/>
              </w:divBdr>
              <w:divsChild>
                <w:div w:id="1389646011">
                  <w:marLeft w:val="0"/>
                  <w:marRight w:val="0"/>
                  <w:marTop w:val="0"/>
                  <w:marBottom w:val="0"/>
                  <w:divBdr>
                    <w:top w:val="none" w:sz="0" w:space="0" w:color="auto"/>
                    <w:left w:val="none" w:sz="0" w:space="0" w:color="auto"/>
                    <w:bottom w:val="none" w:sz="0" w:space="0" w:color="auto"/>
                    <w:right w:val="none" w:sz="0" w:space="0" w:color="auto"/>
                  </w:divBdr>
                  <w:divsChild>
                    <w:div w:id="1049645814">
                      <w:marLeft w:val="0"/>
                      <w:marRight w:val="0"/>
                      <w:marTop w:val="0"/>
                      <w:marBottom w:val="0"/>
                      <w:divBdr>
                        <w:top w:val="none" w:sz="0" w:space="0" w:color="auto"/>
                        <w:left w:val="none" w:sz="0" w:space="0" w:color="auto"/>
                        <w:bottom w:val="none" w:sz="0" w:space="0" w:color="auto"/>
                        <w:right w:val="none" w:sz="0" w:space="0" w:color="auto"/>
                      </w:divBdr>
                      <w:divsChild>
                        <w:div w:id="9225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10025">
      <w:bodyDiv w:val="1"/>
      <w:marLeft w:val="0"/>
      <w:marRight w:val="0"/>
      <w:marTop w:val="0"/>
      <w:marBottom w:val="0"/>
      <w:divBdr>
        <w:top w:val="none" w:sz="0" w:space="0" w:color="auto"/>
        <w:left w:val="none" w:sz="0" w:space="0" w:color="auto"/>
        <w:bottom w:val="none" w:sz="0" w:space="0" w:color="auto"/>
        <w:right w:val="none" w:sz="0" w:space="0" w:color="auto"/>
      </w:divBdr>
      <w:divsChild>
        <w:div w:id="494151018">
          <w:marLeft w:val="0"/>
          <w:marRight w:val="0"/>
          <w:marTop w:val="0"/>
          <w:marBottom w:val="0"/>
          <w:divBdr>
            <w:top w:val="none" w:sz="0" w:space="0" w:color="auto"/>
            <w:left w:val="none" w:sz="0" w:space="0" w:color="auto"/>
            <w:bottom w:val="none" w:sz="0" w:space="0" w:color="auto"/>
            <w:right w:val="none" w:sz="0" w:space="0" w:color="auto"/>
          </w:divBdr>
          <w:divsChild>
            <w:div w:id="2078435009">
              <w:marLeft w:val="0"/>
              <w:marRight w:val="0"/>
              <w:marTop w:val="0"/>
              <w:marBottom w:val="0"/>
              <w:divBdr>
                <w:top w:val="none" w:sz="0" w:space="0" w:color="auto"/>
                <w:left w:val="none" w:sz="0" w:space="0" w:color="auto"/>
                <w:bottom w:val="none" w:sz="0" w:space="0" w:color="auto"/>
                <w:right w:val="none" w:sz="0" w:space="0" w:color="auto"/>
              </w:divBdr>
              <w:divsChild>
                <w:div w:id="1782143299">
                  <w:marLeft w:val="0"/>
                  <w:marRight w:val="0"/>
                  <w:marTop w:val="0"/>
                  <w:marBottom w:val="0"/>
                  <w:divBdr>
                    <w:top w:val="none" w:sz="0" w:space="0" w:color="auto"/>
                    <w:left w:val="none" w:sz="0" w:space="0" w:color="auto"/>
                    <w:bottom w:val="none" w:sz="0" w:space="0" w:color="auto"/>
                    <w:right w:val="none" w:sz="0" w:space="0" w:color="auto"/>
                  </w:divBdr>
                  <w:divsChild>
                    <w:div w:id="14045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emingc.on.ca/index.cfm/go/service/sub/admissions_mature.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cutg.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AE9AB-B848-4689-A5A1-3914F695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ED921C0B</Template>
  <TotalTime>7</TotalTime>
  <Pages>31</Pages>
  <Words>9241</Words>
  <Characters>52674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Template for Program Review</vt:lpstr>
    </vt:vector>
  </TitlesOfParts>
  <Company>Sir Sandford Fleming College</Company>
  <LinksUpToDate>false</LinksUpToDate>
  <CharactersWithSpaces>61792</CharactersWithSpaces>
  <SharedDoc>false</SharedDoc>
  <HLinks>
    <vt:vector size="18" baseType="variant">
      <vt:variant>
        <vt:i4>7733348</vt:i4>
      </vt:variant>
      <vt:variant>
        <vt:i4>12</vt:i4>
      </vt:variant>
      <vt:variant>
        <vt:i4>0</vt:i4>
      </vt:variant>
      <vt:variant>
        <vt:i4>5</vt:i4>
      </vt:variant>
      <vt:variant>
        <vt:lpwstr>http://www.ocutg.on.ca/</vt:lpwstr>
      </vt:variant>
      <vt:variant>
        <vt:lpwstr/>
      </vt:variant>
      <vt:variant>
        <vt:i4>7536683</vt:i4>
      </vt:variant>
      <vt:variant>
        <vt:i4>6</vt:i4>
      </vt:variant>
      <vt:variant>
        <vt:i4>0</vt:i4>
      </vt:variant>
      <vt:variant>
        <vt:i4>5</vt:i4>
      </vt:variant>
      <vt:variant>
        <vt:lpwstr>http://www.uwindsor.ca/</vt:lpwstr>
      </vt:variant>
      <vt:variant>
        <vt:lpwstr/>
      </vt:variant>
      <vt:variant>
        <vt:i4>7143435</vt:i4>
      </vt:variant>
      <vt:variant>
        <vt:i4>3</vt:i4>
      </vt:variant>
      <vt:variant>
        <vt:i4>0</vt:i4>
      </vt:variant>
      <vt:variant>
        <vt:i4>5</vt:i4>
      </vt:variant>
      <vt:variant>
        <vt:lpwstr>http://www.flemingc.on.ca/index.cfm/go/service/sub/admissions_mature.cfm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Program Review</dc:title>
  <dc:creator>ITS</dc:creator>
  <cp:lastModifiedBy>Tracey Bell</cp:lastModifiedBy>
  <cp:revision>3</cp:revision>
  <cp:lastPrinted>2011-12-05T17:22:00Z</cp:lastPrinted>
  <dcterms:created xsi:type="dcterms:W3CDTF">2011-12-16T14:18:00Z</dcterms:created>
  <dcterms:modified xsi:type="dcterms:W3CDTF">2016-07-13T19:39:00Z</dcterms:modified>
</cp:coreProperties>
</file>