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Default="00373D5B" w:rsidP="00373D5B">
      <w:pPr>
        <w:tabs>
          <w:tab w:val="center" w:pos="4680"/>
        </w:tabs>
        <w:jc w:val="right"/>
        <w:rPr>
          <w:rFonts w:cs="Arial"/>
          <w:b/>
          <w:smallCaps/>
        </w:rPr>
      </w:pPr>
      <w:r>
        <w:rPr>
          <w:noProof/>
          <w:lang w:eastAsia="en-CA"/>
        </w:rPr>
        <w:drawing>
          <wp:inline distT="0" distB="0" distL="0" distR="0">
            <wp:extent cx="1723893" cy="752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1723893"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E77894" w:rsidRPr="00E77894" w:rsidRDefault="00E77894" w:rsidP="000D2749">
      <w:pPr>
        <w:tabs>
          <w:tab w:val="center" w:pos="4680"/>
        </w:tabs>
        <w:jc w:val="center"/>
        <w:rPr>
          <w:rFonts w:cs="Arial"/>
          <w:b/>
          <w:i/>
          <w:smallCaps/>
        </w:rPr>
      </w:pPr>
      <w:r w:rsidRPr="00E77894">
        <w:rPr>
          <w:rFonts w:cs="Arial"/>
          <w:b/>
          <w:i/>
          <w:smallCaps/>
        </w:rPr>
        <w:t>STRICTLY CONFIDENTIAL</w:t>
      </w:r>
    </w:p>
    <w:p w:rsidR="00E77894" w:rsidRPr="00E77894" w:rsidRDefault="00E77894" w:rsidP="000D2749">
      <w:pPr>
        <w:tabs>
          <w:tab w:val="center" w:pos="4680"/>
        </w:tabs>
        <w:jc w:val="center"/>
        <w:rPr>
          <w:rFonts w:cs="Arial"/>
          <w:b/>
          <w:i/>
          <w:smallCaps/>
        </w:rPr>
      </w:pPr>
    </w:p>
    <w:p w:rsidR="00233A93" w:rsidRDefault="00233A93" w:rsidP="000D2749">
      <w:pPr>
        <w:tabs>
          <w:tab w:val="center" w:pos="4680"/>
        </w:tabs>
        <w:jc w:val="center"/>
        <w:rPr>
          <w:rFonts w:cs="Arial"/>
          <w:b/>
          <w:smallCaps/>
        </w:rPr>
      </w:pPr>
      <w:r>
        <w:rPr>
          <w:rFonts w:cs="Arial"/>
          <w:b/>
          <w:smallCaps/>
        </w:rPr>
        <w:t xml:space="preserve">APDC/ASA EXECUTIVE SUMMARY TEMPLATE </w:t>
      </w:r>
    </w:p>
    <w:p w:rsidR="000D2749" w:rsidRDefault="00233A93" w:rsidP="000D2749">
      <w:pPr>
        <w:tabs>
          <w:tab w:val="center" w:pos="4680"/>
        </w:tabs>
        <w:jc w:val="center"/>
        <w:rPr>
          <w:rFonts w:cs="Arial"/>
          <w:b/>
          <w:smallCaps/>
        </w:rPr>
      </w:pPr>
      <w:r>
        <w:rPr>
          <w:rFonts w:cs="Arial"/>
          <w:b/>
          <w:smallCaps/>
        </w:rPr>
        <w:t>FOR PROGRAM REVIEW</w:t>
      </w:r>
    </w:p>
    <w:p w:rsidR="007D13E5" w:rsidRDefault="007D13E5" w:rsidP="000D2749">
      <w:pPr>
        <w:tabs>
          <w:tab w:val="center" w:pos="4680"/>
        </w:tabs>
        <w:jc w:val="center"/>
        <w:rPr>
          <w:rFonts w:cs="Arial"/>
          <w:b/>
          <w:smallCaps/>
        </w:rPr>
      </w:pPr>
    </w:p>
    <w:p w:rsidR="001019C8" w:rsidRPr="000A77EA" w:rsidRDefault="001019C8" w:rsidP="000D2749">
      <w:pPr>
        <w:tabs>
          <w:tab w:val="center" w:pos="4680"/>
        </w:tabs>
        <w:rPr>
          <w:rFonts w:cs="Arial"/>
          <w:sz w:val="16"/>
          <w:szCs w:val="16"/>
        </w:rPr>
      </w:pPr>
    </w:p>
    <w:tbl>
      <w:tblPr>
        <w:tblStyle w:val="TableGrid"/>
        <w:tblW w:w="0" w:type="auto"/>
        <w:tblLook w:val="01E0" w:firstRow="1" w:lastRow="1" w:firstColumn="1" w:lastColumn="1" w:noHBand="0" w:noVBand="0"/>
      </w:tblPr>
      <w:tblGrid>
        <w:gridCol w:w="1700"/>
        <w:gridCol w:w="5679"/>
        <w:gridCol w:w="2197"/>
      </w:tblGrid>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Subject:</w:t>
            </w:r>
          </w:p>
        </w:tc>
        <w:tc>
          <w:tcPr>
            <w:tcW w:w="6030" w:type="dxa"/>
          </w:tcPr>
          <w:p w:rsidR="000D2749" w:rsidRPr="004763F3" w:rsidRDefault="00684CF9" w:rsidP="00233A93">
            <w:pPr>
              <w:tabs>
                <w:tab w:val="center" w:pos="4680"/>
              </w:tabs>
              <w:rPr>
                <w:rFonts w:cs="Arial"/>
                <w:b/>
                <w:sz w:val="22"/>
                <w:szCs w:val="22"/>
              </w:rPr>
            </w:pPr>
            <w:r>
              <w:rPr>
                <w:rFonts w:cs="Arial"/>
                <w:b/>
                <w:sz w:val="22"/>
                <w:szCs w:val="22"/>
              </w:rPr>
              <w:t xml:space="preserve">School of </w:t>
            </w:r>
            <w:r w:rsidR="0039338A" w:rsidRPr="0039338A">
              <w:rPr>
                <w:rFonts w:cs="Arial"/>
                <w:b/>
                <w:sz w:val="22"/>
                <w:szCs w:val="22"/>
              </w:rPr>
              <w:t>Justice and Business Studies</w:t>
            </w:r>
            <w:r w:rsidR="00233A93" w:rsidRPr="004763F3">
              <w:rPr>
                <w:rFonts w:cs="Arial"/>
                <w:sz w:val="22"/>
                <w:szCs w:val="22"/>
              </w:rPr>
              <w:t xml:space="preserve"> </w:t>
            </w:r>
            <w:r w:rsidR="000D2749" w:rsidRPr="004763F3">
              <w:rPr>
                <w:rFonts w:cs="Arial"/>
                <w:b/>
                <w:sz w:val="22"/>
                <w:szCs w:val="22"/>
              </w:rPr>
              <w:t xml:space="preserve">Program Review Report </w:t>
            </w:r>
          </w:p>
          <w:p w:rsidR="00233A93" w:rsidRPr="004763F3" w:rsidRDefault="00233A93" w:rsidP="00233A93">
            <w:pPr>
              <w:tabs>
                <w:tab w:val="center" w:pos="4680"/>
              </w:tabs>
              <w:rPr>
                <w:rFonts w:cs="Arial"/>
                <w:b/>
                <w:smallCaps/>
                <w:sz w:val="22"/>
                <w:szCs w:val="22"/>
              </w:rPr>
            </w:pPr>
          </w:p>
        </w:tc>
        <w:tc>
          <w:tcPr>
            <w:tcW w:w="2351" w:type="dxa"/>
          </w:tcPr>
          <w:p w:rsidR="000D2749" w:rsidRPr="004763F3" w:rsidRDefault="00233A93" w:rsidP="00233A93">
            <w:pPr>
              <w:tabs>
                <w:tab w:val="center" w:pos="4680"/>
              </w:tabs>
              <w:rPr>
                <w:rFonts w:cs="Arial"/>
                <w:b/>
                <w:smallCaps/>
                <w:sz w:val="22"/>
                <w:szCs w:val="22"/>
              </w:rPr>
            </w:pPr>
            <w:r w:rsidRPr="004763F3">
              <w:rPr>
                <w:rFonts w:cs="Arial"/>
                <w:b/>
                <w:smallCaps/>
                <w:sz w:val="22"/>
                <w:szCs w:val="22"/>
              </w:rPr>
              <w:t xml:space="preserve"> </w:t>
            </w:r>
          </w:p>
        </w:tc>
      </w:tr>
      <w:tr w:rsidR="009D0341" w:rsidTr="00233A93">
        <w:tc>
          <w:tcPr>
            <w:tcW w:w="1728" w:type="dxa"/>
          </w:tcPr>
          <w:p w:rsidR="009D0341" w:rsidRDefault="009D0341" w:rsidP="00233A93">
            <w:pPr>
              <w:tabs>
                <w:tab w:val="center" w:pos="4680"/>
              </w:tabs>
              <w:rPr>
                <w:rFonts w:cs="Arial"/>
                <w:b/>
                <w:smallCaps/>
                <w:sz w:val="22"/>
                <w:szCs w:val="22"/>
              </w:rPr>
            </w:pPr>
            <w:r>
              <w:rPr>
                <w:rFonts w:cs="Arial"/>
                <w:b/>
                <w:smallCaps/>
                <w:sz w:val="22"/>
                <w:szCs w:val="22"/>
              </w:rPr>
              <w:t xml:space="preserve">Program </w:t>
            </w:r>
          </w:p>
        </w:tc>
        <w:tc>
          <w:tcPr>
            <w:tcW w:w="8381" w:type="dxa"/>
            <w:gridSpan w:val="2"/>
          </w:tcPr>
          <w:p w:rsidR="009D0341" w:rsidRPr="004763F3" w:rsidRDefault="0039338A" w:rsidP="00233A93">
            <w:pPr>
              <w:tabs>
                <w:tab w:val="center" w:pos="4680"/>
              </w:tabs>
              <w:rPr>
                <w:rFonts w:cs="Arial"/>
                <w:b/>
                <w:sz w:val="22"/>
                <w:szCs w:val="22"/>
              </w:rPr>
            </w:pPr>
            <w:r>
              <w:rPr>
                <w:rFonts w:cs="Arial"/>
                <w:b/>
                <w:sz w:val="22"/>
                <w:szCs w:val="22"/>
              </w:rPr>
              <w:t>Sporting Goods Business</w:t>
            </w:r>
          </w:p>
          <w:p w:rsidR="004763F3" w:rsidRPr="004763F3" w:rsidRDefault="004763F3" w:rsidP="00233A93">
            <w:pPr>
              <w:tabs>
                <w:tab w:val="center" w:pos="4680"/>
              </w:tabs>
              <w:rPr>
                <w:rFonts w:cs="Arial"/>
                <w:b/>
                <w:sz w:val="22"/>
                <w:szCs w:val="22"/>
              </w:rPr>
            </w:pP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8381" w:type="dxa"/>
            <w:gridSpan w:val="2"/>
          </w:tcPr>
          <w:p w:rsidR="000D2749" w:rsidRPr="0039338A" w:rsidRDefault="0039338A" w:rsidP="00233A93">
            <w:pPr>
              <w:tabs>
                <w:tab w:val="center" w:pos="4680"/>
              </w:tabs>
              <w:rPr>
                <w:rFonts w:cs="Arial"/>
                <w:b/>
                <w:sz w:val="22"/>
                <w:szCs w:val="22"/>
              </w:rPr>
            </w:pPr>
            <w:r w:rsidRPr="0039338A">
              <w:rPr>
                <w:rFonts w:cs="Arial"/>
                <w:b/>
                <w:sz w:val="22"/>
                <w:szCs w:val="22"/>
              </w:rPr>
              <w:t>Jim Drennan</w:t>
            </w:r>
          </w:p>
        </w:tc>
      </w:tr>
      <w:tr w:rsidR="000D2749" w:rsidTr="00233A93">
        <w:tc>
          <w:tcPr>
            <w:tcW w:w="1728"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8381" w:type="dxa"/>
            <w:gridSpan w:val="2"/>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AC1455" w:rsidRDefault="00AC1455" w:rsidP="000D2749">
      <w:pPr>
        <w:tabs>
          <w:tab w:val="left" w:pos="-1440"/>
        </w:tabs>
        <w:rPr>
          <w:rFonts w:cs="Arial"/>
          <w:sz w:val="22"/>
          <w:szCs w:val="22"/>
        </w:rPr>
      </w:pPr>
    </w:p>
    <w:p w:rsidR="000D2749" w:rsidRPr="007861A9" w:rsidRDefault="000D2749" w:rsidP="003134E9">
      <w:pPr>
        <w:shd w:val="clear" w:color="auto" w:fill="A6A6A6" w:themeFill="background1" w:themeFillShade="A6"/>
        <w:tabs>
          <w:tab w:val="left" w:pos="-1440"/>
        </w:tabs>
        <w:rPr>
          <w:rFonts w:cs="Arial"/>
          <w:b/>
          <w:sz w:val="22"/>
          <w:szCs w:val="22"/>
        </w:rPr>
      </w:pPr>
      <w:r w:rsidRPr="007861A9">
        <w:rPr>
          <w:rFonts w:cs="Arial"/>
          <w:b/>
          <w:sz w:val="22"/>
          <w:szCs w:val="22"/>
        </w:rPr>
        <w:t>SOURCE</w:t>
      </w:r>
    </w:p>
    <w:p w:rsidR="00AC1455" w:rsidRDefault="00AC1455" w:rsidP="000D2749">
      <w:pPr>
        <w:tabs>
          <w:tab w:val="left" w:pos="-1440"/>
          <w:tab w:val="left" w:pos="180"/>
        </w:tabs>
        <w:rPr>
          <w:rFonts w:cs="Arial"/>
          <w:sz w:val="22"/>
          <w:szCs w:val="22"/>
        </w:rPr>
      </w:pP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AC1455" w:rsidRDefault="00AC1455" w:rsidP="000D2749">
      <w:pPr>
        <w:tabs>
          <w:tab w:val="left" w:pos="-1440"/>
        </w:tabs>
        <w:rPr>
          <w:rFonts w:cs="Arial"/>
          <w:sz w:val="22"/>
          <w:szCs w:val="22"/>
        </w:rPr>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PROGRAM STRENGTHS</w:t>
      </w:r>
    </w:p>
    <w:p w:rsidR="00CC0B27" w:rsidRDefault="00CC0B27" w:rsidP="00CC0B27">
      <w:pPr>
        <w:tabs>
          <w:tab w:val="left" w:pos="-1440"/>
        </w:tabs>
        <w:rPr>
          <w:rFonts w:cs="Arial"/>
          <w:sz w:val="22"/>
          <w:szCs w:val="22"/>
        </w:rPr>
      </w:pPr>
    </w:p>
    <w:p w:rsidR="005A5185" w:rsidRPr="003F42F2" w:rsidRDefault="003F42F2" w:rsidP="00A86FEC">
      <w:pPr>
        <w:tabs>
          <w:tab w:val="left" w:pos="-1440"/>
        </w:tabs>
        <w:rPr>
          <w:rFonts w:cs="Arial"/>
          <w:sz w:val="22"/>
          <w:szCs w:val="22"/>
        </w:rPr>
      </w:pPr>
      <w:r>
        <w:rPr>
          <w:rFonts w:cs="Arial"/>
          <w:sz w:val="22"/>
          <w:szCs w:val="22"/>
        </w:rPr>
        <w:t xml:space="preserve">As the only program in the </w:t>
      </w:r>
      <w:r w:rsidRPr="003F42F2">
        <w:rPr>
          <w:rFonts w:cs="Arial"/>
          <w:sz w:val="22"/>
          <w:szCs w:val="22"/>
        </w:rPr>
        <w:t>province devoted to delivering college-level applied learning in the sports equipment industry</w:t>
      </w:r>
      <w:r>
        <w:rPr>
          <w:rFonts w:cs="Arial"/>
          <w:sz w:val="22"/>
          <w:szCs w:val="22"/>
        </w:rPr>
        <w:t>, Fleming’s</w:t>
      </w:r>
      <w:r w:rsidRPr="003F42F2">
        <w:rPr>
          <w:rFonts w:cs="Arial"/>
          <w:sz w:val="22"/>
          <w:szCs w:val="22"/>
        </w:rPr>
        <w:t xml:space="preserve"> </w:t>
      </w:r>
      <w:r w:rsidR="006B07A1" w:rsidRPr="003F42F2">
        <w:rPr>
          <w:rFonts w:cs="Arial"/>
          <w:sz w:val="22"/>
          <w:szCs w:val="22"/>
        </w:rPr>
        <w:t>Sporting Goods Business</w:t>
      </w:r>
      <w:r w:rsidR="00A86FEC" w:rsidRPr="003F42F2">
        <w:rPr>
          <w:rFonts w:cs="Arial"/>
          <w:sz w:val="22"/>
          <w:szCs w:val="22"/>
        </w:rPr>
        <w:t xml:space="preserve"> </w:t>
      </w:r>
      <w:r>
        <w:rPr>
          <w:rFonts w:cs="Arial"/>
          <w:sz w:val="22"/>
          <w:szCs w:val="22"/>
        </w:rPr>
        <w:t xml:space="preserve">diploma is unique in the college </w:t>
      </w:r>
      <w:r w:rsidR="005A5185" w:rsidRPr="003F42F2">
        <w:rPr>
          <w:rFonts w:cs="Arial"/>
          <w:sz w:val="22"/>
          <w:szCs w:val="22"/>
        </w:rPr>
        <w:t>system</w:t>
      </w:r>
      <w:r w:rsidR="00A86FEC" w:rsidRPr="003F42F2">
        <w:rPr>
          <w:rFonts w:cs="Arial"/>
          <w:sz w:val="22"/>
          <w:szCs w:val="22"/>
        </w:rPr>
        <w:t xml:space="preserve">. As such, it attracts students who are focussed, motivated, and engaged. </w:t>
      </w:r>
    </w:p>
    <w:p w:rsidR="005A5185" w:rsidRPr="003F42F2" w:rsidRDefault="005A5185" w:rsidP="00A86FEC">
      <w:pPr>
        <w:tabs>
          <w:tab w:val="left" w:pos="-1440"/>
        </w:tabs>
        <w:rPr>
          <w:rFonts w:cs="Arial"/>
          <w:sz w:val="22"/>
          <w:szCs w:val="22"/>
        </w:rPr>
      </w:pPr>
    </w:p>
    <w:p w:rsidR="005A5185" w:rsidRPr="003F42F2" w:rsidRDefault="003F42F2" w:rsidP="00A86FEC">
      <w:pPr>
        <w:tabs>
          <w:tab w:val="left" w:pos="-1440"/>
        </w:tabs>
        <w:rPr>
          <w:rFonts w:cs="Arial"/>
          <w:sz w:val="22"/>
          <w:szCs w:val="22"/>
        </w:rPr>
      </w:pPr>
      <w:r>
        <w:rPr>
          <w:rFonts w:cs="Arial"/>
          <w:sz w:val="22"/>
          <w:szCs w:val="22"/>
        </w:rPr>
        <w:t xml:space="preserve">Though related, the </w:t>
      </w:r>
      <w:r w:rsidR="005A5185" w:rsidRPr="003F42F2">
        <w:rPr>
          <w:rFonts w:cs="Arial"/>
          <w:sz w:val="22"/>
          <w:szCs w:val="22"/>
        </w:rPr>
        <w:t>Sports</w:t>
      </w:r>
      <w:r w:rsidR="00D12834" w:rsidRPr="003F42F2">
        <w:rPr>
          <w:rFonts w:cs="Arial"/>
          <w:sz w:val="22"/>
          <w:szCs w:val="22"/>
        </w:rPr>
        <w:t xml:space="preserve"> Business Management, Marketing, and</w:t>
      </w:r>
      <w:r w:rsidR="005A5185" w:rsidRPr="003F42F2">
        <w:rPr>
          <w:rFonts w:cs="Arial"/>
          <w:sz w:val="22"/>
          <w:szCs w:val="22"/>
        </w:rPr>
        <w:t xml:space="preserve"> Administration programs</w:t>
      </w:r>
      <w:r w:rsidR="00D12834" w:rsidRPr="003F42F2">
        <w:rPr>
          <w:rFonts w:cs="Arial"/>
          <w:sz w:val="22"/>
          <w:szCs w:val="22"/>
        </w:rPr>
        <w:t xml:space="preserve"> at Seneca, Humber, Algonquin, Durham, Niagara and St. Clair Colleges do not offer </w:t>
      </w:r>
      <w:r>
        <w:rPr>
          <w:rFonts w:cs="Arial"/>
          <w:sz w:val="22"/>
          <w:szCs w:val="22"/>
        </w:rPr>
        <w:t xml:space="preserve">the same industry specific curriculum and applied </w:t>
      </w:r>
      <w:r w:rsidR="00D12834" w:rsidRPr="003F42F2">
        <w:rPr>
          <w:rFonts w:cs="Arial"/>
          <w:sz w:val="22"/>
          <w:szCs w:val="22"/>
        </w:rPr>
        <w:t xml:space="preserve">education as the Sporting Goods Business program at Fleming College. </w:t>
      </w:r>
    </w:p>
    <w:p w:rsidR="00D12834" w:rsidRPr="003F42F2" w:rsidRDefault="00D12834" w:rsidP="00A86FEC">
      <w:pPr>
        <w:tabs>
          <w:tab w:val="left" w:pos="-1440"/>
        </w:tabs>
        <w:rPr>
          <w:rFonts w:cs="Arial"/>
          <w:sz w:val="22"/>
          <w:szCs w:val="22"/>
        </w:rPr>
      </w:pPr>
    </w:p>
    <w:p w:rsidR="003F42F2" w:rsidRPr="003F42F2" w:rsidRDefault="00A86FEC" w:rsidP="003F42F2">
      <w:pPr>
        <w:tabs>
          <w:tab w:val="left" w:pos="-1440"/>
        </w:tabs>
        <w:rPr>
          <w:rFonts w:cs="Arial"/>
          <w:sz w:val="22"/>
          <w:szCs w:val="22"/>
        </w:rPr>
      </w:pPr>
      <w:r w:rsidRPr="003F42F2">
        <w:rPr>
          <w:rFonts w:cs="Arial"/>
          <w:sz w:val="22"/>
          <w:szCs w:val="22"/>
        </w:rPr>
        <w:t xml:space="preserve">The program is very well respected and our graduates are highly sought after across the country and internationally. At present, we have former graduates employed at </w:t>
      </w:r>
      <w:r w:rsidR="006B07A1" w:rsidRPr="003F42F2">
        <w:rPr>
          <w:rFonts w:cs="Arial"/>
          <w:sz w:val="22"/>
          <w:szCs w:val="22"/>
        </w:rPr>
        <w:t xml:space="preserve">NIKE Canada, </w:t>
      </w:r>
      <w:proofErr w:type="spellStart"/>
      <w:r w:rsidR="006B07A1" w:rsidRPr="003F42F2">
        <w:rPr>
          <w:rFonts w:cs="Arial"/>
          <w:sz w:val="22"/>
          <w:szCs w:val="22"/>
        </w:rPr>
        <w:t>adidas</w:t>
      </w:r>
      <w:proofErr w:type="spellEnd"/>
      <w:r w:rsidR="0086532E" w:rsidRPr="003F42F2">
        <w:rPr>
          <w:rFonts w:cs="Arial"/>
          <w:sz w:val="22"/>
          <w:szCs w:val="22"/>
        </w:rPr>
        <w:t xml:space="preserve"> Canada, </w:t>
      </w:r>
      <w:proofErr w:type="spellStart"/>
      <w:r w:rsidR="006B07A1" w:rsidRPr="003F42F2">
        <w:rPr>
          <w:rFonts w:cs="Arial"/>
          <w:sz w:val="22"/>
          <w:szCs w:val="22"/>
        </w:rPr>
        <w:t>Trimark</w:t>
      </w:r>
      <w:proofErr w:type="spellEnd"/>
      <w:r w:rsidR="006B07A1" w:rsidRPr="003F42F2">
        <w:rPr>
          <w:rFonts w:cs="Arial"/>
          <w:sz w:val="22"/>
          <w:szCs w:val="22"/>
        </w:rPr>
        <w:t xml:space="preserve"> Sportswear, Easton-Bell Sports, Athletic Knit, Reebok CCM, Maple Leaf Sports &amp; Entertainment, Salomon Canada, Mizuno Canada, Rawlings </w:t>
      </w:r>
      <w:r w:rsidR="000522A0" w:rsidRPr="003F42F2">
        <w:rPr>
          <w:rFonts w:cs="Arial"/>
          <w:sz w:val="22"/>
          <w:szCs w:val="22"/>
        </w:rPr>
        <w:t xml:space="preserve">Sporting Goods </w:t>
      </w:r>
      <w:r w:rsidR="006B07A1" w:rsidRPr="003F42F2">
        <w:rPr>
          <w:rFonts w:cs="Arial"/>
          <w:sz w:val="22"/>
          <w:szCs w:val="22"/>
        </w:rPr>
        <w:t xml:space="preserve">Canada, Norco Performance Bikes, Vans, Ride Snowboards, Canadian Tire Corporation, </w:t>
      </w:r>
      <w:r w:rsidR="000522A0" w:rsidRPr="003F42F2">
        <w:rPr>
          <w:rFonts w:cs="Arial"/>
          <w:sz w:val="22"/>
          <w:szCs w:val="22"/>
        </w:rPr>
        <w:t xml:space="preserve">Forzani Group, </w:t>
      </w:r>
      <w:r w:rsidR="006B07A1" w:rsidRPr="003F42F2">
        <w:rPr>
          <w:rFonts w:cs="Arial"/>
          <w:sz w:val="22"/>
          <w:szCs w:val="22"/>
        </w:rPr>
        <w:t xml:space="preserve">Bauer Hockey, Wolverine Worldwide, RMP Athletic Locker, Under Armour Canada, </w:t>
      </w:r>
      <w:proofErr w:type="spellStart"/>
      <w:r w:rsidR="006B07A1" w:rsidRPr="003F42F2">
        <w:rPr>
          <w:rFonts w:cs="Arial"/>
          <w:sz w:val="22"/>
          <w:szCs w:val="22"/>
        </w:rPr>
        <w:t>Helly</w:t>
      </w:r>
      <w:proofErr w:type="spellEnd"/>
      <w:r w:rsidR="006B07A1" w:rsidRPr="003F42F2">
        <w:rPr>
          <w:rFonts w:cs="Arial"/>
          <w:sz w:val="22"/>
          <w:szCs w:val="22"/>
        </w:rPr>
        <w:t xml:space="preserve"> Hansen, Canada Goose, </w:t>
      </w:r>
      <w:proofErr w:type="spellStart"/>
      <w:r w:rsidR="006B07A1" w:rsidRPr="003F42F2">
        <w:rPr>
          <w:rFonts w:cs="Arial"/>
          <w:sz w:val="22"/>
          <w:szCs w:val="22"/>
        </w:rPr>
        <w:t>Canlan</w:t>
      </w:r>
      <w:proofErr w:type="spellEnd"/>
      <w:r w:rsidR="006B07A1" w:rsidRPr="003F42F2">
        <w:rPr>
          <w:rFonts w:cs="Arial"/>
          <w:sz w:val="22"/>
          <w:szCs w:val="22"/>
        </w:rPr>
        <w:t xml:space="preserve"> Ice Sports, ADAMS Golf at </w:t>
      </w:r>
      <w:proofErr w:type="spellStart"/>
      <w:r w:rsidR="006B07A1" w:rsidRPr="003F42F2">
        <w:rPr>
          <w:rFonts w:cs="Arial"/>
          <w:sz w:val="22"/>
          <w:szCs w:val="22"/>
        </w:rPr>
        <w:t>TaylorMade</w:t>
      </w:r>
      <w:proofErr w:type="spellEnd"/>
      <w:r w:rsidR="0093370E" w:rsidRPr="003F42F2">
        <w:rPr>
          <w:rFonts w:cs="Arial"/>
          <w:sz w:val="22"/>
          <w:szCs w:val="22"/>
        </w:rPr>
        <w:t xml:space="preserve"> </w:t>
      </w:r>
      <w:r w:rsidR="006B07A1" w:rsidRPr="003F42F2">
        <w:rPr>
          <w:rFonts w:cs="Arial"/>
          <w:sz w:val="22"/>
          <w:szCs w:val="22"/>
        </w:rPr>
        <w:t xml:space="preserve">Canada, </w:t>
      </w:r>
      <w:r w:rsidR="000522A0" w:rsidRPr="003F42F2">
        <w:rPr>
          <w:rFonts w:cs="Arial"/>
          <w:sz w:val="22"/>
          <w:szCs w:val="22"/>
        </w:rPr>
        <w:t xml:space="preserve">National Sports, Sport </w:t>
      </w:r>
      <w:proofErr w:type="spellStart"/>
      <w:r w:rsidR="000522A0" w:rsidRPr="003F42F2">
        <w:rPr>
          <w:rFonts w:cs="Arial"/>
          <w:sz w:val="22"/>
          <w:szCs w:val="22"/>
        </w:rPr>
        <w:t>Chek</w:t>
      </w:r>
      <w:proofErr w:type="spellEnd"/>
      <w:r w:rsidR="000522A0" w:rsidRPr="003F42F2">
        <w:rPr>
          <w:rFonts w:cs="Arial"/>
          <w:sz w:val="22"/>
          <w:szCs w:val="22"/>
        </w:rPr>
        <w:t xml:space="preserve">, Si </w:t>
      </w:r>
      <w:proofErr w:type="spellStart"/>
      <w:r w:rsidR="000522A0" w:rsidRPr="003F42F2">
        <w:rPr>
          <w:rFonts w:cs="Arial"/>
          <w:sz w:val="22"/>
          <w:szCs w:val="22"/>
        </w:rPr>
        <w:t>Vous</w:t>
      </w:r>
      <w:proofErr w:type="spellEnd"/>
      <w:r w:rsidR="000522A0" w:rsidRPr="003F42F2">
        <w:rPr>
          <w:rFonts w:cs="Arial"/>
          <w:sz w:val="22"/>
          <w:szCs w:val="22"/>
        </w:rPr>
        <w:t xml:space="preserve"> Play Sports, Source for Sports, </w:t>
      </w:r>
      <w:proofErr w:type="spellStart"/>
      <w:r w:rsidR="000522A0" w:rsidRPr="003F42F2">
        <w:rPr>
          <w:rFonts w:cs="Arial"/>
          <w:sz w:val="22"/>
          <w:szCs w:val="22"/>
        </w:rPr>
        <w:t>Golftown</w:t>
      </w:r>
      <w:proofErr w:type="spellEnd"/>
      <w:r w:rsidR="000522A0" w:rsidRPr="003F42F2">
        <w:rPr>
          <w:rFonts w:cs="Arial"/>
          <w:sz w:val="22"/>
          <w:szCs w:val="22"/>
        </w:rPr>
        <w:t xml:space="preserve">, </w:t>
      </w:r>
      <w:proofErr w:type="spellStart"/>
      <w:r w:rsidR="000522A0" w:rsidRPr="003F42F2">
        <w:rPr>
          <w:rFonts w:cs="Arial"/>
          <w:sz w:val="22"/>
          <w:szCs w:val="22"/>
        </w:rPr>
        <w:t>Superfeet</w:t>
      </w:r>
      <w:proofErr w:type="spellEnd"/>
      <w:r w:rsidR="000522A0" w:rsidRPr="003F42F2">
        <w:rPr>
          <w:rFonts w:cs="Arial"/>
          <w:sz w:val="22"/>
          <w:szCs w:val="22"/>
        </w:rPr>
        <w:t>, Toronto Argonauts</w:t>
      </w:r>
      <w:r w:rsidR="002B0C43" w:rsidRPr="003F42F2">
        <w:rPr>
          <w:rFonts w:cs="Arial"/>
          <w:sz w:val="22"/>
          <w:szCs w:val="22"/>
        </w:rPr>
        <w:t>, Mica Sport Canada</w:t>
      </w:r>
      <w:r w:rsidR="006B07A1" w:rsidRPr="003F42F2">
        <w:rPr>
          <w:rFonts w:cs="Arial"/>
          <w:sz w:val="22"/>
          <w:szCs w:val="22"/>
        </w:rPr>
        <w:t xml:space="preserve"> and Huffy Bicycles. </w:t>
      </w:r>
      <w:r w:rsidR="003F42F2">
        <w:rPr>
          <w:rFonts w:cs="Arial"/>
          <w:sz w:val="22"/>
          <w:szCs w:val="22"/>
        </w:rPr>
        <w:t>This reality is also supported by our internal data: a</w:t>
      </w:r>
      <w:r w:rsidR="003F42F2" w:rsidRPr="003F42F2">
        <w:rPr>
          <w:rFonts w:cs="Arial"/>
          <w:sz w:val="22"/>
          <w:szCs w:val="22"/>
        </w:rPr>
        <w:t xml:space="preserve">ccording to Fleming’s Key Research Findings documents, the labour market for graduates of this program is strong, meaning that there are between five and six positive labour market indicators, (based on a consolidation of various Ontario, Canadian, </w:t>
      </w:r>
      <w:r w:rsidR="003F42F2" w:rsidRPr="003F42F2">
        <w:rPr>
          <w:rFonts w:cs="Arial"/>
          <w:sz w:val="22"/>
          <w:szCs w:val="22"/>
        </w:rPr>
        <w:lastRenderedPageBreak/>
        <w:t>and US sources including HRSDC, Sector Council Reports, US Bureau of Labour Statistics, and the MTCU Employment Profile</w:t>
      </w:r>
      <w:r w:rsidR="003F42F2">
        <w:rPr>
          <w:rFonts w:cs="Arial"/>
          <w:sz w:val="22"/>
          <w:szCs w:val="22"/>
        </w:rPr>
        <w:t>.</w:t>
      </w:r>
    </w:p>
    <w:p w:rsidR="00A86FEC" w:rsidRPr="003F42F2" w:rsidRDefault="00A86FEC" w:rsidP="00A86FEC">
      <w:pPr>
        <w:tabs>
          <w:tab w:val="left" w:pos="-1440"/>
        </w:tabs>
        <w:rPr>
          <w:rFonts w:cs="Arial"/>
          <w:bCs/>
          <w:sz w:val="22"/>
          <w:szCs w:val="22"/>
        </w:rPr>
      </w:pPr>
    </w:p>
    <w:p w:rsidR="00A86FEC" w:rsidRPr="003F42F2" w:rsidRDefault="00A86FEC" w:rsidP="00A86FEC">
      <w:pPr>
        <w:tabs>
          <w:tab w:val="left" w:pos="-1440"/>
        </w:tabs>
        <w:rPr>
          <w:rFonts w:cs="Arial"/>
          <w:sz w:val="22"/>
          <w:szCs w:val="22"/>
        </w:rPr>
      </w:pPr>
      <w:r w:rsidRPr="003F42F2">
        <w:rPr>
          <w:rFonts w:cs="Arial"/>
          <w:sz w:val="22"/>
          <w:szCs w:val="22"/>
        </w:rPr>
        <w:t xml:space="preserve">The focus on </w:t>
      </w:r>
      <w:r w:rsidR="003F42F2">
        <w:rPr>
          <w:rFonts w:cs="Arial"/>
          <w:sz w:val="22"/>
          <w:szCs w:val="22"/>
        </w:rPr>
        <w:t xml:space="preserve">applied learning opportunities </w:t>
      </w:r>
      <w:r w:rsidRPr="003F42F2">
        <w:rPr>
          <w:rFonts w:cs="Arial"/>
          <w:sz w:val="22"/>
          <w:szCs w:val="22"/>
        </w:rPr>
        <w:t xml:space="preserve">results in a hands-on, </w:t>
      </w:r>
      <w:r w:rsidR="003F42F2">
        <w:rPr>
          <w:rFonts w:cs="Arial"/>
          <w:sz w:val="22"/>
          <w:szCs w:val="22"/>
        </w:rPr>
        <w:t>industry-focussed</w:t>
      </w:r>
      <w:r w:rsidRPr="003F42F2">
        <w:rPr>
          <w:rFonts w:cs="Arial"/>
          <w:sz w:val="22"/>
          <w:szCs w:val="22"/>
        </w:rPr>
        <w:t xml:space="preserve"> </w:t>
      </w:r>
      <w:r w:rsidR="002065C1" w:rsidRPr="003F42F2">
        <w:rPr>
          <w:rFonts w:cs="Arial"/>
          <w:sz w:val="22"/>
          <w:szCs w:val="22"/>
        </w:rPr>
        <w:t xml:space="preserve">environment </w:t>
      </w:r>
      <w:r w:rsidRPr="003F42F2">
        <w:rPr>
          <w:rFonts w:cs="Arial"/>
          <w:sz w:val="22"/>
          <w:szCs w:val="22"/>
        </w:rPr>
        <w:t xml:space="preserve">that means when our students graduate, they are workplace-ready. Our feedback from industry partners who have hired our graduates </w:t>
      </w:r>
      <w:r w:rsidR="005A5185" w:rsidRPr="003F42F2">
        <w:rPr>
          <w:rFonts w:cs="Arial"/>
          <w:sz w:val="22"/>
          <w:szCs w:val="22"/>
        </w:rPr>
        <w:t xml:space="preserve">and </w:t>
      </w:r>
      <w:r w:rsidR="0093370E" w:rsidRPr="003F42F2">
        <w:rPr>
          <w:rFonts w:cs="Arial"/>
          <w:sz w:val="22"/>
          <w:szCs w:val="22"/>
        </w:rPr>
        <w:t xml:space="preserve">a </w:t>
      </w:r>
      <w:r w:rsidR="005A5185" w:rsidRPr="003F42F2">
        <w:rPr>
          <w:rFonts w:cs="Arial"/>
          <w:sz w:val="22"/>
          <w:szCs w:val="22"/>
        </w:rPr>
        <w:t xml:space="preserve">recent alumni survey </w:t>
      </w:r>
      <w:r w:rsidRPr="003F42F2">
        <w:rPr>
          <w:rFonts w:cs="Arial"/>
          <w:sz w:val="22"/>
          <w:szCs w:val="22"/>
        </w:rPr>
        <w:t xml:space="preserve">repeatedly confirms this. </w:t>
      </w:r>
      <w:r w:rsidR="003F42F2">
        <w:rPr>
          <w:rFonts w:cs="Arial"/>
          <w:sz w:val="22"/>
          <w:szCs w:val="22"/>
        </w:rPr>
        <w:t>Our</w:t>
      </w:r>
      <w:r w:rsidRPr="003F42F2">
        <w:rPr>
          <w:rFonts w:cs="Arial"/>
          <w:sz w:val="22"/>
          <w:szCs w:val="22"/>
        </w:rPr>
        <w:t xml:space="preserve"> program has high community value, a result of having industry relationships </w:t>
      </w:r>
      <w:r w:rsidR="005A5185" w:rsidRPr="003F42F2">
        <w:rPr>
          <w:rFonts w:cs="Arial"/>
          <w:sz w:val="22"/>
          <w:szCs w:val="22"/>
        </w:rPr>
        <w:t xml:space="preserve">and paid co-op placements </w:t>
      </w:r>
      <w:r w:rsidRPr="003F42F2">
        <w:rPr>
          <w:rFonts w:cs="Arial"/>
          <w:sz w:val="22"/>
          <w:szCs w:val="22"/>
        </w:rPr>
        <w:t xml:space="preserve">directly embedded in opportunities for learning.  </w:t>
      </w:r>
    </w:p>
    <w:p w:rsidR="00D12834" w:rsidRPr="003F42F2" w:rsidRDefault="00D12834" w:rsidP="00D12834">
      <w:pPr>
        <w:tabs>
          <w:tab w:val="left" w:pos="-1440"/>
        </w:tabs>
        <w:rPr>
          <w:rFonts w:cs="Arial"/>
          <w:sz w:val="22"/>
          <w:szCs w:val="22"/>
        </w:rPr>
      </w:pPr>
    </w:p>
    <w:p w:rsidR="009F6D50" w:rsidRDefault="009F6D50" w:rsidP="009F6D50">
      <w:pPr>
        <w:tabs>
          <w:tab w:val="left" w:pos="-1440"/>
        </w:tabs>
        <w:rPr>
          <w:rFonts w:cs="Arial"/>
          <w:sz w:val="22"/>
          <w:szCs w:val="22"/>
        </w:rPr>
      </w:pPr>
      <w:r>
        <w:rPr>
          <w:rFonts w:cs="Arial"/>
          <w:sz w:val="22"/>
          <w:szCs w:val="22"/>
        </w:rPr>
        <w:t xml:space="preserve">There are many positive features of the </w:t>
      </w:r>
      <w:r w:rsidRPr="003F42F2">
        <w:rPr>
          <w:rFonts w:cs="Arial"/>
          <w:sz w:val="22"/>
          <w:szCs w:val="22"/>
        </w:rPr>
        <w:t>co-op</w:t>
      </w:r>
      <w:r>
        <w:rPr>
          <w:rFonts w:cs="Arial"/>
          <w:sz w:val="22"/>
          <w:szCs w:val="22"/>
        </w:rPr>
        <w:t xml:space="preserve"> placement. </w:t>
      </w:r>
    </w:p>
    <w:p w:rsidR="009F6D50" w:rsidRDefault="009F6D50" w:rsidP="009F6D50">
      <w:pPr>
        <w:pStyle w:val="ListParagraph"/>
        <w:numPr>
          <w:ilvl w:val="0"/>
          <w:numId w:val="15"/>
        </w:numPr>
        <w:tabs>
          <w:tab w:val="left" w:pos="-1440"/>
        </w:tabs>
        <w:rPr>
          <w:rFonts w:cs="Arial"/>
          <w:sz w:val="22"/>
          <w:szCs w:val="22"/>
        </w:rPr>
      </w:pPr>
      <w:r>
        <w:rPr>
          <w:rFonts w:cs="Arial"/>
          <w:sz w:val="22"/>
          <w:szCs w:val="22"/>
        </w:rPr>
        <w:t>S</w:t>
      </w:r>
      <w:r w:rsidRPr="006F0D75">
        <w:rPr>
          <w:rFonts w:cs="Arial"/>
          <w:sz w:val="22"/>
          <w:szCs w:val="22"/>
        </w:rPr>
        <w:t>tudents become more integrated and involved in the operations</w:t>
      </w:r>
      <w:r>
        <w:rPr>
          <w:rFonts w:cs="Arial"/>
          <w:sz w:val="22"/>
          <w:szCs w:val="22"/>
        </w:rPr>
        <w:t xml:space="preserve"> of the placement companies ultimately </w:t>
      </w:r>
      <w:r w:rsidRPr="006F0D75">
        <w:rPr>
          <w:rFonts w:cs="Arial"/>
          <w:sz w:val="22"/>
          <w:szCs w:val="22"/>
        </w:rPr>
        <w:t>lead</w:t>
      </w:r>
      <w:r>
        <w:rPr>
          <w:rFonts w:cs="Arial"/>
          <w:sz w:val="22"/>
          <w:szCs w:val="22"/>
        </w:rPr>
        <w:t>ing</w:t>
      </w:r>
      <w:r w:rsidRPr="006F0D75">
        <w:rPr>
          <w:rFonts w:cs="Arial"/>
          <w:sz w:val="22"/>
          <w:szCs w:val="22"/>
        </w:rPr>
        <w:t xml:space="preserve"> to a better educational experience. </w:t>
      </w:r>
    </w:p>
    <w:p w:rsidR="009F6D50" w:rsidRDefault="009F6D50" w:rsidP="009F6D50">
      <w:pPr>
        <w:pStyle w:val="ListParagraph"/>
        <w:numPr>
          <w:ilvl w:val="0"/>
          <w:numId w:val="15"/>
        </w:numPr>
        <w:tabs>
          <w:tab w:val="left" w:pos="-1440"/>
        </w:tabs>
        <w:rPr>
          <w:rFonts w:cs="Arial"/>
          <w:sz w:val="22"/>
          <w:szCs w:val="22"/>
        </w:rPr>
      </w:pPr>
      <w:r>
        <w:rPr>
          <w:rFonts w:cs="Arial"/>
          <w:sz w:val="22"/>
          <w:szCs w:val="22"/>
        </w:rPr>
        <w:t xml:space="preserve">Students </w:t>
      </w:r>
      <w:r w:rsidRPr="006F0D75">
        <w:rPr>
          <w:rFonts w:cs="Arial"/>
          <w:sz w:val="22"/>
          <w:szCs w:val="22"/>
        </w:rPr>
        <w:t xml:space="preserve">earn income that will help fund their college education. </w:t>
      </w:r>
    </w:p>
    <w:p w:rsidR="009F6D50" w:rsidRDefault="009F6D50" w:rsidP="009F6D50">
      <w:pPr>
        <w:pStyle w:val="ListParagraph"/>
        <w:numPr>
          <w:ilvl w:val="0"/>
          <w:numId w:val="15"/>
        </w:numPr>
        <w:tabs>
          <w:tab w:val="left" w:pos="-1440"/>
        </w:tabs>
        <w:rPr>
          <w:rFonts w:cs="Arial"/>
          <w:sz w:val="22"/>
          <w:szCs w:val="22"/>
        </w:rPr>
      </w:pPr>
      <w:r w:rsidRPr="009F6D50">
        <w:rPr>
          <w:rFonts w:cs="Arial"/>
          <w:sz w:val="22"/>
          <w:szCs w:val="22"/>
        </w:rPr>
        <w:t xml:space="preserve">Hosts benefit through the opportunity to have projects, assignments or workloads completed that may have been “set aside” due to more pressing day to day issues. </w:t>
      </w:r>
    </w:p>
    <w:p w:rsidR="009F6D50" w:rsidRPr="009F6D50" w:rsidRDefault="009F6D50" w:rsidP="009F6D50">
      <w:pPr>
        <w:pStyle w:val="ListParagraph"/>
        <w:numPr>
          <w:ilvl w:val="0"/>
          <w:numId w:val="15"/>
        </w:numPr>
        <w:tabs>
          <w:tab w:val="left" w:pos="-1440"/>
        </w:tabs>
        <w:rPr>
          <w:rFonts w:cs="Arial"/>
          <w:sz w:val="22"/>
          <w:szCs w:val="22"/>
        </w:rPr>
      </w:pPr>
      <w:r w:rsidRPr="009F6D50">
        <w:rPr>
          <w:rFonts w:cs="Arial"/>
          <w:sz w:val="22"/>
          <w:szCs w:val="22"/>
        </w:rPr>
        <w:t>Hosts have an opportunity to evaluate the skills and abilities of the students and the potential fit for succession planning and future employee(s).</w:t>
      </w:r>
    </w:p>
    <w:p w:rsidR="009F6D50" w:rsidRDefault="009F6D50" w:rsidP="00D12834">
      <w:pPr>
        <w:tabs>
          <w:tab w:val="left" w:pos="-1440"/>
        </w:tabs>
        <w:rPr>
          <w:rFonts w:cs="Arial"/>
          <w:sz w:val="22"/>
          <w:szCs w:val="22"/>
        </w:rPr>
      </w:pPr>
    </w:p>
    <w:p w:rsidR="00D12834" w:rsidRPr="003F42F2" w:rsidRDefault="00D12834" w:rsidP="00D12834">
      <w:pPr>
        <w:tabs>
          <w:tab w:val="left" w:pos="-1440"/>
        </w:tabs>
        <w:rPr>
          <w:rFonts w:cs="Arial"/>
          <w:sz w:val="22"/>
          <w:szCs w:val="22"/>
        </w:rPr>
      </w:pPr>
      <w:r w:rsidRPr="003F42F2">
        <w:rPr>
          <w:rFonts w:cs="Arial"/>
          <w:sz w:val="22"/>
          <w:szCs w:val="22"/>
        </w:rPr>
        <w:t>The required 16 week paid co-op placement replaced the standard two – 70 hour field placements in the spring 2010 semester.  The c</w:t>
      </w:r>
      <w:r w:rsidR="0093370E" w:rsidRPr="003F42F2">
        <w:rPr>
          <w:rFonts w:cs="Arial"/>
          <w:sz w:val="22"/>
          <w:szCs w:val="22"/>
        </w:rPr>
        <w:t>hange was based on student and</w:t>
      </w:r>
      <w:r w:rsidRPr="003F42F2">
        <w:rPr>
          <w:rFonts w:cs="Arial"/>
          <w:sz w:val="22"/>
          <w:szCs w:val="22"/>
        </w:rPr>
        <w:t xml:space="preserve"> industry feedback </w:t>
      </w:r>
      <w:r w:rsidR="00A00373" w:rsidRPr="003F42F2">
        <w:rPr>
          <w:rFonts w:cs="Arial"/>
          <w:sz w:val="22"/>
          <w:szCs w:val="22"/>
        </w:rPr>
        <w:t>around</w:t>
      </w:r>
      <w:r w:rsidRPr="003F42F2">
        <w:rPr>
          <w:rFonts w:cs="Arial"/>
          <w:sz w:val="22"/>
          <w:szCs w:val="22"/>
        </w:rPr>
        <w:t xml:space="preserve"> </w:t>
      </w:r>
      <w:r w:rsidR="0093370E" w:rsidRPr="003F42F2">
        <w:rPr>
          <w:rFonts w:cs="Arial"/>
          <w:sz w:val="22"/>
          <w:szCs w:val="22"/>
        </w:rPr>
        <w:t>the length of the placements,</w:t>
      </w:r>
      <w:r w:rsidRPr="003F42F2">
        <w:rPr>
          <w:rFonts w:cs="Arial"/>
          <w:sz w:val="22"/>
          <w:szCs w:val="22"/>
        </w:rPr>
        <w:t xml:space="preserve"> the lack of training </w:t>
      </w:r>
      <w:r w:rsidR="0093370E" w:rsidRPr="003F42F2">
        <w:rPr>
          <w:rFonts w:cs="Arial"/>
          <w:sz w:val="22"/>
          <w:szCs w:val="22"/>
        </w:rPr>
        <w:t xml:space="preserve">opportunities </w:t>
      </w:r>
      <w:r w:rsidRPr="003F42F2">
        <w:rPr>
          <w:rFonts w:cs="Arial"/>
          <w:sz w:val="22"/>
          <w:szCs w:val="22"/>
        </w:rPr>
        <w:t xml:space="preserve">and educational experiences and the </w:t>
      </w:r>
      <w:r w:rsidR="005F4052">
        <w:rPr>
          <w:rFonts w:cs="Arial"/>
          <w:sz w:val="22"/>
          <w:szCs w:val="22"/>
        </w:rPr>
        <w:t>difficulties to course scheduling</w:t>
      </w:r>
      <w:r w:rsidR="00037AC8">
        <w:rPr>
          <w:rFonts w:cs="Arial"/>
          <w:sz w:val="22"/>
          <w:szCs w:val="22"/>
        </w:rPr>
        <w:t xml:space="preserve"> </w:t>
      </w:r>
      <w:r w:rsidRPr="003F42F2">
        <w:rPr>
          <w:rFonts w:cs="Arial"/>
          <w:sz w:val="22"/>
          <w:szCs w:val="22"/>
        </w:rPr>
        <w:t xml:space="preserve">it caused at </w:t>
      </w:r>
      <w:r w:rsidR="009D12FA" w:rsidRPr="003F42F2">
        <w:rPr>
          <w:rFonts w:cs="Arial"/>
          <w:sz w:val="22"/>
          <w:szCs w:val="22"/>
        </w:rPr>
        <w:t>Fleming</w:t>
      </w:r>
      <w:r w:rsidR="0093370E" w:rsidRPr="003F42F2">
        <w:rPr>
          <w:rFonts w:cs="Arial"/>
          <w:sz w:val="22"/>
          <w:szCs w:val="22"/>
        </w:rPr>
        <w:t xml:space="preserve"> College. Field p</w:t>
      </w:r>
      <w:r w:rsidRPr="003F42F2">
        <w:rPr>
          <w:rFonts w:cs="Arial"/>
          <w:sz w:val="22"/>
          <w:szCs w:val="22"/>
        </w:rPr>
        <w:t>lacements were scheduled for weeks 8 &amp; 9 of the 3</w:t>
      </w:r>
      <w:r w:rsidRPr="003F42F2">
        <w:rPr>
          <w:rFonts w:cs="Arial"/>
          <w:sz w:val="22"/>
          <w:szCs w:val="22"/>
          <w:vertAlign w:val="superscript"/>
        </w:rPr>
        <w:t>rd</w:t>
      </w:r>
      <w:r w:rsidRPr="003F42F2">
        <w:rPr>
          <w:rFonts w:cs="Arial"/>
          <w:sz w:val="22"/>
          <w:szCs w:val="22"/>
        </w:rPr>
        <w:t xml:space="preserve"> &amp; 4</w:t>
      </w:r>
      <w:r w:rsidRPr="003F42F2">
        <w:rPr>
          <w:rFonts w:cs="Arial"/>
          <w:sz w:val="22"/>
          <w:szCs w:val="22"/>
          <w:vertAlign w:val="superscript"/>
        </w:rPr>
        <w:t>th</w:t>
      </w:r>
      <w:r w:rsidRPr="003F42F2">
        <w:rPr>
          <w:rFonts w:cs="Arial"/>
          <w:sz w:val="22"/>
          <w:szCs w:val="22"/>
        </w:rPr>
        <w:t xml:space="preserve"> semesters</w:t>
      </w:r>
      <w:r w:rsidR="009D12FA" w:rsidRPr="003F42F2">
        <w:rPr>
          <w:rFonts w:cs="Arial"/>
          <w:sz w:val="22"/>
          <w:szCs w:val="22"/>
        </w:rPr>
        <w:t xml:space="preserve"> and this caused issues &amp; stress between students and faculty because of missed classes. The s</w:t>
      </w:r>
      <w:r w:rsidRPr="003F42F2">
        <w:rPr>
          <w:rFonts w:cs="Arial"/>
          <w:sz w:val="22"/>
          <w:szCs w:val="22"/>
        </w:rPr>
        <w:t xml:space="preserve">pring 2014 </w:t>
      </w:r>
      <w:r w:rsidR="009D12FA" w:rsidRPr="003F42F2">
        <w:rPr>
          <w:rFonts w:cs="Arial"/>
          <w:sz w:val="22"/>
          <w:szCs w:val="22"/>
        </w:rPr>
        <w:t>semester w</w:t>
      </w:r>
      <w:r w:rsidRPr="003F42F2">
        <w:rPr>
          <w:rFonts w:cs="Arial"/>
          <w:sz w:val="22"/>
          <w:szCs w:val="22"/>
        </w:rPr>
        <w:t>ill be the fourth year of the paid co-op placement</w:t>
      </w:r>
      <w:r w:rsidR="00C211B8" w:rsidRPr="003F42F2">
        <w:rPr>
          <w:rFonts w:cs="Arial"/>
          <w:sz w:val="22"/>
          <w:szCs w:val="22"/>
        </w:rPr>
        <w:t>.</w:t>
      </w:r>
    </w:p>
    <w:p w:rsidR="002065C1" w:rsidRPr="003F42F2" w:rsidRDefault="002065C1" w:rsidP="00D12834">
      <w:pPr>
        <w:tabs>
          <w:tab w:val="left" w:pos="-1440"/>
        </w:tabs>
        <w:rPr>
          <w:rFonts w:cs="Arial"/>
          <w:sz w:val="22"/>
          <w:szCs w:val="22"/>
        </w:rPr>
      </w:pPr>
    </w:p>
    <w:p w:rsidR="004F143A" w:rsidRPr="003F42F2" w:rsidRDefault="004F143A" w:rsidP="003532E4">
      <w:pPr>
        <w:tabs>
          <w:tab w:val="left" w:pos="-1440"/>
        </w:tabs>
        <w:rPr>
          <w:rFonts w:cs="Arial"/>
          <w:sz w:val="22"/>
          <w:szCs w:val="22"/>
        </w:rPr>
      </w:pPr>
      <w:r w:rsidRPr="003F42F2">
        <w:rPr>
          <w:rFonts w:cs="Arial"/>
          <w:sz w:val="22"/>
          <w:szCs w:val="22"/>
        </w:rPr>
        <w:t>A constant for the Sporting Goods program has been the involvement and interaction of the faculty and the small classroom setting</w:t>
      </w:r>
      <w:r w:rsidR="003F42F2">
        <w:rPr>
          <w:rFonts w:cs="Arial"/>
          <w:sz w:val="22"/>
          <w:szCs w:val="22"/>
        </w:rPr>
        <w:t>, which</w:t>
      </w:r>
      <w:r w:rsidRPr="003F42F2">
        <w:rPr>
          <w:rFonts w:cs="Arial"/>
          <w:sz w:val="22"/>
          <w:szCs w:val="22"/>
        </w:rPr>
        <w:t xml:space="preserve"> has always led to </w:t>
      </w:r>
      <w:r w:rsidR="005F4052">
        <w:rPr>
          <w:rFonts w:cs="Arial"/>
          <w:sz w:val="22"/>
          <w:szCs w:val="22"/>
        </w:rPr>
        <w:t xml:space="preserve">a </w:t>
      </w:r>
      <w:r w:rsidRPr="003F42F2">
        <w:rPr>
          <w:rFonts w:cs="Arial"/>
          <w:sz w:val="22"/>
          <w:szCs w:val="22"/>
        </w:rPr>
        <w:t xml:space="preserve">positive and cohesive educational experience. </w:t>
      </w:r>
      <w:r w:rsidR="003F42F2">
        <w:rPr>
          <w:rFonts w:cs="Arial"/>
          <w:sz w:val="22"/>
          <w:szCs w:val="22"/>
        </w:rPr>
        <w:t>The full-time program coordinator and part-time faculty who split their time between teaching and working in the industry, are together responsible for t</w:t>
      </w:r>
      <w:r w:rsidRPr="003F42F2">
        <w:rPr>
          <w:rFonts w:cs="Arial"/>
          <w:sz w:val="22"/>
          <w:szCs w:val="22"/>
        </w:rPr>
        <w:t>he</w:t>
      </w:r>
      <w:r w:rsidR="00A46932" w:rsidRPr="003F42F2">
        <w:rPr>
          <w:rFonts w:cs="Arial"/>
          <w:sz w:val="22"/>
          <w:szCs w:val="22"/>
        </w:rPr>
        <w:t xml:space="preserve"> </w:t>
      </w:r>
      <w:r w:rsidR="003F42F2">
        <w:rPr>
          <w:rFonts w:cs="Arial"/>
          <w:sz w:val="22"/>
          <w:szCs w:val="22"/>
        </w:rPr>
        <w:t>core sporting goods courses including the co-op preparatory course, and all academ</w:t>
      </w:r>
      <w:r w:rsidRPr="003F42F2">
        <w:rPr>
          <w:rFonts w:cs="Arial"/>
          <w:sz w:val="22"/>
          <w:szCs w:val="22"/>
        </w:rPr>
        <w:t xml:space="preserve">ic advising. </w:t>
      </w:r>
      <w:r w:rsidR="003700A1" w:rsidRPr="003F42F2">
        <w:rPr>
          <w:rFonts w:cs="Arial"/>
          <w:sz w:val="22"/>
          <w:szCs w:val="22"/>
        </w:rPr>
        <w:t>This provides students with industry specific and real world experiences in the classroom</w:t>
      </w:r>
      <w:r w:rsidR="003532E4" w:rsidRPr="003F42F2">
        <w:rPr>
          <w:rFonts w:cs="Arial"/>
          <w:sz w:val="22"/>
          <w:szCs w:val="22"/>
        </w:rPr>
        <w:t>. This</w:t>
      </w:r>
      <w:r w:rsidR="003F42F2">
        <w:rPr>
          <w:rFonts w:cs="Arial"/>
          <w:sz w:val="22"/>
          <w:szCs w:val="22"/>
        </w:rPr>
        <w:t xml:space="preserve"> </w:t>
      </w:r>
      <w:r w:rsidR="003700A1" w:rsidRPr="003F42F2">
        <w:rPr>
          <w:rFonts w:cs="Arial"/>
          <w:sz w:val="22"/>
          <w:szCs w:val="22"/>
        </w:rPr>
        <w:t xml:space="preserve">is </w:t>
      </w:r>
      <w:r w:rsidR="003F42F2">
        <w:rPr>
          <w:rFonts w:cs="Arial"/>
          <w:sz w:val="22"/>
          <w:szCs w:val="22"/>
        </w:rPr>
        <w:t xml:space="preserve">also </w:t>
      </w:r>
      <w:r w:rsidR="003532E4" w:rsidRPr="003F42F2">
        <w:rPr>
          <w:rFonts w:cs="Arial"/>
          <w:sz w:val="22"/>
          <w:szCs w:val="22"/>
        </w:rPr>
        <w:t xml:space="preserve">now </w:t>
      </w:r>
      <w:r w:rsidR="003700A1" w:rsidRPr="003F42F2">
        <w:rPr>
          <w:rFonts w:cs="Arial"/>
          <w:sz w:val="22"/>
          <w:szCs w:val="22"/>
        </w:rPr>
        <w:t xml:space="preserve">being supported by computer based </w:t>
      </w:r>
      <w:r w:rsidR="003532E4" w:rsidRPr="003F42F2">
        <w:rPr>
          <w:rFonts w:cs="Arial"/>
          <w:sz w:val="22"/>
          <w:szCs w:val="22"/>
        </w:rPr>
        <w:t xml:space="preserve">business </w:t>
      </w:r>
      <w:r w:rsidR="006C3C8D">
        <w:rPr>
          <w:rFonts w:cs="Arial"/>
          <w:sz w:val="22"/>
          <w:szCs w:val="22"/>
        </w:rPr>
        <w:t>simulations that allow</w:t>
      </w:r>
      <w:r w:rsidR="003700A1" w:rsidRPr="003F42F2">
        <w:rPr>
          <w:rFonts w:cs="Arial"/>
          <w:sz w:val="22"/>
          <w:szCs w:val="22"/>
        </w:rPr>
        <w:t xml:space="preserve"> the students to put what they learn into practice. Sporting Goods students </w:t>
      </w:r>
      <w:r w:rsidR="00A46932" w:rsidRPr="003F42F2">
        <w:rPr>
          <w:rFonts w:cs="Arial"/>
          <w:sz w:val="22"/>
          <w:szCs w:val="22"/>
        </w:rPr>
        <w:t xml:space="preserve">will </w:t>
      </w:r>
      <w:r w:rsidR="003700A1" w:rsidRPr="003F42F2">
        <w:rPr>
          <w:rFonts w:cs="Arial"/>
          <w:sz w:val="22"/>
          <w:szCs w:val="22"/>
        </w:rPr>
        <w:t xml:space="preserve">have </w:t>
      </w:r>
      <w:r w:rsidR="00D706B8" w:rsidRPr="003F42F2">
        <w:rPr>
          <w:rFonts w:cs="Arial"/>
          <w:sz w:val="22"/>
          <w:szCs w:val="22"/>
        </w:rPr>
        <w:t>one class each semester</w:t>
      </w:r>
      <w:r w:rsidR="003700A1" w:rsidRPr="003F42F2">
        <w:rPr>
          <w:rFonts w:cs="Arial"/>
          <w:sz w:val="22"/>
          <w:szCs w:val="22"/>
        </w:rPr>
        <w:t xml:space="preserve"> </w:t>
      </w:r>
      <w:r w:rsidR="003F42F2">
        <w:rPr>
          <w:rFonts w:cs="Arial"/>
          <w:sz w:val="22"/>
          <w:szCs w:val="22"/>
        </w:rPr>
        <w:t xml:space="preserve">that integrates this educational </w:t>
      </w:r>
      <w:r w:rsidR="003700A1" w:rsidRPr="003F42F2">
        <w:rPr>
          <w:rFonts w:cs="Arial"/>
          <w:sz w:val="22"/>
          <w:szCs w:val="22"/>
        </w:rPr>
        <w:t>technology</w:t>
      </w:r>
      <w:r w:rsidR="00564701" w:rsidRPr="003F42F2">
        <w:rPr>
          <w:rFonts w:cs="Arial"/>
          <w:sz w:val="22"/>
          <w:szCs w:val="22"/>
        </w:rPr>
        <w:t xml:space="preserve">. </w:t>
      </w:r>
      <w:r w:rsidR="00D706B8" w:rsidRPr="003F42F2">
        <w:rPr>
          <w:rFonts w:cs="Arial"/>
          <w:sz w:val="22"/>
          <w:szCs w:val="22"/>
        </w:rPr>
        <w:t xml:space="preserve">Classes </w:t>
      </w:r>
      <w:r w:rsidR="003F42F2">
        <w:rPr>
          <w:rFonts w:cs="Arial"/>
          <w:sz w:val="22"/>
          <w:szCs w:val="22"/>
        </w:rPr>
        <w:t xml:space="preserve">using simulations </w:t>
      </w:r>
      <w:r w:rsidR="00D706B8" w:rsidRPr="003F42F2">
        <w:rPr>
          <w:rFonts w:cs="Arial"/>
          <w:sz w:val="22"/>
          <w:szCs w:val="22"/>
        </w:rPr>
        <w:t>include</w:t>
      </w:r>
      <w:r w:rsidR="003700A1" w:rsidRPr="003F42F2">
        <w:rPr>
          <w:rFonts w:cs="Arial"/>
          <w:sz w:val="22"/>
          <w:szCs w:val="22"/>
        </w:rPr>
        <w:t xml:space="preserve"> Business Essentials and Retail Essentials supported by Interpretive Simulations – Biz </w:t>
      </w:r>
      <w:r w:rsidR="003532E4" w:rsidRPr="003F42F2">
        <w:rPr>
          <w:rFonts w:cs="Arial"/>
          <w:sz w:val="22"/>
          <w:szCs w:val="22"/>
        </w:rPr>
        <w:t>C</w:t>
      </w:r>
      <w:r w:rsidR="003700A1" w:rsidRPr="003F42F2">
        <w:rPr>
          <w:rFonts w:cs="Arial"/>
          <w:sz w:val="22"/>
          <w:szCs w:val="22"/>
        </w:rPr>
        <w:t xml:space="preserve">afé &amp; Retail Entrepreneur, </w:t>
      </w:r>
      <w:r w:rsidR="003532E4" w:rsidRPr="003F42F2">
        <w:rPr>
          <w:rFonts w:cs="Arial"/>
          <w:sz w:val="22"/>
          <w:szCs w:val="22"/>
        </w:rPr>
        <w:t xml:space="preserve">International Business – </w:t>
      </w:r>
      <w:proofErr w:type="spellStart"/>
      <w:r w:rsidR="003532E4" w:rsidRPr="003F42F2">
        <w:rPr>
          <w:rFonts w:cs="Arial"/>
          <w:sz w:val="22"/>
          <w:szCs w:val="22"/>
        </w:rPr>
        <w:t>Glo</w:t>
      </w:r>
      <w:proofErr w:type="spellEnd"/>
      <w:r w:rsidR="003532E4" w:rsidRPr="003F42F2">
        <w:rPr>
          <w:rFonts w:cs="Arial"/>
          <w:sz w:val="22"/>
          <w:szCs w:val="22"/>
        </w:rPr>
        <w:t xml:space="preserve"> Bus and Sports Equipment Product Knowledge II – </w:t>
      </w:r>
      <w:proofErr w:type="spellStart"/>
      <w:r w:rsidR="003532E4" w:rsidRPr="003F42F2">
        <w:rPr>
          <w:rFonts w:cs="Arial"/>
          <w:sz w:val="22"/>
          <w:szCs w:val="22"/>
        </w:rPr>
        <w:t>Smartsims</w:t>
      </w:r>
      <w:proofErr w:type="spellEnd"/>
      <w:r w:rsidR="003532E4" w:rsidRPr="003F42F2">
        <w:rPr>
          <w:rFonts w:cs="Arial"/>
          <w:sz w:val="22"/>
          <w:szCs w:val="22"/>
        </w:rPr>
        <w:t xml:space="preserve"> MIKES Bikes Advanced. </w:t>
      </w:r>
    </w:p>
    <w:p w:rsidR="00A46932" w:rsidRPr="003F42F2" w:rsidRDefault="00A46932" w:rsidP="003532E4">
      <w:pPr>
        <w:tabs>
          <w:tab w:val="left" w:pos="-1440"/>
        </w:tabs>
        <w:rPr>
          <w:rFonts w:cs="Arial"/>
          <w:sz w:val="22"/>
          <w:szCs w:val="22"/>
        </w:rPr>
      </w:pPr>
    </w:p>
    <w:p w:rsidR="00D12834" w:rsidRPr="0093370E" w:rsidRDefault="006C3C8D" w:rsidP="00A86FEC">
      <w:pPr>
        <w:tabs>
          <w:tab w:val="left" w:pos="-1440"/>
        </w:tabs>
        <w:rPr>
          <w:rFonts w:cs="Arial"/>
          <w:b/>
          <w:sz w:val="22"/>
          <w:szCs w:val="22"/>
        </w:rPr>
      </w:pPr>
      <w:r>
        <w:rPr>
          <w:rFonts w:cs="Arial"/>
          <w:sz w:val="22"/>
          <w:szCs w:val="22"/>
        </w:rPr>
        <w:t>The process has also begun to explore and support future</w:t>
      </w:r>
      <w:r w:rsidR="00A46932" w:rsidRPr="003F42F2">
        <w:rPr>
          <w:rFonts w:cs="Arial"/>
          <w:sz w:val="22"/>
          <w:szCs w:val="22"/>
        </w:rPr>
        <w:t xml:space="preserve"> articulation agreements so students can continue their studies after Fleming College. A stumbling block </w:t>
      </w:r>
      <w:r>
        <w:rPr>
          <w:rFonts w:cs="Arial"/>
          <w:sz w:val="22"/>
          <w:szCs w:val="22"/>
        </w:rPr>
        <w:t xml:space="preserve">in the past </w:t>
      </w:r>
      <w:r w:rsidR="00A46932" w:rsidRPr="003F42F2">
        <w:rPr>
          <w:rFonts w:cs="Arial"/>
          <w:sz w:val="22"/>
          <w:szCs w:val="22"/>
        </w:rPr>
        <w:t xml:space="preserve">has been the uniqueness of the Sporting Goods Business program, the lack of University programs that focus on the same industry, and the reluctance of domestic </w:t>
      </w:r>
      <w:r w:rsidR="00C211B8" w:rsidRPr="003F42F2">
        <w:rPr>
          <w:rFonts w:cs="Arial"/>
          <w:sz w:val="22"/>
          <w:szCs w:val="22"/>
        </w:rPr>
        <w:t>colleges and universities</w:t>
      </w:r>
      <w:r w:rsidR="00A46932" w:rsidRPr="003F42F2">
        <w:rPr>
          <w:rFonts w:cs="Arial"/>
          <w:sz w:val="22"/>
          <w:szCs w:val="22"/>
        </w:rPr>
        <w:t xml:space="preserve"> to accept the cre</w:t>
      </w:r>
      <w:r w:rsidR="00D77C0E" w:rsidRPr="003F42F2">
        <w:rPr>
          <w:rFonts w:cs="Arial"/>
          <w:sz w:val="22"/>
          <w:szCs w:val="22"/>
        </w:rPr>
        <w:t xml:space="preserve">dits that students have taken. </w:t>
      </w:r>
      <w:r>
        <w:rPr>
          <w:rFonts w:cs="Arial"/>
          <w:sz w:val="22"/>
          <w:szCs w:val="22"/>
        </w:rPr>
        <w:t>Recently, however, p</w:t>
      </w:r>
      <w:r w:rsidR="00D77C0E" w:rsidRPr="003F42F2">
        <w:rPr>
          <w:rFonts w:cs="Arial"/>
          <w:sz w:val="22"/>
          <w:szCs w:val="22"/>
        </w:rPr>
        <w:t>ositive c</w:t>
      </w:r>
      <w:r w:rsidR="00A46932" w:rsidRPr="003F42F2">
        <w:rPr>
          <w:rFonts w:cs="Arial"/>
          <w:sz w:val="22"/>
          <w:szCs w:val="22"/>
        </w:rPr>
        <w:t xml:space="preserve">ontact has been made with Sheffield </w:t>
      </w:r>
      <w:proofErr w:type="spellStart"/>
      <w:r w:rsidR="00A46932" w:rsidRPr="003F42F2">
        <w:rPr>
          <w:rFonts w:cs="Arial"/>
          <w:sz w:val="22"/>
          <w:szCs w:val="22"/>
        </w:rPr>
        <w:t>Hallam</w:t>
      </w:r>
      <w:proofErr w:type="spellEnd"/>
      <w:r w:rsidR="00A46932" w:rsidRPr="003F42F2">
        <w:rPr>
          <w:rFonts w:cs="Arial"/>
          <w:sz w:val="22"/>
          <w:szCs w:val="22"/>
        </w:rPr>
        <w:t xml:space="preserve"> University in England regarding their International Sport Business Management (top up) degree. The course prepares students for work in areas such as national and international sports organisations, sport and leisure industries, sports equipment and supply industries, professional sports team, advertising and public relations agencies, public services, the media, events and project management.  Sheffield </w:t>
      </w:r>
      <w:proofErr w:type="spellStart"/>
      <w:r w:rsidR="00A46932" w:rsidRPr="003F42F2">
        <w:rPr>
          <w:rFonts w:cs="Arial"/>
          <w:sz w:val="22"/>
          <w:szCs w:val="22"/>
        </w:rPr>
        <w:t>Hallam</w:t>
      </w:r>
      <w:proofErr w:type="spellEnd"/>
      <w:r w:rsidR="00A46932" w:rsidRPr="003F42F2">
        <w:rPr>
          <w:rFonts w:cs="Arial"/>
          <w:sz w:val="22"/>
          <w:szCs w:val="22"/>
        </w:rPr>
        <w:t xml:space="preserve"> has asked for information on the Sporting Goods program as well as the learning outcomes for review. This information will be </w:t>
      </w:r>
      <w:r w:rsidR="00D77C0E" w:rsidRPr="003F42F2">
        <w:rPr>
          <w:rFonts w:cs="Arial"/>
          <w:sz w:val="22"/>
          <w:szCs w:val="22"/>
        </w:rPr>
        <w:lastRenderedPageBreak/>
        <w:t>presented</w:t>
      </w:r>
      <w:r w:rsidR="00A46932" w:rsidRPr="003F42F2">
        <w:rPr>
          <w:rFonts w:cs="Arial"/>
          <w:sz w:val="22"/>
          <w:szCs w:val="22"/>
        </w:rPr>
        <w:t xml:space="preserve"> once the program review is completed and updated. </w:t>
      </w:r>
      <w:r w:rsidR="00C211B8" w:rsidRPr="003F42F2">
        <w:rPr>
          <w:rFonts w:cs="Arial"/>
          <w:sz w:val="22"/>
          <w:szCs w:val="22"/>
        </w:rPr>
        <w:t>Other domestic and international universities are also being investigated for articulation agreements</w:t>
      </w:r>
      <w:r w:rsidR="00C211B8">
        <w:rPr>
          <w:rFonts w:cs="Arial"/>
          <w:i/>
          <w:sz w:val="22"/>
          <w:szCs w:val="22"/>
        </w:rPr>
        <w:t>.</w:t>
      </w:r>
    </w:p>
    <w:p w:rsidR="00AC1455" w:rsidRDefault="00AC1455" w:rsidP="000D2749">
      <w:pPr>
        <w:tabs>
          <w:tab w:val="left" w:pos="-1440"/>
        </w:tabs>
        <w:rPr>
          <w:rFonts w:cs="Arial"/>
          <w:sz w:val="22"/>
          <w:szCs w:val="22"/>
        </w:rPr>
      </w:pPr>
    </w:p>
    <w:p w:rsidR="00233A93"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PROGRAM CHALLENGES</w:t>
      </w:r>
    </w:p>
    <w:p w:rsidR="00CC0B27" w:rsidRDefault="00CC0B27" w:rsidP="00CC0B27">
      <w:pPr>
        <w:tabs>
          <w:tab w:val="left" w:pos="-1440"/>
        </w:tabs>
        <w:rPr>
          <w:rFonts w:cs="Arial"/>
          <w:sz w:val="22"/>
          <w:szCs w:val="22"/>
        </w:rPr>
      </w:pPr>
    </w:p>
    <w:p w:rsidR="002C64C2" w:rsidRPr="003F42F2" w:rsidRDefault="00D77C0E" w:rsidP="00CC0B27">
      <w:pPr>
        <w:tabs>
          <w:tab w:val="left" w:pos="-1440"/>
        </w:tabs>
        <w:rPr>
          <w:rFonts w:cs="Arial"/>
          <w:sz w:val="22"/>
          <w:szCs w:val="22"/>
        </w:rPr>
      </w:pPr>
      <w:r w:rsidRPr="003F42F2">
        <w:rPr>
          <w:rFonts w:cs="Arial"/>
          <w:sz w:val="22"/>
          <w:szCs w:val="22"/>
        </w:rPr>
        <w:t xml:space="preserve">Declining enrollment in the rural regional colleges has been an issue </w:t>
      </w:r>
      <w:r w:rsidR="00AC794C" w:rsidRPr="003F42F2">
        <w:rPr>
          <w:rFonts w:cs="Arial"/>
          <w:sz w:val="22"/>
          <w:szCs w:val="22"/>
        </w:rPr>
        <w:t>and has</w:t>
      </w:r>
      <w:r w:rsidRPr="003F42F2">
        <w:rPr>
          <w:rFonts w:cs="Arial"/>
          <w:sz w:val="22"/>
          <w:szCs w:val="22"/>
        </w:rPr>
        <w:t xml:space="preserve"> had a direct impact on the</w:t>
      </w:r>
      <w:r w:rsidR="00AC794C" w:rsidRPr="003F42F2">
        <w:rPr>
          <w:rFonts w:cs="Arial"/>
          <w:sz w:val="22"/>
          <w:szCs w:val="22"/>
        </w:rPr>
        <w:t xml:space="preserve"> applications and enrollment for the</w:t>
      </w:r>
      <w:r w:rsidRPr="003F42F2">
        <w:rPr>
          <w:rFonts w:cs="Arial"/>
          <w:sz w:val="22"/>
          <w:szCs w:val="22"/>
        </w:rPr>
        <w:t xml:space="preserve"> </w:t>
      </w:r>
      <w:r w:rsidR="00AC794C" w:rsidRPr="003F42F2">
        <w:rPr>
          <w:rFonts w:cs="Arial"/>
          <w:sz w:val="22"/>
          <w:szCs w:val="22"/>
        </w:rPr>
        <w:t>Sporting</w:t>
      </w:r>
      <w:r w:rsidRPr="003F42F2">
        <w:rPr>
          <w:rFonts w:cs="Arial"/>
          <w:sz w:val="22"/>
          <w:szCs w:val="22"/>
        </w:rPr>
        <w:t xml:space="preserve"> Goods program. </w:t>
      </w:r>
      <w:r w:rsidR="002C64C2" w:rsidRPr="003F42F2">
        <w:rPr>
          <w:rFonts w:cs="Arial"/>
          <w:sz w:val="22"/>
          <w:szCs w:val="22"/>
        </w:rPr>
        <w:t xml:space="preserve">After internal discussions with the Dean for the School of Business, School of Business </w:t>
      </w:r>
      <w:r w:rsidR="005F4052">
        <w:rPr>
          <w:rFonts w:cs="Arial"/>
          <w:sz w:val="22"/>
          <w:szCs w:val="22"/>
        </w:rPr>
        <w:t xml:space="preserve">Chair </w:t>
      </w:r>
      <w:r w:rsidR="002C64C2" w:rsidRPr="003F42F2">
        <w:rPr>
          <w:rFonts w:cs="Arial"/>
          <w:sz w:val="22"/>
          <w:szCs w:val="22"/>
        </w:rPr>
        <w:t xml:space="preserve">and the Fleming College Marketing department, it was determined that more marketing support </w:t>
      </w:r>
      <w:r w:rsidR="006C3C8D">
        <w:rPr>
          <w:rFonts w:cs="Arial"/>
          <w:sz w:val="22"/>
          <w:szCs w:val="22"/>
        </w:rPr>
        <w:t>and</w:t>
      </w:r>
      <w:r w:rsidR="002C64C2" w:rsidRPr="003F42F2">
        <w:rPr>
          <w:rFonts w:cs="Arial"/>
          <w:sz w:val="22"/>
          <w:szCs w:val="22"/>
        </w:rPr>
        <w:t xml:space="preserve"> focus must be put in place to support the program</w:t>
      </w:r>
      <w:r w:rsidR="006C3C8D">
        <w:rPr>
          <w:rFonts w:cs="Arial"/>
          <w:sz w:val="22"/>
          <w:szCs w:val="22"/>
        </w:rPr>
        <w:t>’</w:t>
      </w:r>
      <w:r w:rsidR="002C64C2" w:rsidRPr="003F42F2">
        <w:rPr>
          <w:rFonts w:cs="Arial"/>
          <w:sz w:val="22"/>
          <w:szCs w:val="22"/>
        </w:rPr>
        <w:t>s unique curriculum and career opportunities versus other sport business and marketing programs.</w:t>
      </w:r>
    </w:p>
    <w:p w:rsidR="009E5C6B" w:rsidRPr="003F42F2" w:rsidRDefault="009E5C6B" w:rsidP="002C64C2">
      <w:pPr>
        <w:tabs>
          <w:tab w:val="left" w:pos="-1440"/>
        </w:tabs>
        <w:rPr>
          <w:rFonts w:cs="Arial"/>
          <w:sz w:val="22"/>
          <w:szCs w:val="22"/>
        </w:rPr>
      </w:pPr>
    </w:p>
    <w:p w:rsidR="007C43F9" w:rsidRPr="003F42F2" w:rsidRDefault="007C43F9" w:rsidP="002C64C2">
      <w:pPr>
        <w:tabs>
          <w:tab w:val="left" w:pos="-1440"/>
        </w:tabs>
        <w:rPr>
          <w:rFonts w:cs="Arial"/>
          <w:sz w:val="22"/>
          <w:szCs w:val="22"/>
        </w:rPr>
      </w:pPr>
      <w:r w:rsidRPr="003F42F2">
        <w:rPr>
          <w:rFonts w:cs="Arial"/>
          <w:sz w:val="22"/>
          <w:szCs w:val="22"/>
        </w:rPr>
        <w:t>The vast majority of students who enter this program are direct entry</w:t>
      </w:r>
      <w:r w:rsidR="005F4052">
        <w:rPr>
          <w:rFonts w:cs="Arial"/>
          <w:sz w:val="22"/>
          <w:szCs w:val="22"/>
        </w:rPr>
        <w:t xml:space="preserve"> from secondary school</w:t>
      </w:r>
      <w:r w:rsidRPr="003F42F2">
        <w:rPr>
          <w:rFonts w:cs="Arial"/>
          <w:sz w:val="22"/>
          <w:szCs w:val="22"/>
        </w:rPr>
        <w:t>. Our student feedback has also revealed that they also tend to be students who were not necessarily investigating college as an option, until they discovered this program. This means that students need to know about, and be looking specifically for this program in order to enroll. In other words, this program serves a population of students who were not otherwise looking to engage with the college system—a critical reason why we must ensure strong marketing support that is efficiently and carefully targeted.</w:t>
      </w:r>
    </w:p>
    <w:p w:rsidR="007C43F9" w:rsidRPr="003F42F2" w:rsidRDefault="007C43F9" w:rsidP="002C64C2">
      <w:pPr>
        <w:tabs>
          <w:tab w:val="left" w:pos="-1440"/>
        </w:tabs>
        <w:rPr>
          <w:rFonts w:cs="Arial"/>
          <w:sz w:val="22"/>
          <w:szCs w:val="22"/>
        </w:rPr>
      </w:pPr>
    </w:p>
    <w:p w:rsidR="004B025B" w:rsidRPr="003F42F2" w:rsidRDefault="002C64C2" w:rsidP="00CC0B27">
      <w:pPr>
        <w:tabs>
          <w:tab w:val="left" w:pos="-1440"/>
        </w:tabs>
        <w:rPr>
          <w:rFonts w:cs="Arial"/>
          <w:sz w:val="22"/>
          <w:szCs w:val="22"/>
        </w:rPr>
      </w:pPr>
      <w:r w:rsidRPr="003F42F2">
        <w:rPr>
          <w:rFonts w:cs="Arial"/>
          <w:sz w:val="22"/>
          <w:szCs w:val="22"/>
        </w:rPr>
        <w:t>A significant challenge faced by the Sporting Goods Business program is that we are a small, single-cohort program. In 2011/12, our contribution to overhead was 36% which exceeds the e</w:t>
      </w:r>
      <w:r w:rsidR="004B025B" w:rsidRPr="003F42F2">
        <w:rPr>
          <w:rFonts w:cs="Arial"/>
          <w:sz w:val="22"/>
          <w:szCs w:val="22"/>
        </w:rPr>
        <w:t>xpected 35% set by the College but will drop due to lower than expected enrollment</w:t>
      </w:r>
      <w:r w:rsidR="00C60FC0" w:rsidRPr="003F42F2">
        <w:rPr>
          <w:rFonts w:cs="Arial"/>
          <w:sz w:val="22"/>
          <w:szCs w:val="22"/>
        </w:rPr>
        <w:t xml:space="preserve"> for the Fall 2013 semester</w:t>
      </w:r>
      <w:r w:rsidR="004B025B" w:rsidRPr="003F42F2">
        <w:rPr>
          <w:rFonts w:cs="Arial"/>
          <w:sz w:val="22"/>
          <w:szCs w:val="22"/>
        </w:rPr>
        <w:t xml:space="preserve">. To help meet these challenges, internal discussions will be taking place during the spring 2014 semester to discuss operational efficiencies and connections with common first year </w:t>
      </w:r>
      <w:r w:rsidR="005F4052">
        <w:rPr>
          <w:rFonts w:cs="Arial"/>
          <w:sz w:val="22"/>
          <w:szCs w:val="22"/>
        </w:rPr>
        <w:t xml:space="preserve">business </w:t>
      </w:r>
      <w:r w:rsidR="004B025B" w:rsidRPr="003F42F2">
        <w:rPr>
          <w:rFonts w:cs="Arial"/>
          <w:sz w:val="22"/>
          <w:szCs w:val="22"/>
        </w:rPr>
        <w:t>courses. We feel strongly though, that the reputation of the program, combined with the community value of our industry relationships, does offset this temporary shortfall in financial contribution.</w:t>
      </w:r>
    </w:p>
    <w:p w:rsidR="009E5C6B" w:rsidRPr="003F42F2" w:rsidRDefault="009E5C6B" w:rsidP="00CC0B27">
      <w:pPr>
        <w:tabs>
          <w:tab w:val="left" w:pos="-1440"/>
        </w:tabs>
        <w:rPr>
          <w:rFonts w:cs="Arial"/>
          <w:sz w:val="22"/>
          <w:szCs w:val="22"/>
        </w:rPr>
      </w:pPr>
    </w:p>
    <w:p w:rsidR="00920B5E" w:rsidRPr="003F42F2" w:rsidRDefault="00EA7676" w:rsidP="00EA7676">
      <w:pPr>
        <w:tabs>
          <w:tab w:val="left" w:pos="-1440"/>
        </w:tabs>
        <w:rPr>
          <w:rFonts w:cs="Arial"/>
          <w:sz w:val="22"/>
          <w:szCs w:val="22"/>
        </w:rPr>
      </w:pPr>
      <w:r w:rsidRPr="003F42F2">
        <w:rPr>
          <w:rFonts w:cs="Arial"/>
          <w:sz w:val="22"/>
          <w:szCs w:val="22"/>
        </w:rPr>
        <w:t xml:space="preserve">The graduation rate for Sporting Goods students has been an ongoing issue and math </w:t>
      </w:r>
      <w:r w:rsidR="005F4052">
        <w:rPr>
          <w:rFonts w:cs="Arial"/>
          <w:sz w:val="22"/>
          <w:szCs w:val="22"/>
        </w:rPr>
        <w:t xml:space="preserve">skill development </w:t>
      </w:r>
      <w:r w:rsidRPr="003F42F2">
        <w:rPr>
          <w:rFonts w:cs="Arial"/>
          <w:sz w:val="22"/>
          <w:szCs w:val="22"/>
        </w:rPr>
        <w:t xml:space="preserve">is an area that has been identified as an area of concern. </w:t>
      </w:r>
      <w:r w:rsidR="006C3C8D">
        <w:rPr>
          <w:rFonts w:cs="Arial"/>
          <w:sz w:val="22"/>
          <w:szCs w:val="22"/>
        </w:rPr>
        <w:t>In response to recent survey feedback from both current students and program alumni, we are currently in dis</w:t>
      </w:r>
      <w:r w:rsidRPr="003F42F2">
        <w:rPr>
          <w:rFonts w:cs="Arial"/>
          <w:sz w:val="22"/>
          <w:szCs w:val="22"/>
        </w:rPr>
        <w:t>cussion</w:t>
      </w:r>
      <w:r w:rsidR="006C3C8D">
        <w:rPr>
          <w:rFonts w:cs="Arial"/>
          <w:sz w:val="22"/>
          <w:szCs w:val="22"/>
        </w:rPr>
        <w:t xml:space="preserve"> with </w:t>
      </w:r>
      <w:r w:rsidRPr="003F42F2">
        <w:rPr>
          <w:rFonts w:cs="Arial"/>
          <w:sz w:val="22"/>
          <w:szCs w:val="22"/>
        </w:rPr>
        <w:t>math</w:t>
      </w:r>
      <w:r w:rsidR="006C3C8D">
        <w:rPr>
          <w:rFonts w:cs="Arial"/>
          <w:sz w:val="22"/>
          <w:szCs w:val="22"/>
        </w:rPr>
        <w:t xml:space="preserve"> faculty and the coordinator to revise the math curriculum that is </w:t>
      </w:r>
      <w:r w:rsidRPr="003F42F2">
        <w:rPr>
          <w:rFonts w:cs="Arial"/>
          <w:sz w:val="22"/>
          <w:szCs w:val="22"/>
        </w:rPr>
        <w:t>being taught</w:t>
      </w:r>
      <w:r w:rsidR="006C3C8D">
        <w:rPr>
          <w:rFonts w:cs="Arial"/>
          <w:sz w:val="22"/>
          <w:szCs w:val="22"/>
        </w:rPr>
        <w:t xml:space="preserve"> to ensure it is both relevant and applicable for students in our program, and also that we provide support for students who may require it in order to be successful. </w:t>
      </w:r>
    </w:p>
    <w:p w:rsidR="00C211B8" w:rsidRPr="003F42F2" w:rsidRDefault="00C211B8" w:rsidP="00EA7676">
      <w:pPr>
        <w:tabs>
          <w:tab w:val="left" w:pos="-1440"/>
        </w:tabs>
        <w:rPr>
          <w:rFonts w:cs="Arial"/>
          <w:sz w:val="22"/>
          <w:szCs w:val="22"/>
        </w:rPr>
      </w:pPr>
    </w:p>
    <w:p w:rsidR="00C211B8" w:rsidRPr="003F42F2" w:rsidRDefault="00C211B8" w:rsidP="00C211B8">
      <w:pPr>
        <w:tabs>
          <w:tab w:val="left" w:pos="-1440"/>
        </w:tabs>
        <w:rPr>
          <w:rFonts w:cs="Arial"/>
          <w:sz w:val="22"/>
          <w:szCs w:val="22"/>
        </w:rPr>
      </w:pPr>
      <w:r w:rsidRPr="003F42F2">
        <w:rPr>
          <w:rFonts w:cs="Arial"/>
          <w:sz w:val="22"/>
          <w:szCs w:val="22"/>
        </w:rPr>
        <w:t xml:space="preserve">The length and paid component of the co-op does not come without </w:t>
      </w:r>
      <w:r w:rsidR="009F6D50">
        <w:rPr>
          <w:rFonts w:cs="Arial"/>
          <w:sz w:val="22"/>
          <w:szCs w:val="22"/>
        </w:rPr>
        <w:t>challenges</w:t>
      </w:r>
      <w:r w:rsidRPr="003F42F2">
        <w:rPr>
          <w:rFonts w:cs="Arial"/>
          <w:sz w:val="22"/>
          <w:szCs w:val="22"/>
        </w:rPr>
        <w:t xml:space="preserve">. </w:t>
      </w:r>
      <w:r w:rsidR="00037AC8">
        <w:rPr>
          <w:rFonts w:cs="Arial"/>
          <w:sz w:val="22"/>
          <w:szCs w:val="22"/>
        </w:rPr>
        <w:t>While it is not in line with our current framework for co-op, m</w:t>
      </w:r>
      <w:r w:rsidRPr="003F42F2">
        <w:rPr>
          <w:rFonts w:cs="Arial"/>
          <w:sz w:val="22"/>
          <w:szCs w:val="22"/>
        </w:rPr>
        <w:t xml:space="preserve">any of the companies within the sporting goods industry </w:t>
      </w:r>
      <w:r w:rsidR="00037AC8">
        <w:rPr>
          <w:rFonts w:cs="Arial"/>
          <w:sz w:val="22"/>
          <w:szCs w:val="22"/>
        </w:rPr>
        <w:t xml:space="preserve">prefer to </w:t>
      </w:r>
      <w:r w:rsidRPr="003F42F2">
        <w:rPr>
          <w:rFonts w:cs="Arial"/>
          <w:sz w:val="22"/>
          <w:szCs w:val="22"/>
        </w:rPr>
        <w:t xml:space="preserve">use the un-paid internship model. </w:t>
      </w:r>
      <w:r w:rsidR="009F6D50">
        <w:rPr>
          <w:rFonts w:cs="Arial"/>
          <w:sz w:val="22"/>
          <w:szCs w:val="22"/>
        </w:rPr>
        <w:t xml:space="preserve">Many colleges </w:t>
      </w:r>
      <w:r w:rsidRPr="003F42F2">
        <w:rPr>
          <w:rFonts w:cs="Arial"/>
          <w:sz w:val="22"/>
          <w:szCs w:val="22"/>
        </w:rPr>
        <w:t>that have succe</w:t>
      </w:r>
      <w:r w:rsidR="009F6D50">
        <w:rPr>
          <w:rFonts w:cs="Arial"/>
          <w:sz w:val="22"/>
          <w:szCs w:val="22"/>
        </w:rPr>
        <w:t>ssful co-op programs also have formalized</w:t>
      </w:r>
      <w:r w:rsidRPr="003F42F2">
        <w:rPr>
          <w:rFonts w:cs="Arial"/>
          <w:sz w:val="22"/>
          <w:szCs w:val="22"/>
        </w:rPr>
        <w:t xml:space="preserve"> co-op office</w:t>
      </w:r>
      <w:r w:rsidR="009F6D50">
        <w:rPr>
          <w:rFonts w:cs="Arial"/>
          <w:sz w:val="22"/>
          <w:szCs w:val="22"/>
        </w:rPr>
        <w:t>s</w:t>
      </w:r>
      <w:r w:rsidRPr="003F42F2">
        <w:rPr>
          <w:rFonts w:cs="Arial"/>
          <w:sz w:val="22"/>
          <w:szCs w:val="22"/>
        </w:rPr>
        <w:t xml:space="preserve"> that support the students and their placement search</w:t>
      </w:r>
      <w:r w:rsidR="009F6D50">
        <w:rPr>
          <w:rFonts w:cs="Arial"/>
          <w:sz w:val="22"/>
          <w:szCs w:val="22"/>
        </w:rPr>
        <w:t xml:space="preserve">; </w:t>
      </w:r>
      <w:r w:rsidRPr="003F42F2">
        <w:rPr>
          <w:rFonts w:cs="Arial"/>
          <w:sz w:val="22"/>
          <w:szCs w:val="22"/>
        </w:rPr>
        <w:t xml:space="preserve">currently Fleming College does not </w:t>
      </w:r>
      <w:r w:rsidR="009F6D50">
        <w:rPr>
          <w:rFonts w:cs="Arial"/>
          <w:sz w:val="22"/>
          <w:szCs w:val="22"/>
        </w:rPr>
        <w:t xml:space="preserve">follow </w:t>
      </w:r>
      <w:r w:rsidRPr="003F42F2">
        <w:rPr>
          <w:rFonts w:cs="Arial"/>
          <w:sz w:val="22"/>
          <w:szCs w:val="22"/>
        </w:rPr>
        <w:t>this model</w:t>
      </w:r>
      <w:r w:rsidR="005F4052">
        <w:rPr>
          <w:rFonts w:cs="Arial"/>
          <w:sz w:val="22"/>
          <w:szCs w:val="22"/>
        </w:rPr>
        <w:t xml:space="preserve"> due to so few programs requiring co</w:t>
      </w:r>
      <w:r w:rsidR="00037AC8">
        <w:rPr>
          <w:rFonts w:cs="Arial"/>
          <w:sz w:val="22"/>
          <w:szCs w:val="22"/>
        </w:rPr>
        <w:t>-</w:t>
      </w:r>
      <w:r w:rsidR="005F4052">
        <w:rPr>
          <w:rFonts w:cs="Arial"/>
          <w:sz w:val="22"/>
          <w:szCs w:val="22"/>
        </w:rPr>
        <w:t>op as part of their program of study</w:t>
      </w:r>
      <w:r w:rsidRPr="003F42F2">
        <w:rPr>
          <w:rFonts w:cs="Arial"/>
          <w:sz w:val="22"/>
          <w:szCs w:val="22"/>
        </w:rPr>
        <w:t xml:space="preserve">. Contacts and placements for co-op are based on the industry relationships of the program coordinator and the support of the program alumni. </w:t>
      </w:r>
      <w:r w:rsidR="009F6D50">
        <w:rPr>
          <w:rFonts w:cs="Arial"/>
          <w:sz w:val="22"/>
          <w:szCs w:val="22"/>
        </w:rPr>
        <w:t>While t</w:t>
      </w:r>
      <w:r w:rsidRPr="003F42F2">
        <w:rPr>
          <w:rFonts w:cs="Arial"/>
          <w:sz w:val="22"/>
          <w:szCs w:val="22"/>
        </w:rPr>
        <w:t xml:space="preserve">here has been support </w:t>
      </w:r>
      <w:r w:rsidR="009F6D50">
        <w:rPr>
          <w:rFonts w:cs="Arial"/>
          <w:sz w:val="22"/>
          <w:szCs w:val="22"/>
        </w:rPr>
        <w:t>for the</w:t>
      </w:r>
      <w:r w:rsidRPr="003F42F2">
        <w:rPr>
          <w:rFonts w:cs="Arial"/>
          <w:sz w:val="22"/>
          <w:szCs w:val="22"/>
        </w:rPr>
        <w:t xml:space="preserve"> creati</w:t>
      </w:r>
      <w:r w:rsidR="009F6D50">
        <w:rPr>
          <w:rFonts w:cs="Arial"/>
          <w:sz w:val="22"/>
          <w:szCs w:val="22"/>
        </w:rPr>
        <w:t>on of</w:t>
      </w:r>
      <w:r w:rsidRPr="003F42F2">
        <w:rPr>
          <w:rFonts w:cs="Arial"/>
          <w:sz w:val="22"/>
          <w:szCs w:val="22"/>
        </w:rPr>
        <w:t xml:space="preserve"> a co-op office</w:t>
      </w:r>
      <w:r w:rsidR="009F6D50">
        <w:rPr>
          <w:rFonts w:cs="Arial"/>
          <w:sz w:val="22"/>
          <w:szCs w:val="22"/>
        </w:rPr>
        <w:t xml:space="preserve"> (or more general Applied Learning Office)</w:t>
      </w:r>
      <w:r w:rsidRPr="003F42F2">
        <w:rPr>
          <w:rFonts w:cs="Arial"/>
          <w:sz w:val="22"/>
          <w:szCs w:val="22"/>
        </w:rPr>
        <w:t xml:space="preserve"> at Fleming College the future of </w:t>
      </w:r>
      <w:r w:rsidR="009F6D50">
        <w:rPr>
          <w:rFonts w:cs="Arial"/>
          <w:sz w:val="22"/>
          <w:szCs w:val="22"/>
        </w:rPr>
        <w:t>this i</w:t>
      </w:r>
      <w:r w:rsidRPr="003F42F2">
        <w:rPr>
          <w:rFonts w:cs="Arial"/>
          <w:sz w:val="22"/>
          <w:szCs w:val="22"/>
        </w:rPr>
        <w:t xml:space="preserve">s unknown.   </w:t>
      </w:r>
    </w:p>
    <w:p w:rsidR="00C211B8" w:rsidRPr="003F42F2" w:rsidRDefault="00C211B8" w:rsidP="00C211B8">
      <w:pPr>
        <w:tabs>
          <w:tab w:val="left" w:pos="-1440"/>
        </w:tabs>
        <w:rPr>
          <w:rFonts w:cs="Arial"/>
          <w:sz w:val="22"/>
          <w:szCs w:val="22"/>
        </w:rPr>
      </w:pPr>
    </w:p>
    <w:p w:rsidR="00C211B8" w:rsidRPr="003F42F2" w:rsidRDefault="00C211B8" w:rsidP="00EA7676">
      <w:pPr>
        <w:tabs>
          <w:tab w:val="left" w:pos="-1440"/>
        </w:tabs>
        <w:rPr>
          <w:rFonts w:cs="Arial"/>
          <w:sz w:val="22"/>
          <w:szCs w:val="22"/>
        </w:rPr>
      </w:pPr>
      <w:r w:rsidRPr="003F42F2">
        <w:rPr>
          <w:rFonts w:cs="Arial"/>
          <w:sz w:val="22"/>
          <w:szCs w:val="22"/>
        </w:rPr>
        <w:t xml:space="preserve">There have </w:t>
      </w:r>
      <w:r w:rsidR="009F6D50">
        <w:rPr>
          <w:rFonts w:cs="Arial"/>
          <w:sz w:val="22"/>
          <w:szCs w:val="22"/>
        </w:rPr>
        <w:t xml:space="preserve">also </w:t>
      </w:r>
      <w:r w:rsidRPr="003F42F2">
        <w:rPr>
          <w:rFonts w:cs="Arial"/>
          <w:sz w:val="22"/>
          <w:szCs w:val="22"/>
        </w:rPr>
        <w:t xml:space="preserve">been </w:t>
      </w:r>
      <w:r w:rsidR="009F6D50">
        <w:rPr>
          <w:rFonts w:cs="Arial"/>
          <w:sz w:val="22"/>
          <w:szCs w:val="22"/>
        </w:rPr>
        <w:t xml:space="preserve">some </w:t>
      </w:r>
      <w:r w:rsidRPr="003F42F2">
        <w:rPr>
          <w:rFonts w:cs="Arial"/>
          <w:sz w:val="22"/>
          <w:szCs w:val="22"/>
        </w:rPr>
        <w:t xml:space="preserve">internal discussions about </w:t>
      </w:r>
      <w:r w:rsidR="009F6D50">
        <w:rPr>
          <w:rFonts w:cs="Arial"/>
          <w:sz w:val="22"/>
          <w:szCs w:val="22"/>
        </w:rPr>
        <w:t xml:space="preserve">whether the </w:t>
      </w:r>
      <w:r w:rsidRPr="003F42F2">
        <w:rPr>
          <w:rFonts w:cs="Arial"/>
          <w:sz w:val="22"/>
          <w:szCs w:val="22"/>
        </w:rPr>
        <w:t xml:space="preserve">Sporting Goods Business program </w:t>
      </w:r>
      <w:r w:rsidR="009F6D50">
        <w:rPr>
          <w:rFonts w:cs="Arial"/>
          <w:sz w:val="22"/>
          <w:szCs w:val="22"/>
        </w:rPr>
        <w:t xml:space="preserve">should </w:t>
      </w:r>
      <w:r w:rsidRPr="003F42F2">
        <w:rPr>
          <w:rFonts w:cs="Arial"/>
          <w:sz w:val="22"/>
          <w:szCs w:val="22"/>
        </w:rPr>
        <w:t>becom</w:t>
      </w:r>
      <w:r w:rsidR="009F6D50">
        <w:rPr>
          <w:rFonts w:cs="Arial"/>
          <w:sz w:val="22"/>
          <w:szCs w:val="22"/>
        </w:rPr>
        <w:t>e a</w:t>
      </w:r>
      <w:r w:rsidRPr="003F42F2">
        <w:rPr>
          <w:rFonts w:cs="Arial"/>
          <w:sz w:val="22"/>
          <w:szCs w:val="22"/>
        </w:rPr>
        <w:t xml:space="preserve"> part of the Fleming College Applied Agency and </w:t>
      </w:r>
      <w:r w:rsidR="009F6D50">
        <w:rPr>
          <w:rFonts w:cs="Arial"/>
          <w:sz w:val="22"/>
          <w:szCs w:val="22"/>
        </w:rPr>
        <w:t xml:space="preserve">in so doing, </w:t>
      </w:r>
      <w:r w:rsidRPr="003F42F2">
        <w:rPr>
          <w:rFonts w:cs="Arial"/>
          <w:sz w:val="22"/>
          <w:szCs w:val="22"/>
        </w:rPr>
        <w:t>replace the current co-op model</w:t>
      </w:r>
      <w:r w:rsidR="009F6D50">
        <w:rPr>
          <w:rFonts w:cs="Arial"/>
          <w:sz w:val="22"/>
          <w:szCs w:val="22"/>
        </w:rPr>
        <w:t xml:space="preserve"> with an applied learning project</w:t>
      </w:r>
      <w:r w:rsidRPr="003F42F2">
        <w:rPr>
          <w:rFonts w:cs="Arial"/>
          <w:sz w:val="22"/>
          <w:szCs w:val="22"/>
        </w:rPr>
        <w:t xml:space="preserve">. </w:t>
      </w:r>
      <w:r w:rsidR="00AF457C">
        <w:rPr>
          <w:rFonts w:cs="Arial"/>
          <w:sz w:val="22"/>
          <w:szCs w:val="22"/>
        </w:rPr>
        <w:t xml:space="preserve">(This is assuming, of course, that the Agency is able to continue given current space issues.) </w:t>
      </w:r>
      <w:r w:rsidRPr="003F42F2">
        <w:rPr>
          <w:rFonts w:cs="Arial"/>
          <w:sz w:val="22"/>
          <w:szCs w:val="22"/>
        </w:rPr>
        <w:t>The Fleming Applied Agency has aggressively taken on</w:t>
      </w:r>
      <w:r w:rsidR="009F6D50">
        <w:rPr>
          <w:rFonts w:cs="Arial"/>
          <w:sz w:val="22"/>
          <w:szCs w:val="22"/>
        </w:rPr>
        <w:t>,</w:t>
      </w:r>
      <w:r w:rsidRPr="003F42F2">
        <w:rPr>
          <w:rFonts w:cs="Arial"/>
          <w:sz w:val="22"/>
          <w:szCs w:val="22"/>
        </w:rPr>
        <w:t xml:space="preserve"> and is successfully meeting the challenges of</w:t>
      </w:r>
      <w:r w:rsidR="009F6D50">
        <w:rPr>
          <w:rFonts w:cs="Arial"/>
          <w:sz w:val="22"/>
          <w:szCs w:val="22"/>
        </w:rPr>
        <w:t>,</w:t>
      </w:r>
      <w:r w:rsidRPr="003F42F2">
        <w:rPr>
          <w:rFonts w:cs="Arial"/>
          <w:sz w:val="22"/>
          <w:szCs w:val="22"/>
        </w:rPr>
        <w:t xml:space="preserve"> real-world clients. </w:t>
      </w:r>
      <w:r w:rsidRPr="003F42F2">
        <w:rPr>
          <w:rFonts w:cs="Arial"/>
          <w:sz w:val="22"/>
          <w:szCs w:val="22"/>
        </w:rPr>
        <w:lastRenderedPageBreak/>
        <w:t>According to clients, the Agency Group Partners (</w:t>
      </w:r>
      <w:r w:rsidR="009F6D50">
        <w:rPr>
          <w:rFonts w:cs="Arial"/>
          <w:sz w:val="22"/>
          <w:szCs w:val="22"/>
        </w:rPr>
        <w:t xml:space="preserve">our </w:t>
      </w:r>
      <w:r w:rsidRPr="003F42F2">
        <w:rPr>
          <w:rFonts w:cs="Arial"/>
          <w:sz w:val="22"/>
          <w:szCs w:val="22"/>
        </w:rPr>
        <w:t>Fleming students) are more than living up to the promise made in the Agency’s branding slogan</w:t>
      </w:r>
      <w:r w:rsidR="009F6D50">
        <w:rPr>
          <w:rFonts w:cs="Arial"/>
          <w:sz w:val="22"/>
          <w:szCs w:val="22"/>
        </w:rPr>
        <w:t>:</w:t>
      </w:r>
      <w:r w:rsidRPr="003F42F2">
        <w:rPr>
          <w:rFonts w:cs="Arial"/>
          <w:sz w:val="22"/>
          <w:szCs w:val="22"/>
        </w:rPr>
        <w:t xml:space="preserve"> “More Energy + Brighter Minds = Better Marketing Solutions.” As Agency Partners in The Fleming Applied Agency, students are expected to develop and manage client projects using industry-accepted standards. The goal is not just to test applications of past classroom learning; Fleming wants to give its </w:t>
      </w:r>
      <w:r w:rsidR="009F6D50">
        <w:rPr>
          <w:rFonts w:cs="Arial"/>
          <w:sz w:val="22"/>
          <w:szCs w:val="22"/>
        </w:rPr>
        <w:t>g</w:t>
      </w:r>
      <w:r w:rsidRPr="003F42F2">
        <w:rPr>
          <w:rFonts w:cs="Arial"/>
          <w:sz w:val="22"/>
          <w:szCs w:val="22"/>
        </w:rPr>
        <w:t xml:space="preserve">raduates a significant competitive edge when they begin their career. </w:t>
      </w:r>
      <w:r w:rsidR="00AF457C">
        <w:rPr>
          <w:rFonts w:cs="Arial"/>
          <w:sz w:val="22"/>
          <w:szCs w:val="22"/>
        </w:rPr>
        <w:t>More intensive discussion regarding the co-op versus the</w:t>
      </w:r>
      <w:r w:rsidRPr="003F42F2">
        <w:rPr>
          <w:rFonts w:cs="Arial"/>
          <w:sz w:val="22"/>
          <w:szCs w:val="22"/>
        </w:rPr>
        <w:t xml:space="preserve"> applied learning model will </w:t>
      </w:r>
      <w:r w:rsidR="00AF457C">
        <w:rPr>
          <w:rFonts w:cs="Arial"/>
          <w:sz w:val="22"/>
          <w:szCs w:val="22"/>
        </w:rPr>
        <w:t xml:space="preserve">take place </w:t>
      </w:r>
      <w:r w:rsidRPr="003F42F2">
        <w:rPr>
          <w:rFonts w:cs="Arial"/>
          <w:sz w:val="22"/>
          <w:szCs w:val="22"/>
        </w:rPr>
        <w:t xml:space="preserve">during the spring 2014 </w:t>
      </w:r>
      <w:r w:rsidR="00AF457C">
        <w:rPr>
          <w:rFonts w:cs="Arial"/>
          <w:sz w:val="22"/>
          <w:szCs w:val="22"/>
        </w:rPr>
        <w:t>Common Block Development peridods</w:t>
      </w:r>
      <w:r w:rsidRPr="003F42F2">
        <w:rPr>
          <w:rFonts w:cs="Arial"/>
          <w:sz w:val="22"/>
          <w:szCs w:val="22"/>
        </w:rPr>
        <w:t xml:space="preserve">. </w:t>
      </w:r>
    </w:p>
    <w:p w:rsidR="003A6F74" w:rsidRDefault="003A6F74" w:rsidP="003A6F74">
      <w:pPr>
        <w:tabs>
          <w:tab w:val="left" w:pos="-1440"/>
        </w:tabs>
        <w:rPr>
          <w:rFonts w:cs="Arial"/>
          <w:sz w:val="22"/>
          <w:szCs w:val="22"/>
        </w:rPr>
      </w:pPr>
    </w:p>
    <w:p w:rsidR="009524D9" w:rsidRPr="005022EF" w:rsidRDefault="005022EF" w:rsidP="003134E9">
      <w:pPr>
        <w:shd w:val="clear" w:color="auto" w:fill="A6A6A6" w:themeFill="background1" w:themeFillShade="A6"/>
        <w:tabs>
          <w:tab w:val="left" w:pos="-1440"/>
        </w:tabs>
        <w:rPr>
          <w:rFonts w:cs="Arial"/>
          <w:b/>
          <w:sz w:val="22"/>
          <w:szCs w:val="22"/>
        </w:rPr>
      </w:pPr>
      <w:r w:rsidRPr="005022EF">
        <w:rPr>
          <w:rFonts w:cs="Arial"/>
          <w:b/>
          <w:sz w:val="22"/>
          <w:szCs w:val="22"/>
        </w:rPr>
        <w:t>KPI RESULTS</w:t>
      </w:r>
    </w:p>
    <w:p w:rsidR="00A53D39" w:rsidRDefault="00A53D39" w:rsidP="00A53D39">
      <w:pPr>
        <w:tabs>
          <w:tab w:val="left" w:pos="-1440"/>
        </w:tabs>
        <w:rPr>
          <w:rFonts w:cs="Arial"/>
          <w:sz w:val="22"/>
          <w:szCs w:val="22"/>
        </w:rPr>
      </w:pPr>
    </w:p>
    <w:p w:rsidR="007F4362" w:rsidRPr="002D2D32" w:rsidRDefault="007F4362" w:rsidP="007F4362">
      <w:pPr>
        <w:tabs>
          <w:tab w:val="left" w:pos="-1440"/>
        </w:tabs>
        <w:rPr>
          <w:rFonts w:cs="Arial"/>
          <w:sz w:val="22"/>
          <w:szCs w:val="22"/>
        </w:rPr>
      </w:pPr>
      <w:r w:rsidRPr="002D2D32">
        <w:rPr>
          <w:rFonts w:cs="Arial"/>
          <w:sz w:val="22"/>
          <w:szCs w:val="22"/>
        </w:rPr>
        <w:t xml:space="preserve">It is worth noting that KPI data can be difficult to interpret in single-cohort programs as the samples sizes are, by nature, extremely small. In all of the KPI categories, across all five years of reporting, the single largest sample size is 23, with many significantly smaller than that.  </w:t>
      </w:r>
    </w:p>
    <w:p w:rsidR="007F4362" w:rsidRPr="002D2D32" w:rsidRDefault="007F4362" w:rsidP="007F4362">
      <w:pPr>
        <w:tabs>
          <w:tab w:val="left" w:pos="-1440"/>
        </w:tabs>
        <w:rPr>
          <w:rFonts w:cs="Arial"/>
          <w:sz w:val="22"/>
          <w:szCs w:val="22"/>
        </w:rPr>
      </w:pPr>
    </w:p>
    <w:p w:rsidR="002D2D32" w:rsidRPr="002D2D32" w:rsidRDefault="007F4362" w:rsidP="002D2D32">
      <w:pPr>
        <w:tabs>
          <w:tab w:val="left" w:pos="-1440"/>
        </w:tabs>
        <w:rPr>
          <w:rFonts w:cs="Arial"/>
          <w:sz w:val="22"/>
          <w:szCs w:val="22"/>
        </w:rPr>
      </w:pPr>
      <w:r w:rsidRPr="002D2D32">
        <w:rPr>
          <w:rFonts w:cs="Arial"/>
          <w:sz w:val="22"/>
          <w:szCs w:val="22"/>
        </w:rPr>
        <w:t xml:space="preserve">KPI 1: Graduation Rate: </w:t>
      </w:r>
    </w:p>
    <w:p w:rsidR="007F4362" w:rsidRPr="002D2D32" w:rsidRDefault="002D2D32" w:rsidP="002D2D32">
      <w:pPr>
        <w:pStyle w:val="ListParagraph"/>
        <w:numPr>
          <w:ilvl w:val="0"/>
          <w:numId w:val="12"/>
        </w:numPr>
        <w:tabs>
          <w:tab w:val="left" w:pos="-1440"/>
        </w:tabs>
        <w:rPr>
          <w:rFonts w:cs="Arial"/>
          <w:sz w:val="22"/>
          <w:szCs w:val="22"/>
        </w:rPr>
      </w:pPr>
      <w:r w:rsidRPr="002D2D32">
        <w:rPr>
          <w:rFonts w:cs="Arial"/>
          <w:sz w:val="22"/>
          <w:szCs w:val="22"/>
        </w:rPr>
        <w:t xml:space="preserve">The graduation rate for Sporting Goods Business has been consistently below the college and system rates with the five year average figure of 54% landing 12 points below the college and system which were both at 66%.  Several recommendations made in the program review are aimed squarely at improving retention among Sporting Goods students, specifically through addressing one of the most common barriers to graduation: the incoming math skills of Sporting Goods students. </w:t>
      </w:r>
    </w:p>
    <w:p w:rsidR="002D2D32" w:rsidRPr="002D2D32" w:rsidRDefault="002D2D32" w:rsidP="002D2D32">
      <w:pPr>
        <w:pStyle w:val="ListParagraph"/>
        <w:tabs>
          <w:tab w:val="left" w:pos="-1440"/>
        </w:tabs>
        <w:ind w:left="360"/>
        <w:rPr>
          <w:rFonts w:cs="Arial"/>
          <w:sz w:val="22"/>
          <w:szCs w:val="22"/>
        </w:rPr>
      </w:pPr>
    </w:p>
    <w:p w:rsidR="007F4362" w:rsidRPr="00BC0C0E" w:rsidRDefault="007F4362" w:rsidP="007F4362">
      <w:pPr>
        <w:tabs>
          <w:tab w:val="left" w:pos="-1440"/>
        </w:tabs>
        <w:rPr>
          <w:rFonts w:cs="Arial"/>
          <w:sz w:val="22"/>
          <w:szCs w:val="22"/>
        </w:rPr>
      </w:pPr>
      <w:r w:rsidRPr="00BC0C0E">
        <w:rPr>
          <w:rFonts w:cs="Arial"/>
          <w:sz w:val="22"/>
          <w:szCs w:val="22"/>
        </w:rPr>
        <w:t>KPI 2 Overall Employment Rate</w:t>
      </w:r>
    </w:p>
    <w:p w:rsidR="007F4362" w:rsidRPr="00BC0C0E" w:rsidRDefault="007F4362" w:rsidP="007F4362">
      <w:pPr>
        <w:tabs>
          <w:tab w:val="left" w:pos="-1440"/>
        </w:tabs>
        <w:rPr>
          <w:rFonts w:cs="Arial"/>
          <w:sz w:val="22"/>
          <w:szCs w:val="22"/>
        </w:rPr>
      </w:pPr>
      <w:r w:rsidRPr="00BC0C0E">
        <w:rPr>
          <w:rFonts w:cs="Arial"/>
          <w:sz w:val="22"/>
          <w:szCs w:val="22"/>
        </w:rPr>
        <w:t>KPI 3 Related Employment Rate</w:t>
      </w:r>
    </w:p>
    <w:p w:rsidR="002D2D32" w:rsidRPr="00BC0C0E" w:rsidRDefault="002D2D32" w:rsidP="002D2D32">
      <w:pPr>
        <w:pStyle w:val="ListParagraph"/>
        <w:numPr>
          <w:ilvl w:val="0"/>
          <w:numId w:val="12"/>
        </w:numPr>
        <w:tabs>
          <w:tab w:val="left" w:pos="-1440"/>
        </w:tabs>
        <w:rPr>
          <w:rFonts w:cs="Arial"/>
          <w:sz w:val="22"/>
          <w:szCs w:val="22"/>
        </w:rPr>
      </w:pPr>
      <w:r w:rsidRPr="00BC0C0E">
        <w:rPr>
          <w:rFonts w:cs="Arial"/>
          <w:sz w:val="22"/>
          <w:szCs w:val="22"/>
        </w:rPr>
        <w:t>The numbers of graduates who are currently working directly in the field, or in a related field, translate into very strong KPI results</w:t>
      </w:r>
      <w:r w:rsidR="00BC0C0E" w:rsidRPr="00BC0C0E">
        <w:rPr>
          <w:rFonts w:cs="Arial"/>
          <w:sz w:val="22"/>
          <w:szCs w:val="22"/>
        </w:rPr>
        <w:t>—16% and 15% ahead of the system respectively</w:t>
      </w:r>
      <w:r w:rsidRPr="00BC0C0E">
        <w:rPr>
          <w:rFonts w:cs="Arial"/>
          <w:sz w:val="22"/>
          <w:szCs w:val="22"/>
        </w:rPr>
        <w:t xml:space="preserve">. </w:t>
      </w:r>
    </w:p>
    <w:p w:rsidR="00BC0C0E" w:rsidRPr="00BC0C0E" w:rsidRDefault="00BC0C0E" w:rsidP="002D2D32">
      <w:pPr>
        <w:pStyle w:val="ListParagraph"/>
        <w:numPr>
          <w:ilvl w:val="0"/>
          <w:numId w:val="12"/>
        </w:numPr>
        <w:tabs>
          <w:tab w:val="left" w:pos="-1440"/>
        </w:tabs>
        <w:rPr>
          <w:rFonts w:cs="Arial"/>
          <w:sz w:val="22"/>
          <w:szCs w:val="22"/>
        </w:rPr>
      </w:pPr>
      <w:r w:rsidRPr="00BC0C0E">
        <w:rPr>
          <w:rFonts w:cs="Arial"/>
          <w:sz w:val="22"/>
          <w:szCs w:val="22"/>
        </w:rPr>
        <w:t>Please note, however, it is difficult to comment on any kind of pattern based on extremely low respondent numbers in the Sporting Goods Business program. See Appendix 1, attached, for originating data.</w:t>
      </w:r>
    </w:p>
    <w:p w:rsidR="002D2D32" w:rsidRPr="00BC0C0E" w:rsidRDefault="002D2D32" w:rsidP="007F4362">
      <w:pPr>
        <w:tabs>
          <w:tab w:val="left" w:pos="-1440"/>
        </w:tabs>
        <w:rPr>
          <w:rFonts w:cs="Arial"/>
          <w:sz w:val="22"/>
          <w:szCs w:val="22"/>
        </w:rPr>
      </w:pPr>
    </w:p>
    <w:p w:rsidR="002D2D32" w:rsidRPr="00BC0C0E" w:rsidRDefault="002D2D32" w:rsidP="007F4362">
      <w:pPr>
        <w:tabs>
          <w:tab w:val="left" w:pos="-1440"/>
        </w:tabs>
        <w:rPr>
          <w:rFonts w:cs="Arial"/>
          <w:sz w:val="22"/>
          <w:szCs w:val="22"/>
        </w:rPr>
      </w:pPr>
    </w:p>
    <w:p w:rsidR="007F4362" w:rsidRPr="00BC0C0E" w:rsidRDefault="007F4362" w:rsidP="007F4362">
      <w:pPr>
        <w:tabs>
          <w:tab w:val="left" w:pos="-1440"/>
        </w:tabs>
        <w:rPr>
          <w:rFonts w:cs="Arial"/>
          <w:sz w:val="22"/>
          <w:szCs w:val="22"/>
        </w:rPr>
      </w:pPr>
      <w:r w:rsidRPr="00BC0C0E">
        <w:rPr>
          <w:rFonts w:cs="Arial"/>
          <w:sz w:val="22"/>
          <w:szCs w:val="22"/>
        </w:rPr>
        <w:t>KPI 4 Graduate Satisfaction with Generic and Vocational Learning Outcomes</w:t>
      </w:r>
    </w:p>
    <w:p w:rsidR="007F4362" w:rsidRPr="00BC0C0E" w:rsidRDefault="007F4362" w:rsidP="007F4362">
      <w:pPr>
        <w:tabs>
          <w:tab w:val="left" w:pos="-1440"/>
        </w:tabs>
        <w:rPr>
          <w:rFonts w:cs="Arial"/>
          <w:sz w:val="22"/>
          <w:szCs w:val="22"/>
        </w:rPr>
      </w:pPr>
      <w:r w:rsidRPr="00BC0C0E">
        <w:rPr>
          <w:rFonts w:cs="Arial"/>
          <w:sz w:val="22"/>
          <w:szCs w:val="22"/>
        </w:rPr>
        <w:t xml:space="preserve">KPI 11 Graduate </w:t>
      </w:r>
      <w:proofErr w:type="gramStart"/>
      <w:r w:rsidRPr="00BC0C0E">
        <w:rPr>
          <w:rFonts w:cs="Arial"/>
          <w:sz w:val="22"/>
          <w:szCs w:val="22"/>
        </w:rPr>
        <w:t>Satisfaction</w:t>
      </w:r>
      <w:proofErr w:type="gramEnd"/>
      <w:r w:rsidRPr="00BC0C0E">
        <w:rPr>
          <w:rFonts w:cs="Arial"/>
          <w:sz w:val="22"/>
          <w:szCs w:val="22"/>
        </w:rPr>
        <w:t xml:space="preserve"> with Program</w:t>
      </w:r>
    </w:p>
    <w:p w:rsidR="00BC0C0E" w:rsidRPr="00BC0C0E" w:rsidRDefault="00BC0C0E" w:rsidP="007F4362">
      <w:pPr>
        <w:pStyle w:val="ListParagraph"/>
        <w:numPr>
          <w:ilvl w:val="0"/>
          <w:numId w:val="10"/>
        </w:numPr>
        <w:tabs>
          <w:tab w:val="left" w:pos="-1440"/>
        </w:tabs>
        <w:rPr>
          <w:rFonts w:cs="Arial"/>
          <w:sz w:val="22"/>
          <w:szCs w:val="22"/>
        </w:rPr>
      </w:pPr>
      <w:r w:rsidRPr="00BC0C0E">
        <w:rPr>
          <w:rFonts w:cs="Arial"/>
          <w:sz w:val="22"/>
          <w:szCs w:val="22"/>
        </w:rPr>
        <w:t xml:space="preserve">The KPI results for graduate satisfaction are also positive—8% and 6% over the system respectively. </w:t>
      </w:r>
    </w:p>
    <w:p w:rsidR="00BC0C0E" w:rsidRPr="00BC0C0E" w:rsidRDefault="00BC0C0E" w:rsidP="00BC0C0E">
      <w:pPr>
        <w:pStyle w:val="ListParagraph"/>
        <w:numPr>
          <w:ilvl w:val="0"/>
          <w:numId w:val="10"/>
        </w:numPr>
        <w:tabs>
          <w:tab w:val="left" w:pos="-1440"/>
        </w:tabs>
        <w:rPr>
          <w:rFonts w:cs="Arial"/>
          <w:sz w:val="22"/>
          <w:szCs w:val="22"/>
        </w:rPr>
      </w:pPr>
      <w:r w:rsidRPr="00BC0C0E">
        <w:rPr>
          <w:rFonts w:cs="Arial"/>
          <w:sz w:val="22"/>
          <w:szCs w:val="22"/>
        </w:rPr>
        <w:t>Once again, however, it is difficult to comment on any kind of pattern based on extremely low respondent numbers in the Sporting Goods Business program. See Appendix 1, attached, for originating data</w:t>
      </w:r>
      <w:r>
        <w:rPr>
          <w:rFonts w:cs="Arial"/>
          <w:sz w:val="22"/>
          <w:szCs w:val="22"/>
        </w:rPr>
        <w:t>.</w:t>
      </w:r>
    </w:p>
    <w:p w:rsidR="007F4362" w:rsidRPr="00135D26" w:rsidRDefault="007F4362" w:rsidP="007F4362">
      <w:pPr>
        <w:tabs>
          <w:tab w:val="left" w:pos="-1440"/>
        </w:tabs>
        <w:rPr>
          <w:rFonts w:cs="Arial"/>
          <w:sz w:val="22"/>
          <w:szCs w:val="22"/>
          <w:highlight w:val="yellow"/>
        </w:rPr>
      </w:pPr>
    </w:p>
    <w:p w:rsidR="007F4362" w:rsidRPr="00BC0C0E" w:rsidRDefault="007F4362" w:rsidP="007F4362">
      <w:pPr>
        <w:tabs>
          <w:tab w:val="left" w:pos="-1440"/>
        </w:tabs>
        <w:rPr>
          <w:rFonts w:cs="Arial"/>
          <w:sz w:val="22"/>
          <w:szCs w:val="22"/>
        </w:rPr>
      </w:pPr>
      <w:r w:rsidRPr="00BC0C0E">
        <w:rPr>
          <w:rFonts w:cs="Arial"/>
          <w:sz w:val="22"/>
          <w:szCs w:val="22"/>
        </w:rPr>
        <w:t xml:space="preserve">KPI 8: Student Satisfaction with Learning Experience </w:t>
      </w:r>
    </w:p>
    <w:p w:rsidR="007F4362" w:rsidRPr="00BC0C0E" w:rsidRDefault="007F4362" w:rsidP="007F4362">
      <w:pPr>
        <w:tabs>
          <w:tab w:val="left" w:pos="-1440"/>
        </w:tabs>
        <w:rPr>
          <w:rFonts w:cs="Arial"/>
          <w:sz w:val="22"/>
          <w:szCs w:val="22"/>
        </w:rPr>
      </w:pPr>
      <w:r w:rsidRPr="00BC0C0E">
        <w:rPr>
          <w:rFonts w:cs="Arial"/>
          <w:sz w:val="22"/>
          <w:szCs w:val="22"/>
        </w:rPr>
        <w:t>KPI 9: Student Satisfaction with Teachers</w:t>
      </w:r>
    </w:p>
    <w:p w:rsidR="00BC0C0E" w:rsidRPr="00BC0C0E" w:rsidRDefault="00BC0C0E" w:rsidP="007F4362">
      <w:pPr>
        <w:pStyle w:val="ListParagraph"/>
        <w:numPr>
          <w:ilvl w:val="0"/>
          <w:numId w:val="10"/>
        </w:numPr>
        <w:tabs>
          <w:tab w:val="left" w:pos="-1440"/>
        </w:tabs>
        <w:rPr>
          <w:rFonts w:cs="Arial"/>
          <w:sz w:val="22"/>
          <w:szCs w:val="22"/>
        </w:rPr>
      </w:pPr>
      <w:r w:rsidRPr="00BC0C0E">
        <w:rPr>
          <w:rFonts w:cs="Arial"/>
          <w:sz w:val="22"/>
          <w:szCs w:val="22"/>
        </w:rPr>
        <w:t xml:space="preserve">The KPI results for student satisfaction are acceptable, but could be improved, at </w:t>
      </w:r>
      <w:proofErr w:type="gramStart"/>
      <w:r w:rsidRPr="00BC0C0E">
        <w:rPr>
          <w:rFonts w:cs="Arial"/>
          <w:sz w:val="22"/>
          <w:szCs w:val="22"/>
        </w:rPr>
        <w:t>either 5% over the system and</w:t>
      </w:r>
      <w:proofErr w:type="gramEnd"/>
      <w:r w:rsidRPr="00BC0C0E">
        <w:rPr>
          <w:rFonts w:cs="Arial"/>
          <w:sz w:val="22"/>
          <w:szCs w:val="22"/>
        </w:rPr>
        <w:t xml:space="preserve"> 1% below the system respectively. </w:t>
      </w:r>
    </w:p>
    <w:p w:rsidR="007F4362" w:rsidRPr="00BC0C0E" w:rsidRDefault="00BC0C0E" w:rsidP="007F4362">
      <w:pPr>
        <w:pStyle w:val="ListParagraph"/>
        <w:numPr>
          <w:ilvl w:val="0"/>
          <w:numId w:val="10"/>
        </w:numPr>
        <w:tabs>
          <w:tab w:val="left" w:pos="-1440"/>
        </w:tabs>
        <w:rPr>
          <w:rFonts w:cs="Arial"/>
          <w:sz w:val="22"/>
          <w:szCs w:val="22"/>
        </w:rPr>
      </w:pPr>
      <w:r w:rsidRPr="00BC0C0E">
        <w:rPr>
          <w:rFonts w:cs="Arial"/>
          <w:sz w:val="22"/>
          <w:szCs w:val="22"/>
        </w:rPr>
        <w:t xml:space="preserve">Though there are somewhat higher respondent numbers for these indicators, they are still small enough to make it </w:t>
      </w:r>
      <w:r w:rsidR="007F4362" w:rsidRPr="00BC0C0E">
        <w:rPr>
          <w:rFonts w:cs="Arial"/>
          <w:sz w:val="22"/>
          <w:szCs w:val="22"/>
        </w:rPr>
        <w:t>difficult to determine an</w:t>
      </w:r>
      <w:r w:rsidRPr="00BC0C0E">
        <w:rPr>
          <w:rFonts w:cs="Arial"/>
          <w:sz w:val="22"/>
          <w:szCs w:val="22"/>
        </w:rPr>
        <w:t>y clear pattern.</w:t>
      </w:r>
      <w:r w:rsidR="007F4362" w:rsidRPr="00BC0C0E">
        <w:rPr>
          <w:rFonts w:cs="Arial"/>
          <w:sz w:val="22"/>
          <w:szCs w:val="22"/>
        </w:rPr>
        <w:t xml:space="preserve"> </w:t>
      </w:r>
    </w:p>
    <w:p w:rsidR="007F4362" w:rsidRPr="00BC0C0E" w:rsidRDefault="007F4362" w:rsidP="007F4362">
      <w:pPr>
        <w:tabs>
          <w:tab w:val="left" w:pos="-1440"/>
        </w:tabs>
        <w:rPr>
          <w:rFonts w:cs="Arial"/>
          <w:sz w:val="22"/>
          <w:szCs w:val="22"/>
        </w:rPr>
      </w:pPr>
    </w:p>
    <w:p w:rsidR="007F4362" w:rsidRPr="00BC0C0E" w:rsidRDefault="007F4362" w:rsidP="007F4362">
      <w:pPr>
        <w:tabs>
          <w:tab w:val="left" w:pos="-1440"/>
        </w:tabs>
        <w:rPr>
          <w:rFonts w:cs="Arial"/>
          <w:sz w:val="22"/>
          <w:szCs w:val="22"/>
        </w:rPr>
      </w:pPr>
      <w:r w:rsidRPr="00BC0C0E">
        <w:rPr>
          <w:rFonts w:cs="Arial"/>
          <w:sz w:val="22"/>
          <w:szCs w:val="22"/>
        </w:rPr>
        <w:t>Please see Appendix 1 for program excerpt from the KPI Report</w:t>
      </w:r>
    </w:p>
    <w:p w:rsidR="005022EF" w:rsidRPr="00097A6B" w:rsidRDefault="005022EF" w:rsidP="001019C8">
      <w:pPr>
        <w:pStyle w:val="ListParagraph"/>
        <w:tabs>
          <w:tab w:val="left" w:pos="-1440"/>
        </w:tabs>
        <w:rPr>
          <w:rFonts w:cs="Arial"/>
          <w:sz w:val="22"/>
          <w:szCs w:val="22"/>
        </w:rPr>
      </w:pPr>
    </w:p>
    <w:p w:rsidR="00D6464B" w:rsidRDefault="00D6464B" w:rsidP="000D2749">
      <w:pPr>
        <w:tabs>
          <w:tab w:val="left" w:pos="-1440"/>
        </w:tabs>
        <w:rPr>
          <w:rFonts w:cs="Arial"/>
          <w:sz w:val="22"/>
          <w:szCs w:val="22"/>
        </w:rPr>
      </w:pP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S</w:t>
      </w:r>
      <w:r w:rsidR="001019C8">
        <w:rPr>
          <w:rFonts w:cs="Arial"/>
          <w:b/>
          <w:sz w:val="22"/>
          <w:szCs w:val="22"/>
        </w:rPr>
        <w:t>TUDENT DEMAND</w:t>
      </w:r>
    </w:p>
    <w:p w:rsidR="00C56042" w:rsidRDefault="00C56042" w:rsidP="000D2749">
      <w:pPr>
        <w:tabs>
          <w:tab w:val="left" w:pos="-1440"/>
        </w:tabs>
        <w:rPr>
          <w:rFonts w:cs="Arial"/>
          <w:sz w:val="22"/>
          <w:szCs w:val="22"/>
        </w:rPr>
      </w:pPr>
    </w:p>
    <w:p w:rsidR="0090614B" w:rsidRPr="003A6F74" w:rsidRDefault="0090614B" w:rsidP="0090614B">
      <w:pPr>
        <w:pStyle w:val="ListParagraph"/>
        <w:numPr>
          <w:ilvl w:val="0"/>
          <w:numId w:val="10"/>
        </w:numPr>
        <w:tabs>
          <w:tab w:val="left" w:pos="-1440"/>
        </w:tabs>
        <w:rPr>
          <w:rFonts w:cs="Arial"/>
          <w:sz w:val="22"/>
          <w:szCs w:val="22"/>
        </w:rPr>
      </w:pPr>
      <w:r w:rsidRPr="003A6F74">
        <w:rPr>
          <w:rFonts w:cs="Arial"/>
          <w:sz w:val="22"/>
          <w:szCs w:val="22"/>
        </w:rPr>
        <w:t xml:space="preserve">The student demand for the </w:t>
      </w:r>
      <w:r w:rsidR="003A6F74">
        <w:rPr>
          <w:rFonts w:cs="Arial"/>
          <w:sz w:val="22"/>
          <w:szCs w:val="22"/>
        </w:rPr>
        <w:t xml:space="preserve">Sporting Good Business diploma is weak. Fleming is the only school to offer this program, but the enrollment </w:t>
      </w:r>
      <w:r w:rsidR="00031233">
        <w:rPr>
          <w:rFonts w:cs="Arial"/>
          <w:sz w:val="22"/>
          <w:szCs w:val="22"/>
        </w:rPr>
        <w:t xml:space="preserve">growth </w:t>
      </w:r>
      <w:r w:rsidR="003A6F74">
        <w:rPr>
          <w:rFonts w:cs="Arial"/>
          <w:sz w:val="22"/>
          <w:szCs w:val="22"/>
        </w:rPr>
        <w:t xml:space="preserve">has been negative throughout the last five years, giving the </w:t>
      </w:r>
      <w:r w:rsidR="00031233">
        <w:rPr>
          <w:rFonts w:cs="Arial"/>
          <w:sz w:val="22"/>
          <w:szCs w:val="22"/>
        </w:rPr>
        <w:t>program</w:t>
      </w:r>
      <w:r w:rsidR="003A6F74">
        <w:rPr>
          <w:rFonts w:cs="Arial"/>
          <w:sz w:val="22"/>
          <w:szCs w:val="22"/>
        </w:rPr>
        <w:t xml:space="preserve"> a mean growth rate of -13% and an average registration of 27 students. </w:t>
      </w:r>
    </w:p>
    <w:p w:rsidR="0090614B" w:rsidRPr="007879D8" w:rsidRDefault="00DA2551" w:rsidP="0090614B">
      <w:pPr>
        <w:pStyle w:val="ListParagraph"/>
        <w:numPr>
          <w:ilvl w:val="1"/>
          <w:numId w:val="10"/>
        </w:numPr>
        <w:tabs>
          <w:tab w:val="left" w:pos="-1440"/>
        </w:tabs>
        <w:rPr>
          <w:rFonts w:cs="Arial"/>
          <w:sz w:val="22"/>
          <w:szCs w:val="22"/>
        </w:rPr>
      </w:pPr>
      <w:r w:rsidRPr="007879D8">
        <w:rPr>
          <w:rFonts w:cs="Arial"/>
          <w:sz w:val="22"/>
          <w:szCs w:val="22"/>
        </w:rPr>
        <w:t xml:space="preserve">The recent marketing push for this program (as a part of a broader campaign advertising Fleming’s remarkable new athletic fields), has already resulted in </w:t>
      </w:r>
      <w:r w:rsidR="0015661F">
        <w:rPr>
          <w:rFonts w:cs="Arial"/>
          <w:sz w:val="22"/>
          <w:szCs w:val="22"/>
        </w:rPr>
        <w:t>40</w:t>
      </w:r>
      <w:r w:rsidR="007879D8" w:rsidRPr="007879D8">
        <w:rPr>
          <w:rFonts w:cs="Arial"/>
          <w:sz w:val="22"/>
          <w:szCs w:val="22"/>
        </w:rPr>
        <w:t xml:space="preserve">% growth </w:t>
      </w:r>
      <w:r w:rsidRPr="007879D8">
        <w:rPr>
          <w:rFonts w:cs="Arial"/>
          <w:sz w:val="22"/>
          <w:szCs w:val="22"/>
        </w:rPr>
        <w:t xml:space="preserve">in early </w:t>
      </w:r>
      <w:r w:rsidR="0015661F">
        <w:rPr>
          <w:rFonts w:cs="Arial"/>
          <w:sz w:val="22"/>
          <w:szCs w:val="22"/>
        </w:rPr>
        <w:t xml:space="preserve">application </w:t>
      </w:r>
      <w:r w:rsidRPr="007879D8">
        <w:rPr>
          <w:rFonts w:cs="Arial"/>
          <w:sz w:val="22"/>
          <w:szCs w:val="22"/>
        </w:rPr>
        <w:t>num</w:t>
      </w:r>
      <w:r w:rsidR="007879D8">
        <w:rPr>
          <w:rFonts w:cs="Arial"/>
          <w:sz w:val="22"/>
          <w:szCs w:val="22"/>
        </w:rPr>
        <w:t>bers as compared to last year</w:t>
      </w:r>
      <w:r w:rsidR="0015661F">
        <w:rPr>
          <w:rFonts w:cs="Arial"/>
          <w:sz w:val="22"/>
          <w:szCs w:val="22"/>
        </w:rPr>
        <w:t>—as of January 22</w:t>
      </w:r>
      <w:r w:rsidR="0015661F" w:rsidRPr="0015661F">
        <w:rPr>
          <w:rFonts w:cs="Arial"/>
          <w:sz w:val="22"/>
          <w:szCs w:val="22"/>
          <w:vertAlign w:val="superscript"/>
        </w:rPr>
        <w:t>nd</w:t>
      </w:r>
      <w:r w:rsidR="0015661F">
        <w:rPr>
          <w:rFonts w:cs="Arial"/>
          <w:sz w:val="22"/>
          <w:szCs w:val="22"/>
        </w:rPr>
        <w:t>, 2014)</w:t>
      </w:r>
      <w:r w:rsidR="007879D8">
        <w:rPr>
          <w:rFonts w:cs="Arial"/>
          <w:sz w:val="22"/>
          <w:szCs w:val="22"/>
        </w:rPr>
        <w:t xml:space="preserve">. </w:t>
      </w:r>
    </w:p>
    <w:p w:rsidR="006A316A" w:rsidRPr="003A6F74" w:rsidRDefault="006A316A" w:rsidP="0090614B">
      <w:pPr>
        <w:tabs>
          <w:tab w:val="left" w:pos="-1440"/>
        </w:tabs>
        <w:rPr>
          <w:rFonts w:cs="Arial"/>
          <w:sz w:val="22"/>
          <w:szCs w:val="22"/>
        </w:rPr>
      </w:pPr>
    </w:p>
    <w:p w:rsidR="0090614B" w:rsidRPr="003A6F74" w:rsidRDefault="0090614B" w:rsidP="0090614B">
      <w:pPr>
        <w:tabs>
          <w:tab w:val="left" w:pos="-1440"/>
        </w:tabs>
        <w:rPr>
          <w:rFonts w:cs="Arial"/>
          <w:sz w:val="22"/>
          <w:szCs w:val="22"/>
        </w:rPr>
      </w:pPr>
      <w:r w:rsidRPr="003A6F74">
        <w:rPr>
          <w:rFonts w:cs="Arial"/>
          <w:sz w:val="22"/>
          <w:szCs w:val="22"/>
        </w:rPr>
        <w:t>Please see Appendix 2 for program excerpt from the Enrolment Trend Report</w:t>
      </w:r>
    </w:p>
    <w:p w:rsidR="001019C8" w:rsidRPr="00612674" w:rsidRDefault="001019C8" w:rsidP="00612674">
      <w:pPr>
        <w:tabs>
          <w:tab w:val="left" w:pos="-1440"/>
        </w:tabs>
        <w:ind w:left="720"/>
        <w:rPr>
          <w:rFonts w:cs="Arial"/>
          <w:sz w:val="22"/>
          <w:szCs w:val="22"/>
        </w:rPr>
      </w:pPr>
    </w:p>
    <w:p w:rsidR="001019C8" w:rsidRDefault="001019C8" w:rsidP="000D2749">
      <w:pPr>
        <w:tabs>
          <w:tab w:val="left" w:pos="-1440"/>
        </w:tabs>
        <w:rPr>
          <w:rFonts w:cs="Arial"/>
          <w:sz w:val="22"/>
          <w:szCs w:val="22"/>
        </w:rPr>
      </w:pPr>
    </w:p>
    <w:p w:rsidR="001019C8" w:rsidRPr="001019C8" w:rsidRDefault="001019C8" w:rsidP="003134E9">
      <w:pPr>
        <w:shd w:val="clear" w:color="auto" w:fill="A6A6A6" w:themeFill="background1" w:themeFillShade="A6"/>
        <w:tabs>
          <w:tab w:val="left" w:pos="-1440"/>
        </w:tabs>
        <w:rPr>
          <w:rFonts w:cs="Arial"/>
          <w:b/>
          <w:sz w:val="22"/>
          <w:szCs w:val="22"/>
        </w:rPr>
      </w:pPr>
      <w:r w:rsidRPr="001019C8">
        <w:rPr>
          <w:rFonts w:cs="Arial"/>
          <w:b/>
          <w:sz w:val="22"/>
          <w:szCs w:val="22"/>
        </w:rPr>
        <w:t>COMPETITOR ANALYSIS</w:t>
      </w:r>
    </w:p>
    <w:p w:rsidR="001019C8" w:rsidRDefault="001019C8" w:rsidP="000D2749">
      <w:pPr>
        <w:tabs>
          <w:tab w:val="left" w:pos="-1440"/>
        </w:tabs>
        <w:rPr>
          <w:rFonts w:cs="Arial"/>
          <w:sz w:val="22"/>
          <w:szCs w:val="22"/>
        </w:rPr>
      </w:pPr>
    </w:p>
    <w:p w:rsidR="0090614B" w:rsidRPr="00F56CCC" w:rsidRDefault="0090614B" w:rsidP="0090614B">
      <w:pPr>
        <w:tabs>
          <w:tab w:val="left" w:pos="-1440"/>
        </w:tabs>
        <w:rPr>
          <w:rFonts w:cs="Arial"/>
          <w:sz w:val="22"/>
          <w:szCs w:val="22"/>
        </w:rPr>
      </w:pPr>
    </w:p>
    <w:p w:rsidR="0090614B" w:rsidRPr="00782355" w:rsidRDefault="00BC0C0E" w:rsidP="0090614B">
      <w:pPr>
        <w:pStyle w:val="ListParagraph"/>
        <w:numPr>
          <w:ilvl w:val="0"/>
          <w:numId w:val="6"/>
        </w:numPr>
        <w:tabs>
          <w:tab w:val="left" w:pos="-1440"/>
        </w:tabs>
        <w:rPr>
          <w:rFonts w:cs="Arial"/>
          <w:sz w:val="22"/>
          <w:szCs w:val="22"/>
        </w:rPr>
      </w:pPr>
      <w:r w:rsidRPr="00782355">
        <w:rPr>
          <w:rFonts w:cs="Arial"/>
          <w:sz w:val="22"/>
          <w:szCs w:val="22"/>
        </w:rPr>
        <w:t xml:space="preserve">As our program is unique in the system, it is difficult to provide a clear competitor analysis. </w:t>
      </w:r>
      <w:r w:rsidR="00782355">
        <w:rPr>
          <w:rFonts w:cs="Arial"/>
          <w:sz w:val="22"/>
          <w:szCs w:val="22"/>
        </w:rPr>
        <w:t>In terms of conversion data, t</w:t>
      </w:r>
      <w:r w:rsidRPr="00782355">
        <w:rPr>
          <w:rFonts w:cs="Arial"/>
          <w:sz w:val="22"/>
          <w:szCs w:val="22"/>
        </w:rPr>
        <w:t>he program’s conversion ratio has been on a slow worsening trend, from</w:t>
      </w:r>
      <w:r w:rsidR="00782355">
        <w:rPr>
          <w:rFonts w:cs="Arial"/>
          <w:sz w:val="22"/>
          <w:szCs w:val="22"/>
        </w:rPr>
        <w:t xml:space="preserve"> </w:t>
      </w:r>
      <w:r w:rsidR="00782355" w:rsidRPr="00037AC8">
        <w:rPr>
          <w:rFonts w:cs="Arial"/>
          <w:sz w:val="22"/>
          <w:szCs w:val="22"/>
        </w:rPr>
        <w:t>3.6</w:t>
      </w:r>
      <w:r w:rsidR="00037AC8" w:rsidRPr="00037AC8">
        <w:rPr>
          <w:rFonts w:cs="Arial"/>
          <w:sz w:val="22"/>
          <w:szCs w:val="22"/>
        </w:rPr>
        <w:t>:1</w:t>
      </w:r>
      <w:r w:rsidR="00782355" w:rsidRPr="00037AC8">
        <w:rPr>
          <w:rFonts w:cs="Arial"/>
          <w:sz w:val="22"/>
          <w:szCs w:val="22"/>
        </w:rPr>
        <w:t xml:space="preserve"> in 2008 to 5.1</w:t>
      </w:r>
      <w:r w:rsidR="00037AC8" w:rsidRPr="00037AC8">
        <w:rPr>
          <w:rFonts w:cs="Arial"/>
          <w:sz w:val="22"/>
          <w:szCs w:val="22"/>
        </w:rPr>
        <w:t>:1</w:t>
      </w:r>
      <w:r w:rsidR="00782355" w:rsidRPr="00037AC8">
        <w:rPr>
          <w:rFonts w:cs="Arial"/>
          <w:sz w:val="22"/>
          <w:szCs w:val="22"/>
        </w:rPr>
        <w:t xml:space="preserve"> in 2012</w:t>
      </w:r>
      <w:r w:rsidR="00782355">
        <w:rPr>
          <w:rFonts w:cs="Arial"/>
          <w:sz w:val="22"/>
          <w:szCs w:val="22"/>
        </w:rPr>
        <w:t xml:space="preserve">. This trend is not dramatically out of line with the trend seen in our closest competitor programs, the Sports Management Programs at Durham and Humber. </w:t>
      </w:r>
    </w:p>
    <w:p w:rsidR="0090614B" w:rsidRPr="00BC0C0E" w:rsidRDefault="0090614B" w:rsidP="0090614B">
      <w:pPr>
        <w:pStyle w:val="ListParagraph"/>
        <w:tabs>
          <w:tab w:val="left" w:pos="-1440"/>
        </w:tabs>
        <w:rPr>
          <w:rFonts w:cs="Arial"/>
          <w:sz w:val="22"/>
          <w:szCs w:val="22"/>
        </w:rPr>
      </w:pPr>
    </w:p>
    <w:p w:rsidR="0090614B" w:rsidRPr="00F56CCC" w:rsidRDefault="0090614B" w:rsidP="0090614B">
      <w:pPr>
        <w:tabs>
          <w:tab w:val="left" w:pos="-1440"/>
        </w:tabs>
        <w:rPr>
          <w:rFonts w:cs="Arial"/>
          <w:sz w:val="22"/>
          <w:szCs w:val="22"/>
        </w:rPr>
      </w:pPr>
      <w:r w:rsidRPr="00BC0C0E">
        <w:rPr>
          <w:rFonts w:cs="Arial"/>
          <w:sz w:val="22"/>
          <w:szCs w:val="22"/>
        </w:rPr>
        <w:t>Please see Appendix 3 for program excerpt</w:t>
      </w:r>
      <w:r w:rsidR="00782355">
        <w:rPr>
          <w:rFonts w:cs="Arial"/>
          <w:sz w:val="22"/>
          <w:szCs w:val="22"/>
        </w:rPr>
        <w:t>s</w:t>
      </w:r>
      <w:r w:rsidRPr="00BC0C0E">
        <w:rPr>
          <w:rFonts w:cs="Arial"/>
          <w:sz w:val="22"/>
          <w:szCs w:val="22"/>
        </w:rPr>
        <w:t xml:space="preserve"> from the Conversion Report.</w:t>
      </w:r>
      <w:r w:rsidRPr="00F56CCC">
        <w:rPr>
          <w:rFonts w:cs="Arial"/>
          <w:sz w:val="22"/>
          <w:szCs w:val="22"/>
        </w:rPr>
        <w:t xml:space="preserve"> </w:t>
      </w:r>
    </w:p>
    <w:p w:rsidR="00965E0D" w:rsidRDefault="00965E0D" w:rsidP="000D2749">
      <w:pPr>
        <w:tabs>
          <w:tab w:val="left" w:pos="-1440"/>
        </w:tabs>
        <w:rPr>
          <w:rFonts w:cs="Arial"/>
          <w:b/>
          <w:sz w:val="22"/>
          <w:szCs w:val="22"/>
        </w:rPr>
      </w:pPr>
    </w:p>
    <w:p w:rsidR="00951F06" w:rsidRDefault="00951F06" w:rsidP="000D2749">
      <w:pPr>
        <w:tabs>
          <w:tab w:val="left" w:pos="-1440"/>
        </w:tabs>
        <w:rPr>
          <w:rFonts w:cs="Arial"/>
          <w:b/>
          <w:sz w:val="22"/>
          <w:szCs w:val="22"/>
        </w:rPr>
      </w:pP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FINANCIAL ANALYSIS</w:t>
      </w:r>
    </w:p>
    <w:p w:rsidR="00C56042" w:rsidRDefault="00C56042" w:rsidP="00965E0D">
      <w:pPr>
        <w:tabs>
          <w:tab w:val="left" w:pos="-1440"/>
        </w:tabs>
        <w:rPr>
          <w:rFonts w:cs="Arial"/>
          <w:sz w:val="22"/>
          <w:szCs w:val="22"/>
        </w:rPr>
      </w:pPr>
    </w:p>
    <w:p w:rsidR="0090614B" w:rsidRPr="00F56CCC" w:rsidRDefault="0090614B" w:rsidP="0090614B">
      <w:pPr>
        <w:pStyle w:val="ListParagraph"/>
        <w:numPr>
          <w:ilvl w:val="0"/>
          <w:numId w:val="11"/>
        </w:numPr>
        <w:tabs>
          <w:tab w:val="left" w:pos="-1440"/>
        </w:tabs>
        <w:rPr>
          <w:sz w:val="22"/>
        </w:rPr>
      </w:pPr>
      <w:r w:rsidRPr="00F56CCC">
        <w:rPr>
          <w:sz w:val="22"/>
        </w:rPr>
        <w:t xml:space="preserve">The financial analysis for </w:t>
      </w:r>
      <w:r w:rsidR="00A86FEC">
        <w:rPr>
          <w:sz w:val="22"/>
        </w:rPr>
        <w:t>Sporting Goods Business</w:t>
      </w:r>
      <w:r w:rsidRPr="00F56CCC">
        <w:rPr>
          <w:sz w:val="22"/>
        </w:rPr>
        <w:t xml:space="preserve"> is </w:t>
      </w:r>
      <w:r w:rsidR="00A86FEC">
        <w:rPr>
          <w:sz w:val="22"/>
        </w:rPr>
        <w:t>moderate</w:t>
      </w:r>
      <w:r w:rsidRPr="00F56CCC">
        <w:rPr>
          <w:sz w:val="22"/>
        </w:rPr>
        <w:t>.</w:t>
      </w:r>
    </w:p>
    <w:p w:rsidR="0090614B" w:rsidRPr="00F56CCC" w:rsidRDefault="0090614B" w:rsidP="0090614B">
      <w:pPr>
        <w:pStyle w:val="ListParagraph"/>
        <w:numPr>
          <w:ilvl w:val="1"/>
          <w:numId w:val="11"/>
        </w:numPr>
        <w:tabs>
          <w:tab w:val="left" w:pos="-1440"/>
        </w:tabs>
        <w:rPr>
          <w:sz w:val="22"/>
        </w:rPr>
      </w:pPr>
      <w:r w:rsidRPr="00F56CCC">
        <w:rPr>
          <w:sz w:val="22"/>
        </w:rPr>
        <w:t xml:space="preserve">Contribution to overhead: </w:t>
      </w:r>
      <w:r w:rsidR="00A86FEC">
        <w:rPr>
          <w:sz w:val="22"/>
        </w:rPr>
        <w:t>33</w:t>
      </w:r>
      <w:r w:rsidRPr="00F56CCC">
        <w:rPr>
          <w:sz w:val="22"/>
        </w:rPr>
        <w:t>.6%</w:t>
      </w:r>
    </w:p>
    <w:p w:rsidR="0090614B" w:rsidRPr="00F56CCC" w:rsidRDefault="0090614B" w:rsidP="0090614B">
      <w:pPr>
        <w:pStyle w:val="ListParagraph"/>
        <w:numPr>
          <w:ilvl w:val="1"/>
          <w:numId w:val="11"/>
        </w:numPr>
        <w:tabs>
          <w:tab w:val="left" w:pos="-1440"/>
        </w:tabs>
        <w:rPr>
          <w:sz w:val="22"/>
        </w:rPr>
      </w:pPr>
      <w:r w:rsidRPr="00F56CCC">
        <w:rPr>
          <w:sz w:val="22"/>
        </w:rPr>
        <w:t>Program Weight: 1</w:t>
      </w:r>
      <w:r w:rsidR="00A86FEC">
        <w:rPr>
          <w:sz w:val="22"/>
        </w:rPr>
        <w:t>.10</w:t>
      </w:r>
    </w:p>
    <w:p w:rsidR="0090614B" w:rsidRPr="00F56CCC" w:rsidRDefault="00A86FEC" w:rsidP="0090614B">
      <w:pPr>
        <w:pStyle w:val="ListParagraph"/>
        <w:numPr>
          <w:ilvl w:val="1"/>
          <w:numId w:val="11"/>
        </w:numPr>
        <w:tabs>
          <w:tab w:val="left" w:pos="-1440"/>
        </w:tabs>
        <w:rPr>
          <w:rFonts w:cs="Arial"/>
          <w:sz w:val="22"/>
          <w:szCs w:val="22"/>
        </w:rPr>
      </w:pPr>
      <w:r>
        <w:rPr>
          <w:sz w:val="22"/>
        </w:rPr>
        <w:t>Funding Unit: 2.10</w:t>
      </w:r>
    </w:p>
    <w:p w:rsidR="00A86FEC" w:rsidRPr="00A86FEC" w:rsidRDefault="00A86FEC" w:rsidP="00A86FEC">
      <w:pPr>
        <w:pStyle w:val="ListParagraph"/>
        <w:tabs>
          <w:tab w:val="left" w:pos="-1440"/>
        </w:tabs>
        <w:rPr>
          <w:rFonts w:cs="Arial"/>
          <w:sz w:val="22"/>
          <w:szCs w:val="22"/>
        </w:rPr>
      </w:pPr>
    </w:p>
    <w:p w:rsidR="00951F06" w:rsidRDefault="00112302" w:rsidP="00951F06">
      <w:pPr>
        <w:tabs>
          <w:tab w:val="left" w:pos="-1440"/>
        </w:tabs>
        <w:ind w:left="720"/>
      </w:pPr>
      <w:r w:rsidRPr="00951F06">
        <w:rPr>
          <w:rFonts w:cs="Arial"/>
          <w:sz w:val="22"/>
          <w:szCs w:val="22"/>
        </w:rPr>
        <w:t xml:space="preserve">Source:  Program </w:t>
      </w:r>
      <w:r w:rsidR="00965E0D" w:rsidRPr="00951F06">
        <w:rPr>
          <w:rFonts w:cs="Arial"/>
          <w:sz w:val="22"/>
          <w:szCs w:val="22"/>
        </w:rPr>
        <w:t xml:space="preserve">Costing Analysis </w:t>
      </w:r>
      <w:r w:rsidR="00951F06" w:rsidRPr="00951F06">
        <w:rPr>
          <w:rFonts w:cs="Arial"/>
          <w:sz w:val="22"/>
          <w:szCs w:val="22"/>
        </w:rPr>
        <w:t>from the ‘Key Research Findings Report’ on the FDR website.</w:t>
      </w:r>
      <w:r w:rsidR="00951F06" w:rsidRPr="00951F06">
        <w:t xml:space="preserve"> </w:t>
      </w:r>
      <w:hyperlink r:id="rId10" w:history="1">
        <w:r w:rsidR="00951F06" w:rsidRPr="00240AFB">
          <w:rPr>
            <w:rStyle w:val="Hyperlink"/>
            <w:rFonts w:cs="Arial"/>
            <w:sz w:val="22"/>
            <w:szCs w:val="22"/>
          </w:rPr>
          <w:t>http://fleming0.flemingc.on.ca/SEM/FlemingDataResearch/Enrollment/Enrollmentwelcome.html</w:t>
        </w:r>
      </w:hyperlink>
    </w:p>
    <w:p w:rsidR="00AC1455" w:rsidRDefault="00AC1455" w:rsidP="00951F06">
      <w:pPr>
        <w:tabs>
          <w:tab w:val="left" w:pos="-1440"/>
        </w:tabs>
        <w:ind w:left="720"/>
      </w:pPr>
    </w:p>
    <w:p w:rsidR="00AC1455" w:rsidRDefault="00AC1455" w:rsidP="00951F06">
      <w:pPr>
        <w:tabs>
          <w:tab w:val="left" w:pos="-1440"/>
        </w:tabs>
        <w:ind w:left="720"/>
      </w:pPr>
    </w:p>
    <w:p w:rsidR="00AC1455" w:rsidRPr="00612674" w:rsidRDefault="00AC1455" w:rsidP="00951F06">
      <w:pPr>
        <w:tabs>
          <w:tab w:val="left" w:pos="-1440"/>
        </w:tabs>
        <w:ind w:left="720"/>
        <w:rPr>
          <w:rFonts w:cs="Arial"/>
          <w:sz w:val="22"/>
          <w:szCs w:val="22"/>
        </w:rPr>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76759D" w:rsidRDefault="0076759D"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9524D9">
        <w:rPr>
          <w:rFonts w:cs="Arial"/>
          <w:sz w:val="22"/>
          <w:szCs w:val="22"/>
        </w:rPr>
        <w:t xml:space="preserve">A </w:t>
      </w:r>
      <w:r w:rsidRPr="009524D9">
        <w:rPr>
          <w:rFonts w:cs="Arial"/>
          <w:sz w:val="22"/>
          <w:szCs w:val="22"/>
          <w:u w:val="single"/>
        </w:rPr>
        <w:t>summary</w:t>
      </w:r>
      <w:r w:rsidRPr="009524D9">
        <w:rPr>
          <w:rFonts w:cs="Arial"/>
          <w:sz w:val="22"/>
          <w:szCs w:val="22"/>
        </w:rPr>
        <w:t xml:space="preserve"> of the recommendations contained within the full report.</w:t>
      </w:r>
      <w:r w:rsidRPr="009524D9">
        <w:rPr>
          <w:rFonts w:cs="Arial"/>
          <w:b/>
          <w:sz w:val="22"/>
          <w:szCs w:val="22"/>
        </w:rPr>
        <w:t xml:space="preserve">        </w:t>
      </w:r>
    </w:p>
    <w:p w:rsidR="00EB5128" w:rsidRPr="009524D9"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Building on Program Strengths</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782355" w:rsidRPr="00782355" w:rsidRDefault="00782355" w:rsidP="00782355">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Review the Co-operative Education element to ensure that it is providing students with the best possible applied learning opportunity.</w:t>
      </w:r>
      <w:r w:rsidRPr="00782355">
        <w:rPr>
          <w:rFonts w:cs="Arial"/>
          <w:sz w:val="22"/>
          <w:szCs w:val="22"/>
        </w:rPr>
        <w:t xml:space="preserve"> </w:t>
      </w:r>
    </w:p>
    <w:p w:rsidR="00782355" w:rsidRDefault="00782355" w:rsidP="00782355">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lastRenderedPageBreak/>
        <w:t>Increase the use of computer simulations as culminating experiences for students, e.g. “Mike’s Bikes.”</w:t>
      </w:r>
    </w:p>
    <w:p w:rsidR="00782355" w:rsidRDefault="00782355" w:rsidP="00782355">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82355">
        <w:rPr>
          <w:rFonts w:cs="Arial"/>
          <w:sz w:val="22"/>
          <w:szCs w:val="22"/>
        </w:rPr>
        <w:t xml:space="preserve">Work to develop articulation agreements with other post-secondary programs, both within Canada and internationally. </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Developed to Address Gaps Identified</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782355" w:rsidP="00EB5128">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82355">
        <w:rPr>
          <w:rFonts w:cs="Arial"/>
          <w:sz w:val="22"/>
          <w:szCs w:val="22"/>
        </w:rPr>
        <w:t xml:space="preserve">Continue targeted marketing via traditional advertising, social media, and secondary school outreach. </w:t>
      </w:r>
    </w:p>
    <w:p w:rsidR="00782355" w:rsidRDefault="00782355" w:rsidP="00EB5128">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Explore the benefits of joining the common first year within the Business program cluster. </w:t>
      </w:r>
    </w:p>
    <w:p w:rsidR="00782355" w:rsidRDefault="00782355" w:rsidP="00EB5128">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Review and revise curriculum to adequately support students in achieving required program learning outcomes without putting up unnecessary barriers to graduation, e.g. ensure that math skills students are learning are appropriate for career path and then provide support for students who may require it. </w:t>
      </w:r>
    </w:p>
    <w:p w:rsidR="00EB5128" w:rsidRPr="0061469F" w:rsidRDefault="0061469F" w:rsidP="00EB5128">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61469F">
        <w:rPr>
          <w:rFonts w:cs="Arial"/>
          <w:sz w:val="22"/>
          <w:szCs w:val="22"/>
        </w:rPr>
        <w:t xml:space="preserve">Review the co-op model, specifically to investigate whether </w:t>
      </w:r>
      <w:r>
        <w:rPr>
          <w:rFonts w:cs="Arial"/>
          <w:sz w:val="22"/>
          <w:szCs w:val="22"/>
        </w:rPr>
        <w:t xml:space="preserve">a transition toward an applied learning project (either through </w:t>
      </w:r>
      <w:r w:rsidR="009428D0">
        <w:rPr>
          <w:rFonts w:cs="Arial"/>
          <w:sz w:val="22"/>
          <w:szCs w:val="22"/>
        </w:rPr>
        <w:t>the Fleming College Applied</w:t>
      </w:r>
      <w:r>
        <w:rPr>
          <w:rFonts w:cs="Arial"/>
          <w:sz w:val="22"/>
          <w:szCs w:val="22"/>
        </w:rPr>
        <w:t xml:space="preserve"> Agency or otherwise) would provide a more valuable learning experience for students. </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Pr="003134E9" w:rsidRDefault="002C40FD" w:rsidP="003134E9">
      <w:pPr>
        <w:shd w:val="clear" w:color="auto" w:fill="A6A6A6" w:themeFill="background1" w:themeFillShade="A6"/>
        <w:tabs>
          <w:tab w:val="left" w:pos="-1440"/>
        </w:tabs>
        <w:rPr>
          <w:rFonts w:cs="Arial"/>
          <w:b/>
          <w:sz w:val="22"/>
          <w:szCs w:val="22"/>
        </w:rPr>
      </w:pPr>
      <w:r>
        <w:rPr>
          <w:rFonts w:cs="Arial"/>
          <w:b/>
          <w:sz w:val="22"/>
          <w:szCs w:val="22"/>
        </w:rPr>
        <w:t xml:space="preserve">PROGRAM REVIEW PANEL </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5022EF" w:rsidRP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2C40FD">
        <w:rPr>
          <w:rFonts w:cs="Arial"/>
          <w:b/>
          <w:sz w:val="22"/>
          <w:szCs w:val="22"/>
        </w:rPr>
        <w:t>Meeting Date:</w:t>
      </w:r>
      <w:r w:rsidR="0090614B">
        <w:rPr>
          <w:rFonts w:cs="Arial"/>
          <w:b/>
          <w:sz w:val="22"/>
          <w:szCs w:val="22"/>
        </w:rPr>
        <w:t xml:space="preserve"> Friday, January 24</w:t>
      </w:r>
      <w:r w:rsidR="0090614B" w:rsidRPr="0090614B">
        <w:rPr>
          <w:rFonts w:cs="Arial"/>
          <w:b/>
          <w:sz w:val="22"/>
          <w:szCs w:val="22"/>
          <w:vertAlign w:val="superscript"/>
        </w:rPr>
        <w:t>th</w:t>
      </w:r>
    </w:p>
    <w:p w:rsid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p>
    <w:p w:rsidR="005022EF"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90614B">
        <w:rPr>
          <w:rFonts w:cs="Arial"/>
          <w:sz w:val="22"/>
          <w:szCs w:val="22"/>
        </w:rPr>
        <w:tab/>
      </w:r>
      <w:r w:rsidR="0090614B">
        <w:rPr>
          <w:rFonts w:cs="Arial"/>
          <w:sz w:val="22"/>
          <w:szCs w:val="22"/>
        </w:rPr>
        <w:tab/>
      </w:r>
      <w:r w:rsidR="0090614B">
        <w:rPr>
          <w:rFonts w:cs="Arial"/>
          <w:sz w:val="22"/>
          <w:szCs w:val="22"/>
        </w:rPr>
        <w:tab/>
      </w:r>
      <w:r w:rsidR="0090614B">
        <w:rPr>
          <w:rFonts w:cs="Arial"/>
          <w:sz w:val="22"/>
          <w:szCs w:val="22"/>
        </w:rPr>
        <w:tab/>
        <w:t>Jim Drennan</w:t>
      </w:r>
      <w:r w:rsidR="0090614B">
        <w:rPr>
          <w:rFonts w:cs="Arial"/>
          <w:sz w:val="22"/>
          <w:szCs w:val="22"/>
        </w:rPr>
        <w:tab/>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DA71E8">
        <w:rPr>
          <w:rFonts w:cs="Arial"/>
          <w:sz w:val="22"/>
          <w:szCs w:val="22"/>
        </w:rPr>
        <w:t>Chair</w:t>
      </w:r>
      <w:r>
        <w:rPr>
          <w:rFonts w:cs="Arial"/>
          <w:sz w:val="22"/>
          <w:szCs w:val="22"/>
        </w:rPr>
        <w:t>:</w:t>
      </w:r>
      <w:r w:rsidR="0090614B">
        <w:rPr>
          <w:rFonts w:cs="Arial"/>
          <w:sz w:val="22"/>
          <w:szCs w:val="22"/>
        </w:rPr>
        <w:tab/>
      </w:r>
      <w:r w:rsidR="0090614B">
        <w:rPr>
          <w:rFonts w:cs="Arial"/>
          <w:sz w:val="22"/>
          <w:szCs w:val="22"/>
        </w:rPr>
        <w:tab/>
      </w:r>
      <w:r w:rsidR="0090614B">
        <w:rPr>
          <w:rFonts w:cs="Arial"/>
          <w:sz w:val="22"/>
          <w:szCs w:val="22"/>
        </w:rPr>
        <w:tab/>
      </w:r>
      <w:r w:rsidR="0090614B">
        <w:rPr>
          <w:rFonts w:cs="Arial"/>
          <w:sz w:val="22"/>
          <w:szCs w:val="22"/>
        </w:rPr>
        <w:tab/>
        <w:t>Deb Holts</w:t>
      </w:r>
    </w:p>
    <w:p w:rsidR="00DA71E8" w:rsidRDefault="00DA71E8" w:rsidP="00DA7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90614B">
        <w:rPr>
          <w:rFonts w:cs="Arial"/>
          <w:sz w:val="22"/>
          <w:szCs w:val="22"/>
        </w:rPr>
        <w:t xml:space="preserve"> </w:t>
      </w:r>
      <w:r w:rsidR="0090614B">
        <w:rPr>
          <w:rFonts w:cs="Arial"/>
          <w:sz w:val="22"/>
          <w:szCs w:val="22"/>
        </w:rPr>
        <w:tab/>
        <w:t>Charlie McGee</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90614B">
        <w:rPr>
          <w:rFonts w:cs="Arial"/>
          <w:sz w:val="22"/>
          <w:szCs w:val="22"/>
        </w:rPr>
        <w:tab/>
        <w:t>Wendy Morgan</w:t>
      </w:r>
    </w:p>
    <w:p w:rsidR="0090614B"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Faculty/Support</w:t>
      </w:r>
      <w:r w:rsidR="0090614B">
        <w:rPr>
          <w:rFonts w:cs="Arial"/>
          <w:sz w:val="22"/>
          <w:szCs w:val="22"/>
        </w:rPr>
        <w:t>:</w:t>
      </w:r>
      <w:r>
        <w:rPr>
          <w:rFonts w:cs="Arial"/>
          <w:sz w:val="22"/>
          <w:szCs w:val="22"/>
        </w:rPr>
        <w:t xml:space="preserve"> </w:t>
      </w:r>
      <w:r w:rsidR="0090614B">
        <w:rPr>
          <w:rFonts w:cs="Arial"/>
          <w:sz w:val="22"/>
          <w:szCs w:val="22"/>
        </w:rPr>
        <w:tab/>
      </w:r>
      <w:r w:rsidR="002754FA">
        <w:rPr>
          <w:rFonts w:cs="Arial"/>
          <w:sz w:val="22"/>
          <w:szCs w:val="22"/>
        </w:rPr>
        <w:t>Jessica McIntosh</w:t>
      </w:r>
    </w:p>
    <w:p w:rsidR="0090614B" w:rsidRDefault="0090614B" w:rsidP="00275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cs="Arial"/>
          <w:sz w:val="22"/>
          <w:szCs w:val="22"/>
        </w:rPr>
      </w:pPr>
      <w:r>
        <w:rPr>
          <w:rFonts w:cs="Arial"/>
          <w:sz w:val="22"/>
          <w:szCs w:val="22"/>
        </w:rPr>
        <w:tab/>
      </w:r>
      <w:r w:rsidR="001759A2">
        <w:rPr>
          <w:rFonts w:cs="Arial"/>
          <w:sz w:val="22"/>
          <w:szCs w:val="22"/>
        </w:rPr>
        <w:t>External Members</w:t>
      </w:r>
      <w:r>
        <w:rPr>
          <w:rFonts w:cs="Arial"/>
          <w:sz w:val="22"/>
          <w:szCs w:val="22"/>
        </w:rPr>
        <w:t xml:space="preserve">: </w:t>
      </w:r>
      <w:r>
        <w:rPr>
          <w:rFonts w:cs="Arial"/>
          <w:sz w:val="22"/>
          <w:szCs w:val="22"/>
        </w:rPr>
        <w:tab/>
      </w:r>
      <w:r>
        <w:rPr>
          <w:rFonts w:cs="Arial"/>
          <w:sz w:val="22"/>
          <w:szCs w:val="22"/>
        </w:rPr>
        <w:tab/>
      </w:r>
      <w:r w:rsidR="002754FA">
        <w:rPr>
          <w:rFonts w:cs="Arial"/>
          <w:sz w:val="22"/>
          <w:szCs w:val="22"/>
        </w:rPr>
        <w:t xml:space="preserve">Neil </w:t>
      </w:r>
      <w:proofErr w:type="spellStart"/>
      <w:r w:rsidR="002754FA">
        <w:rPr>
          <w:rFonts w:cs="Arial"/>
          <w:sz w:val="22"/>
          <w:szCs w:val="22"/>
        </w:rPr>
        <w:t>Wensley</w:t>
      </w:r>
      <w:proofErr w:type="spellEnd"/>
      <w:r w:rsidR="002754FA">
        <w:rPr>
          <w:rFonts w:cs="Arial"/>
          <w:sz w:val="22"/>
          <w:szCs w:val="22"/>
        </w:rPr>
        <w:t xml:space="preserve"> (Product Marketing Manager, Easton Bell </w:t>
      </w:r>
      <w:bookmarkStart w:id="0" w:name="_GoBack"/>
      <w:bookmarkEnd w:id="0"/>
      <w:r w:rsidR="002754FA">
        <w:rPr>
          <w:rFonts w:cs="Arial"/>
          <w:sz w:val="22"/>
          <w:szCs w:val="22"/>
        </w:rPr>
        <w:t xml:space="preserve">Sports), Ryan </w:t>
      </w:r>
      <w:proofErr w:type="spellStart"/>
      <w:r w:rsidR="002754FA">
        <w:rPr>
          <w:rFonts w:cs="Arial"/>
          <w:sz w:val="22"/>
          <w:szCs w:val="22"/>
        </w:rPr>
        <w:t>Donnan</w:t>
      </w:r>
      <w:proofErr w:type="spellEnd"/>
      <w:r w:rsidR="002754FA">
        <w:rPr>
          <w:rFonts w:cs="Arial"/>
          <w:sz w:val="22"/>
          <w:szCs w:val="22"/>
        </w:rPr>
        <w:t xml:space="preserve"> (VP, Sales and Marketing, Kobe Sportswear), Brad </w:t>
      </w:r>
      <w:proofErr w:type="spellStart"/>
      <w:r w:rsidR="002754FA">
        <w:rPr>
          <w:rFonts w:cs="Arial"/>
          <w:sz w:val="22"/>
          <w:szCs w:val="22"/>
        </w:rPr>
        <w:t>Mrakava</w:t>
      </w:r>
      <w:proofErr w:type="spellEnd"/>
      <w:r w:rsidR="002754FA">
        <w:rPr>
          <w:rFonts w:cs="Arial"/>
          <w:sz w:val="22"/>
          <w:szCs w:val="22"/>
        </w:rPr>
        <w:t xml:space="preserve"> (Sales and Marketing Director, </w:t>
      </w:r>
      <w:proofErr w:type="spellStart"/>
      <w:r w:rsidR="002754FA">
        <w:rPr>
          <w:rFonts w:cs="Arial"/>
          <w:sz w:val="22"/>
          <w:szCs w:val="22"/>
        </w:rPr>
        <w:t>Saucony</w:t>
      </w:r>
      <w:proofErr w:type="spellEnd"/>
      <w:r w:rsidR="002754FA">
        <w:rPr>
          <w:rFonts w:cs="Arial"/>
          <w:sz w:val="22"/>
          <w:szCs w:val="22"/>
        </w:rPr>
        <w:t xml:space="preserve"> Canada), Tim Anderson (Director, Licensing and Product Development, RMP Athletic Locker)</w:t>
      </w:r>
    </w:p>
    <w:p w:rsidR="00C54829" w:rsidRDefault="0090614B"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 xml:space="preserve"> </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1F06" w:rsidRDefault="00951F06">
      <w:pPr>
        <w:spacing w:after="200" w:line="276" w:lineRule="auto"/>
        <w:rPr>
          <w:rFonts w:cs="Arial"/>
          <w:sz w:val="22"/>
          <w:szCs w:val="22"/>
        </w:rPr>
      </w:pPr>
      <w:r>
        <w:rPr>
          <w:rFonts w:cs="Arial"/>
          <w:sz w:val="22"/>
          <w:szCs w:val="22"/>
        </w:rPr>
        <w:br w:type="page"/>
      </w:r>
    </w:p>
    <w:p w:rsidR="007F4362" w:rsidRDefault="00DF0430" w:rsidP="00DF0430">
      <w:pPr>
        <w:spacing w:after="200" w:line="276" w:lineRule="auto"/>
        <w:ind w:left="-567"/>
        <w:rPr>
          <w:rFonts w:cs="Arial"/>
          <w:b/>
          <w:sz w:val="28"/>
          <w:szCs w:val="22"/>
          <w:u w:val="single"/>
        </w:rPr>
      </w:pPr>
      <w:r>
        <w:rPr>
          <w:rFonts w:cs="Arial"/>
          <w:b/>
          <w:sz w:val="28"/>
          <w:szCs w:val="22"/>
          <w:u w:val="single"/>
        </w:rPr>
        <w:lastRenderedPageBreak/>
        <w:t xml:space="preserve">Appendix 1: </w:t>
      </w:r>
      <w:r w:rsidR="007F4362" w:rsidRPr="00DF0430">
        <w:rPr>
          <w:rFonts w:cs="Arial"/>
          <w:b/>
          <w:sz w:val="28"/>
          <w:szCs w:val="22"/>
          <w:u w:val="single"/>
        </w:rPr>
        <w:t>KPI – 5 YEAR HISTORICAL OVERVIEW</w:t>
      </w:r>
    </w:p>
    <w:p w:rsidR="00DF0430" w:rsidRPr="00DF0430" w:rsidRDefault="00DF0430" w:rsidP="00DF0430">
      <w:pPr>
        <w:spacing w:after="200" w:line="276" w:lineRule="auto"/>
        <w:ind w:left="-567"/>
        <w:rPr>
          <w:rFonts w:cs="Arial"/>
          <w:b/>
          <w:sz w:val="28"/>
          <w:szCs w:val="22"/>
          <w:u w:val="single"/>
        </w:rPr>
      </w:pPr>
    </w:p>
    <w:p w:rsidR="007F4362" w:rsidRDefault="007F4362" w:rsidP="007F4362">
      <w:pPr>
        <w:spacing w:after="200" w:line="276" w:lineRule="auto"/>
        <w:ind w:left="-709"/>
        <w:rPr>
          <w:rFonts w:cs="Arial"/>
          <w:sz w:val="22"/>
          <w:szCs w:val="22"/>
        </w:rPr>
      </w:pPr>
      <w:r>
        <w:rPr>
          <w:rFonts w:cs="Arial"/>
          <w:noProof/>
          <w:sz w:val="22"/>
          <w:szCs w:val="22"/>
          <w:lang w:eastAsia="en-CA"/>
        </w:rPr>
        <w:drawing>
          <wp:inline distT="0" distB="0" distL="0" distR="0" wp14:anchorId="23B3822F" wp14:editId="38961373">
            <wp:extent cx="6813395" cy="62186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C844.tmp"/>
                    <pic:cNvPicPr/>
                  </pic:nvPicPr>
                  <pic:blipFill>
                    <a:blip r:embed="rId11">
                      <a:extLst>
                        <a:ext uri="{28A0092B-C50C-407E-A947-70E740481C1C}">
                          <a14:useLocalDpi xmlns:a14="http://schemas.microsoft.com/office/drawing/2010/main" val="0"/>
                        </a:ext>
                      </a:extLst>
                    </a:blip>
                    <a:stretch>
                      <a:fillRect/>
                    </a:stretch>
                  </pic:blipFill>
                  <pic:spPr>
                    <a:xfrm>
                      <a:off x="0" y="0"/>
                      <a:ext cx="6820074" cy="6224775"/>
                    </a:xfrm>
                    <a:prstGeom prst="rect">
                      <a:avLst/>
                    </a:prstGeom>
                  </pic:spPr>
                </pic:pic>
              </a:graphicData>
            </a:graphic>
          </wp:inline>
        </w:drawing>
      </w:r>
    </w:p>
    <w:p w:rsidR="00DF0430" w:rsidRDefault="00DF0430">
      <w:pPr>
        <w:spacing w:after="200" w:line="276" w:lineRule="auto"/>
        <w:rPr>
          <w:rFonts w:cs="Arial"/>
          <w:sz w:val="22"/>
          <w:szCs w:val="22"/>
        </w:rPr>
      </w:pPr>
      <w:r>
        <w:rPr>
          <w:rFonts w:cs="Arial"/>
          <w:sz w:val="22"/>
          <w:szCs w:val="22"/>
        </w:rPr>
        <w:br w:type="page"/>
      </w:r>
    </w:p>
    <w:p w:rsidR="007F4362" w:rsidRDefault="00DF0430" w:rsidP="00DF0430">
      <w:pPr>
        <w:spacing w:after="200" w:line="276" w:lineRule="auto"/>
        <w:ind w:left="-567"/>
        <w:rPr>
          <w:rFonts w:cs="Arial"/>
          <w:b/>
          <w:sz w:val="28"/>
          <w:szCs w:val="22"/>
        </w:rPr>
      </w:pPr>
      <w:r w:rsidRPr="00DF0430">
        <w:rPr>
          <w:rFonts w:cs="Arial"/>
          <w:b/>
          <w:sz w:val="28"/>
          <w:szCs w:val="22"/>
        </w:rPr>
        <w:lastRenderedPageBreak/>
        <w:t>Appendix 2: STUDENT DEMAND</w:t>
      </w:r>
    </w:p>
    <w:p w:rsidR="000E51DD" w:rsidRDefault="000452C6" w:rsidP="00DF0430">
      <w:pPr>
        <w:spacing w:after="200" w:line="276" w:lineRule="auto"/>
        <w:ind w:left="-567"/>
        <w:rPr>
          <w:rFonts w:cs="Arial"/>
          <w:b/>
          <w:sz w:val="28"/>
          <w:szCs w:val="22"/>
        </w:rPr>
      </w:pPr>
      <w:r>
        <w:rPr>
          <w:rFonts w:cs="Arial"/>
          <w:b/>
          <w:noProof/>
          <w:sz w:val="28"/>
          <w:szCs w:val="22"/>
          <w:lang w:eastAsia="en-CA"/>
        </w:rPr>
        <w:drawing>
          <wp:inline distT="0" distB="0" distL="0" distR="0">
            <wp:extent cx="6712550" cy="237521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AC05.tmp"/>
                    <pic:cNvPicPr/>
                  </pic:nvPicPr>
                  <pic:blipFill>
                    <a:blip r:embed="rId12">
                      <a:extLst>
                        <a:ext uri="{28A0092B-C50C-407E-A947-70E740481C1C}">
                          <a14:useLocalDpi xmlns:a14="http://schemas.microsoft.com/office/drawing/2010/main" val="0"/>
                        </a:ext>
                      </a:extLst>
                    </a:blip>
                    <a:stretch>
                      <a:fillRect/>
                    </a:stretch>
                  </pic:blipFill>
                  <pic:spPr>
                    <a:xfrm>
                      <a:off x="0" y="0"/>
                      <a:ext cx="6712550" cy="2375210"/>
                    </a:xfrm>
                    <a:prstGeom prst="rect">
                      <a:avLst/>
                    </a:prstGeom>
                  </pic:spPr>
                </pic:pic>
              </a:graphicData>
            </a:graphic>
          </wp:inline>
        </w:drawing>
      </w:r>
    </w:p>
    <w:p w:rsidR="000E51DD" w:rsidRDefault="000E51DD" w:rsidP="00DF0430">
      <w:pPr>
        <w:spacing w:after="200" w:line="276" w:lineRule="auto"/>
        <w:ind w:left="-567"/>
        <w:rPr>
          <w:rFonts w:cs="Arial"/>
          <w:b/>
          <w:sz w:val="28"/>
          <w:szCs w:val="22"/>
        </w:rPr>
      </w:pPr>
    </w:p>
    <w:p w:rsidR="00DF0430" w:rsidRDefault="00DF0430" w:rsidP="00DF0430">
      <w:pPr>
        <w:spacing w:after="200" w:line="276" w:lineRule="auto"/>
        <w:ind w:left="-567"/>
        <w:rPr>
          <w:rFonts w:cs="Arial"/>
          <w:b/>
          <w:sz w:val="28"/>
          <w:szCs w:val="22"/>
        </w:rPr>
      </w:pPr>
    </w:p>
    <w:p w:rsidR="00DF0430" w:rsidRDefault="00DF0430">
      <w:pPr>
        <w:spacing w:after="200" w:line="276" w:lineRule="auto"/>
        <w:rPr>
          <w:rFonts w:cs="Arial"/>
          <w:b/>
          <w:sz w:val="28"/>
          <w:szCs w:val="22"/>
        </w:rPr>
      </w:pPr>
      <w:r>
        <w:rPr>
          <w:rFonts w:cs="Arial"/>
          <w:b/>
          <w:sz w:val="28"/>
          <w:szCs w:val="22"/>
        </w:rPr>
        <w:br w:type="page"/>
      </w:r>
    </w:p>
    <w:p w:rsidR="00DF0430" w:rsidRDefault="00DF0430" w:rsidP="00DF0430">
      <w:pPr>
        <w:spacing w:after="200" w:line="276" w:lineRule="auto"/>
        <w:ind w:left="-567"/>
        <w:rPr>
          <w:rFonts w:cs="Arial"/>
          <w:b/>
          <w:sz w:val="28"/>
          <w:szCs w:val="22"/>
        </w:rPr>
      </w:pPr>
      <w:r>
        <w:rPr>
          <w:rFonts w:cs="Arial"/>
          <w:b/>
          <w:sz w:val="28"/>
          <w:szCs w:val="22"/>
        </w:rPr>
        <w:lastRenderedPageBreak/>
        <w:t>Appendix 3: COMPETITOR ANALYSIS</w:t>
      </w:r>
    </w:p>
    <w:p w:rsidR="003678E3" w:rsidRDefault="003678E3" w:rsidP="00DF0430">
      <w:pPr>
        <w:spacing w:after="200" w:line="276" w:lineRule="auto"/>
        <w:ind w:left="-567"/>
        <w:rPr>
          <w:rFonts w:cs="Arial"/>
          <w:b/>
          <w:sz w:val="28"/>
          <w:szCs w:val="22"/>
        </w:rPr>
      </w:pPr>
      <w:r>
        <w:rPr>
          <w:rFonts w:cs="Arial"/>
          <w:b/>
          <w:noProof/>
          <w:sz w:val="28"/>
          <w:szCs w:val="22"/>
          <w:lang w:eastAsia="en-CA"/>
        </w:rPr>
        <w:drawing>
          <wp:inline distT="0" distB="0" distL="0" distR="0" wp14:anchorId="4554C4C0" wp14:editId="600CCC05">
            <wp:extent cx="674751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80DB.tmp"/>
                    <pic:cNvPicPr/>
                  </pic:nvPicPr>
                  <pic:blipFill>
                    <a:blip r:embed="rId13">
                      <a:extLst>
                        <a:ext uri="{28A0092B-C50C-407E-A947-70E740481C1C}">
                          <a14:useLocalDpi xmlns:a14="http://schemas.microsoft.com/office/drawing/2010/main" val="0"/>
                        </a:ext>
                      </a:extLst>
                    </a:blip>
                    <a:stretch>
                      <a:fillRect/>
                    </a:stretch>
                  </pic:blipFill>
                  <pic:spPr>
                    <a:xfrm>
                      <a:off x="0" y="0"/>
                      <a:ext cx="6769098" cy="2293314"/>
                    </a:xfrm>
                    <a:prstGeom prst="rect">
                      <a:avLst/>
                    </a:prstGeom>
                  </pic:spPr>
                </pic:pic>
              </a:graphicData>
            </a:graphic>
          </wp:inline>
        </w:drawing>
      </w:r>
    </w:p>
    <w:p w:rsidR="003678E3" w:rsidRDefault="003678E3" w:rsidP="00DF0430">
      <w:pPr>
        <w:spacing w:after="200" w:line="276" w:lineRule="auto"/>
        <w:ind w:left="-567"/>
        <w:rPr>
          <w:rFonts w:cs="Arial"/>
          <w:b/>
          <w:sz w:val="28"/>
          <w:szCs w:val="22"/>
        </w:rPr>
      </w:pPr>
    </w:p>
    <w:p w:rsidR="003678E3" w:rsidRPr="00DF0430" w:rsidRDefault="003678E3" w:rsidP="00DF0430">
      <w:pPr>
        <w:spacing w:after="200" w:line="276" w:lineRule="auto"/>
        <w:ind w:left="-567"/>
        <w:rPr>
          <w:rFonts w:cs="Arial"/>
          <w:b/>
          <w:sz w:val="28"/>
          <w:szCs w:val="22"/>
        </w:rPr>
      </w:pPr>
      <w:r>
        <w:rPr>
          <w:rFonts w:cs="Arial"/>
          <w:b/>
          <w:noProof/>
          <w:sz w:val="28"/>
          <w:szCs w:val="22"/>
          <w:lang w:eastAsia="en-CA"/>
        </w:rPr>
        <w:drawing>
          <wp:inline distT="0" distB="0" distL="0" distR="0" wp14:anchorId="3B430383" wp14:editId="14EA9701">
            <wp:extent cx="6738400" cy="2843561"/>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FA42.tmp"/>
                    <pic:cNvPicPr/>
                  </pic:nvPicPr>
                  <pic:blipFill>
                    <a:blip r:embed="rId14">
                      <a:extLst>
                        <a:ext uri="{28A0092B-C50C-407E-A947-70E740481C1C}">
                          <a14:useLocalDpi xmlns:a14="http://schemas.microsoft.com/office/drawing/2010/main" val="0"/>
                        </a:ext>
                      </a:extLst>
                    </a:blip>
                    <a:stretch>
                      <a:fillRect/>
                    </a:stretch>
                  </pic:blipFill>
                  <pic:spPr>
                    <a:xfrm>
                      <a:off x="0" y="0"/>
                      <a:ext cx="6743773" cy="2845828"/>
                    </a:xfrm>
                    <a:prstGeom prst="rect">
                      <a:avLst/>
                    </a:prstGeom>
                  </pic:spPr>
                </pic:pic>
              </a:graphicData>
            </a:graphic>
          </wp:inline>
        </w:drawing>
      </w:r>
    </w:p>
    <w:sectPr w:rsidR="003678E3" w:rsidRPr="00DF0430" w:rsidSect="00923D95">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08" w:rsidRDefault="00320B08" w:rsidP="00373D5B">
      <w:r>
        <w:separator/>
      </w:r>
    </w:p>
  </w:endnote>
  <w:endnote w:type="continuationSeparator" w:id="0">
    <w:p w:rsidR="00320B08" w:rsidRDefault="00320B08"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5016"/>
      <w:docPartObj>
        <w:docPartGallery w:val="Page Numbers (Bottom of Page)"/>
        <w:docPartUnique/>
      </w:docPartObj>
    </w:sdtPr>
    <w:sdtEndPr/>
    <w:sdtContent>
      <w:p w:rsidR="0061469F" w:rsidRDefault="0061469F">
        <w:pPr>
          <w:pStyle w:val="Footer"/>
          <w:jc w:val="center"/>
        </w:pPr>
        <w:r>
          <w:fldChar w:fldCharType="begin"/>
        </w:r>
        <w:r>
          <w:instrText xml:space="preserve"> PAGE   \* MERGEFORMAT </w:instrText>
        </w:r>
        <w:r>
          <w:fldChar w:fldCharType="separate"/>
        </w:r>
        <w:r w:rsidR="002754FA">
          <w:rPr>
            <w:noProof/>
          </w:rPr>
          <w:t>1</w:t>
        </w:r>
        <w:r>
          <w:rPr>
            <w:noProof/>
          </w:rPr>
          <w:fldChar w:fldCharType="end"/>
        </w:r>
      </w:p>
    </w:sdtContent>
  </w:sdt>
  <w:p w:rsidR="0061469F" w:rsidRDefault="00614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08" w:rsidRDefault="00320B08" w:rsidP="00373D5B">
      <w:r>
        <w:separator/>
      </w:r>
    </w:p>
  </w:footnote>
  <w:footnote w:type="continuationSeparator" w:id="0">
    <w:p w:rsidR="00320B08" w:rsidRDefault="00320B08"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5124"/>
    <w:multiLevelType w:val="hybridMultilevel"/>
    <w:tmpl w:val="EC4EF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8D31420"/>
    <w:multiLevelType w:val="hybridMultilevel"/>
    <w:tmpl w:val="AD5C3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5107C0"/>
    <w:multiLevelType w:val="hybridMultilevel"/>
    <w:tmpl w:val="4606B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9CA5A73"/>
    <w:multiLevelType w:val="hybridMultilevel"/>
    <w:tmpl w:val="55204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55710D7"/>
    <w:multiLevelType w:val="hybridMultilevel"/>
    <w:tmpl w:val="68866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535A4"/>
    <w:multiLevelType w:val="hybridMultilevel"/>
    <w:tmpl w:val="22849D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CBC5173"/>
    <w:multiLevelType w:val="hybridMultilevel"/>
    <w:tmpl w:val="FCB20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3753D7B"/>
    <w:multiLevelType w:val="hybridMultilevel"/>
    <w:tmpl w:val="D082B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9B74D2B"/>
    <w:multiLevelType w:val="hybridMultilevel"/>
    <w:tmpl w:val="70E8DB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E5476C"/>
    <w:multiLevelType w:val="hybridMultilevel"/>
    <w:tmpl w:val="ECE80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AAF6BC8"/>
    <w:multiLevelType w:val="hybridMultilevel"/>
    <w:tmpl w:val="A7A877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D673A79"/>
    <w:multiLevelType w:val="hybridMultilevel"/>
    <w:tmpl w:val="5FFA7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4"/>
  </w:num>
  <w:num w:numId="5">
    <w:abstractNumId w:val="8"/>
  </w:num>
  <w:num w:numId="6">
    <w:abstractNumId w:val="9"/>
  </w:num>
  <w:num w:numId="7">
    <w:abstractNumId w:val="4"/>
  </w:num>
  <w:num w:numId="8">
    <w:abstractNumId w:val="0"/>
  </w:num>
  <w:num w:numId="9">
    <w:abstractNumId w:val="7"/>
  </w:num>
  <w:num w:numId="10">
    <w:abstractNumId w:val="13"/>
  </w:num>
  <w:num w:numId="11">
    <w:abstractNumId w:val="2"/>
  </w:num>
  <w:num w:numId="12">
    <w:abstractNumId w:val="12"/>
  </w:num>
  <w:num w:numId="13">
    <w:abstractNumId w:val="1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49"/>
    <w:rsid w:val="00031233"/>
    <w:rsid w:val="00037AC8"/>
    <w:rsid w:val="000452C6"/>
    <w:rsid w:val="00045E01"/>
    <w:rsid w:val="000522A0"/>
    <w:rsid w:val="00097A6B"/>
    <w:rsid w:val="000D2749"/>
    <w:rsid w:val="000E51DD"/>
    <w:rsid w:val="001019C8"/>
    <w:rsid w:val="00112302"/>
    <w:rsid w:val="0012366B"/>
    <w:rsid w:val="001337BB"/>
    <w:rsid w:val="00135D26"/>
    <w:rsid w:val="00146DCB"/>
    <w:rsid w:val="0015661F"/>
    <w:rsid w:val="001759A2"/>
    <w:rsid w:val="00206523"/>
    <w:rsid w:val="002065C1"/>
    <w:rsid w:val="00214552"/>
    <w:rsid w:val="00233A93"/>
    <w:rsid w:val="00237DFD"/>
    <w:rsid w:val="002427EB"/>
    <w:rsid w:val="002754FA"/>
    <w:rsid w:val="002A55C6"/>
    <w:rsid w:val="002B0C43"/>
    <w:rsid w:val="002B1E77"/>
    <w:rsid w:val="002C40FD"/>
    <w:rsid w:val="002C64C2"/>
    <w:rsid w:val="002D2D32"/>
    <w:rsid w:val="002D5584"/>
    <w:rsid w:val="003134E9"/>
    <w:rsid w:val="0031640B"/>
    <w:rsid w:val="00320B08"/>
    <w:rsid w:val="00337935"/>
    <w:rsid w:val="003532E4"/>
    <w:rsid w:val="003570B0"/>
    <w:rsid w:val="003678E3"/>
    <w:rsid w:val="003700A1"/>
    <w:rsid w:val="00370100"/>
    <w:rsid w:val="00370B5B"/>
    <w:rsid w:val="00373D5B"/>
    <w:rsid w:val="00381586"/>
    <w:rsid w:val="0039338A"/>
    <w:rsid w:val="00397C7B"/>
    <w:rsid w:val="003A6F74"/>
    <w:rsid w:val="003C3164"/>
    <w:rsid w:val="003E391E"/>
    <w:rsid w:val="003F42F2"/>
    <w:rsid w:val="00462AC2"/>
    <w:rsid w:val="004763F3"/>
    <w:rsid w:val="004B025B"/>
    <w:rsid w:val="004F143A"/>
    <w:rsid w:val="005022EF"/>
    <w:rsid w:val="00564701"/>
    <w:rsid w:val="005815BA"/>
    <w:rsid w:val="005A036B"/>
    <w:rsid w:val="005A5185"/>
    <w:rsid w:val="005F4052"/>
    <w:rsid w:val="00612674"/>
    <w:rsid w:val="0061469F"/>
    <w:rsid w:val="00664C6B"/>
    <w:rsid w:val="00674AD1"/>
    <w:rsid w:val="00684CF9"/>
    <w:rsid w:val="006A316A"/>
    <w:rsid w:val="006B03E0"/>
    <w:rsid w:val="006B07A1"/>
    <w:rsid w:val="006B6645"/>
    <w:rsid w:val="006C3C8D"/>
    <w:rsid w:val="006F0D75"/>
    <w:rsid w:val="007038C0"/>
    <w:rsid w:val="007519FB"/>
    <w:rsid w:val="0076759D"/>
    <w:rsid w:val="00770DB9"/>
    <w:rsid w:val="00782355"/>
    <w:rsid w:val="007861A9"/>
    <w:rsid w:val="007879D8"/>
    <w:rsid w:val="00793804"/>
    <w:rsid w:val="007B1D95"/>
    <w:rsid w:val="007C2E97"/>
    <w:rsid w:val="007C43F9"/>
    <w:rsid w:val="007C6542"/>
    <w:rsid w:val="007D13E5"/>
    <w:rsid w:val="007E2F80"/>
    <w:rsid w:val="007F4362"/>
    <w:rsid w:val="00833CE2"/>
    <w:rsid w:val="008448C4"/>
    <w:rsid w:val="0086532E"/>
    <w:rsid w:val="00882951"/>
    <w:rsid w:val="008B2482"/>
    <w:rsid w:val="008C2CBF"/>
    <w:rsid w:val="008E292F"/>
    <w:rsid w:val="0090614B"/>
    <w:rsid w:val="00920B5E"/>
    <w:rsid w:val="00923D95"/>
    <w:rsid w:val="0093370E"/>
    <w:rsid w:val="0093715A"/>
    <w:rsid w:val="009428D0"/>
    <w:rsid w:val="00951F06"/>
    <w:rsid w:val="009524D9"/>
    <w:rsid w:val="00965E0D"/>
    <w:rsid w:val="00993FA3"/>
    <w:rsid w:val="009D0341"/>
    <w:rsid w:val="009D12FA"/>
    <w:rsid w:val="009D3EED"/>
    <w:rsid w:val="009E5C6B"/>
    <w:rsid w:val="009F6D50"/>
    <w:rsid w:val="00A00373"/>
    <w:rsid w:val="00A07972"/>
    <w:rsid w:val="00A25153"/>
    <w:rsid w:val="00A46932"/>
    <w:rsid w:val="00A53D39"/>
    <w:rsid w:val="00A86FEC"/>
    <w:rsid w:val="00AA1597"/>
    <w:rsid w:val="00AC1455"/>
    <w:rsid w:val="00AC794C"/>
    <w:rsid w:val="00AD0DD1"/>
    <w:rsid w:val="00AD18EA"/>
    <w:rsid w:val="00AF457C"/>
    <w:rsid w:val="00B0245A"/>
    <w:rsid w:val="00B043A6"/>
    <w:rsid w:val="00BC0C0E"/>
    <w:rsid w:val="00C172B9"/>
    <w:rsid w:val="00C211B8"/>
    <w:rsid w:val="00C37460"/>
    <w:rsid w:val="00C44B55"/>
    <w:rsid w:val="00C51E40"/>
    <w:rsid w:val="00C54829"/>
    <w:rsid w:val="00C56042"/>
    <w:rsid w:val="00C60FC0"/>
    <w:rsid w:val="00C61393"/>
    <w:rsid w:val="00C77CBD"/>
    <w:rsid w:val="00CB2C1C"/>
    <w:rsid w:val="00CC0B27"/>
    <w:rsid w:val="00D12834"/>
    <w:rsid w:val="00D62283"/>
    <w:rsid w:val="00D6464B"/>
    <w:rsid w:val="00D706B8"/>
    <w:rsid w:val="00D77C0E"/>
    <w:rsid w:val="00DA2551"/>
    <w:rsid w:val="00DA71E8"/>
    <w:rsid w:val="00DF00A7"/>
    <w:rsid w:val="00DF0430"/>
    <w:rsid w:val="00E0615B"/>
    <w:rsid w:val="00E20C52"/>
    <w:rsid w:val="00E77894"/>
    <w:rsid w:val="00EA7676"/>
    <w:rsid w:val="00EB5128"/>
    <w:rsid w:val="00F0062A"/>
    <w:rsid w:val="00F87C87"/>
    <w:rsid w:val="00F925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character" w:styleId="CommentReference">
    <w:name w:val="annotation reference"/>
    <w:basedOn w:val="DefaultParagraphFont"/>
    <w:uiPriority w:val="99"/>
    <w:semiHidden/>
    <w:unhideWhenUsed/>
    <w:rsid w:val="002427EB"/>
    <w:rPr>
      <w:sz w:val="16"/>
      <w:szCs w:val="16"/>
    </w:rPr>
  </w:style>
  <w:style w:type="paragraph" w:styleId="CommentText">
    <w:name w:val="annotation text"/>
    <w:basedOn w:val="Normal"/>
    <w:link w:val="CommentTextChar"/>
    <w:uiPriority w:val="99"/>
    <w:semiHidden/>
    <w:unhideWhenUsed/>
    <w:rsid w:val="002427EB"/>
    <w:rPr>
      <w:sz w:val="20"/>
      <w:szCs w:val="20"/>
    </w:rPr>
  </w:style>
  <w:style w:type="character" w:customStyle="1" w:styleId="CommentTextChar">
    <w:name w:val="Comment Text Char"/>
    <w:basedOn w:val="DefaultParagraphFont"/>
    <w:link w:val="CommentText"/>
    <w:uiPriority w:val="99"/>
    <w:semiHidden/>
    <w:rsid w:val="002427EB"/>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2427EB"/>
    <w:rPr>
      <w:b/>
      <w:bCs/>
    </w:rPr>
  </w:style>
  <w:style w:type="character" w:customStyle="1" w:styleId="CommentSubjectChar">
    <w:name w:val="Comment Subject Char"/>
    <w:basedOn w:val="CommentTextChar"/>
    <w:link w:val="CommentSubject"/>
    <w:uiPriority w:val="99"/>
    <w:semiHidden/>
    <w:rsid w:val="002427EB"/>
    <w:rPr>
      <w:rFonts w:ascii="Arial" w:eastAsia="Times New Roman" w:hAnsi="Arial" w:cs="Times New Roman"/>
      <w:b/>
      <w:bCs/>
      <w:sz w:val="20"/>
      <w:szCs w:val="20"/>
      <w:lang w:val="en-CA"/>
    </w:rPr>
  </w:style>
  <w:style w:type="paragraph" w:styleId="Revision">
    <w:name w:val="Revision"/>
    <w:hidden/>
    <w:uiPriority w:val="99"/>
    <w:semiHidden/>
    <w:rsid w:val="002427EB"/>
    <w:pPr>
      <w:spacing w:after="0" w:line="240" w:lineRule="auto"/>
    </w:pPr>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character" w:styleId="CommentReference">
    <w:name w:val="annotation reference"/>
    <w:basedOn w:val="DefaultParagraphFont"/>
    <w:uiPriority w:val="99"/>
    <w:semiHidden/>
    <w:unhideWhenUsed/>
    <w:rsid w:val="002427EB"/>
    <w:rPr>
      <w:sz w:val="16"/>
      <w:szCs w:val="16"/>
    </w:rPr>
  </w:style>
  <w:style w:type="paragraph" w:styleId="CommentText">
    <w:name w:val="annotation text"/>
    <w:basedOn w:val="Normal"/>
    <w:link w:val="CommentTextChar"/>
    <w:uiPriority w:val="99"/>
    <w:semiHidden/>
    <w:unhideWhenUsed/>
    <w:rsid w:val="002427EB"/>
    <w:rPr>
      <w:sz w:val="20"/>
      <w:szCs w:val="20"/>
    </w:rPr>
  </w:style>
  <w:style w:type="character" w:customStyle="1" w:styleId="CommentTextChar">
    <w:name w:val="Comment Text Char"/>
    <w:basedOn w:val="DefaultParagraphFont"/>
    <w:link w:val="CommentText"/>
    <w:uiPriority w:val="99"/>
    <w:semiHidden/>
    <w:rsid w:val="002427EB"/>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2427EB"/>
    <w:rPr>
      <w:b/>
      <w:bCs/>
    </w:rPr>
  </w:style>
  <w:style w:type="character" w:customStyle="1" w:styleId="CommentSubjectChar">
    <w:name w:val="Comment Subject Char"/>
    <w:basedOn w:val="CommentTextChar"/>
    <w:link w:val="CommentSubject"/>
    <w:uiPriority w:val="99"/>
    <w:semiHidden/>
    <w:rsid w:val="002427EB"/>
    <w:rPr>
      <w:rFonts w:ascii="Arial" w:eastAsia="Times New Roman" w:hAnsi="Arial" w:cs="Times New Roman"/>
      <w:b/>
      <w:bCs/>
      <w:sz w:val="20"/>
      <w:szCs w:val="20"/>
      <w:lang w:val="en-CA"/>
    </w:rPr>
  </w:style>
  <w:style w:type="paragraph" w:styleId="Revision">
    <w:name w:val="Revision"/>
    <w:hidden/>
    <w:uiPriority w:val="99"/>
    <w:semiHidden/>
    <w:rsid w:val="002427EB"/>
    <w:pPr>
      <w:spacing w:after="0" w:line="240" w:lineRule="auto"/>
    </w:pPr>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1136">
      <w:bodyDiv w:val="1"/>
      <w:marLeft w:val="0"/>
      <w:marRight w:val="0"/>
      <w:marTop w:val="0"/>
      <w:marBottom w:val="0"/>
      <w:divBdr>
        <w:top w:val="none" w:sz="0" w:space="0" w:color="auto"/>
        <w:left w:val="none" w:sz="0" w:space="0" w:color="auto"/>
        <w:bottom w:val="none" w:sz="0" w:space="0" w:color="auto"/>
        <w:right w:val="none" w:sz="0" w:space="0" w:color="auto"/>
      </w:divBdr>
    </w:div>
    <w:div w:id="1147354470">
      <w:bodyDiv w:val="1"/>
      <w:marLeft w:val="0"/>
      <w:marRight w:val="0"/>
      <w:marTop w:val="0"/>
      <w:marBottom w:val="0"/>
      <w:divBdr>
        <w:top w:val="none" w:sz="0" w:space="0" w:color="auto"/>
        <w:left w:val="none" w:sz="0" w:space="0" w:color="auto"/>
        <w:bottom w:val="none" w:sz="0" w:space="0" w:color="auto"/>
        <w:right w:val="none" w:sz="0" w:space="0" w:color="auto"/>
      </w:divBdr>
      <w:divsChild>
        <w:div w:id="350105975">
          <w:marLeft w:val="0"/>
          <w:marRight w:val="0"/>
          <w:marTop w:val="0"/>
          <w:marBottom w:val="0"/>
          <w:divBdr>
            <w:top w:val="none" w:sz="0" w:space="0" w:color="auto"/>
            <w:left w:val="none" w:sz="0" w:space="0" w:color="auto"/>
            <w:bottom w:val="none" w:sz="0" w:space="0" w:color="auto"/>
            <w:right w:val="none" w:sz="0" w:space="0" w:color="auto"/>
          </w:divBdr>
          <w:divsChild>
            <w:div w:id="212011783">
              <w:marLeft w:val="0"/>
              <w:marRight w:val="0"/>
              <w:marTop w:val="0"/>
              <w:marBottom w:val="0"/>
              <w:divBdr>
                <w:top w:val="none" w:sz="0" w:space="0" w:color="auto"/>
                <w:left w:val="none" w:sz="0" w:space="0" w:color="auto"/>
                <w:bottom w:val="none" w:sz="0" w:space="0" w:color="auto"/>
                <w:right w:val="none" w:sz="0" w:space="0" w:color="auto"/>
              </w:divBdr>
              <w:divsChild>
                <w:div w:id="1023555294">
                  <w:marLeft w:val="0"/>
                  <w:marRight w:val="0"/>
                  <w:marTop w:val="0"/>
                  <w:marBottom w:val="0"/>
                  <w:divBdr>
                    <w:top w:val="none" w:sz="0" w:space="0" w:color="auto"/>
                    <w:left w:val="none" w:sz="0" w:space="0" w:color="auto"/>
                    <w:bottom w:val="none" w:sz="0" w:space="0" w:color="auto"/>
                    <w:right w:val="none" w:sz="0" w:space="0" w:color="auto"/>
                  </w:divBdr>
                  <w:divsChild>
                    <w:div w:id="1100025161">
                      <w:marLeft w:val="0"/>
                      <w:marRight w:val="0"/>
                      <w:marTop w:val="0"/>
                      <w:marBottom w:val="0"/>
                      <w:divBdr>
                        <w:top w:val="none" w:sz="0" w:space="0" w:color="auto"/>
                        <w:left w:val="none" w:sz="0" w:space="0" w:color="auto"/>
                        <w:bottom w:val="none" w:sz="0" w:space="0" w:color="auto"/>
                        <w:right w:val="none" w:sz="0" w:space="0" w:color="auto"/>
                      </w:divBdr>
                      <w:divsChild>
                        <w:div w:id="559629845">
                          <w:marLeft w:val="0"/>
                          <w:marRight w:val="0"/>
                          <w:marTop w:val="0"/>
                          <w:marBottom w:val="0"/>
                          <w:divBdr>
                            <w:top w:val="none" w:sz="0" w:space="0" w:color="auto"/>
                            <w:left w:val="none" w:sz="0" w:space="0" w:color="auto"/>
                            <w:bottom w:val="none" w:sz="0" w:space="0" w:color="auto"/>
                            <w:right w:val="none" w:sz="0" w:space="0" w:color="auto"/>
                          </w:divBdr>
                        </w:div>
                      </w:divsChild>
                    </w:div>
                    <w:div w:id="1662348073">
                      <w:marLeft w:val="0"/>
                      <w:marRight w:val="0"/>
                      <w:marTop w:val="0"/>
                      <w:marBottom w:val="0"/>
                      <w:divBdr>
                        <w:top w:val="none" w:sz="0" w:space="0" w:color="auto"/>
                        <w:left w:val="none" w:sz="0" w:space="0" w:color="auto"/>
                        <w:bottom w:val="none" w:sz="0" w:space="0" w:color="auto"/>
                        <w:right w:val="none" w:sz="0" w:space="0" w:color="auto"/>
                      </w:divBdr>
                      <w:divsChild>
                        <w:div w:id="574827042">
                          <w:marLeft w:val="0"/>
                          <w:marRight w:val="0"/>
                          <w:marTop w:val="0"/>
                          <w:marBottom w:val="0"/>
                          <w:divBdr>
                            <w:top w:val="none" w:sz="0" w:space="0" w:color="auto"/>
                            <w:left w:val="none" w:sz="0" w:space="0" w:color="auto"/>
                            <w:bottom w:val="none" w:sz="0" w:space="0" w:color="auto"/>
                            <w:right w:val="none" w:sz="0" w:space="0" w:color="auto"/>
                          </w:divBdr>
                        </w:div>
                        <w:div w:id="17970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leming0.flemingc.on.ca/SEM/FlemingDataResearch/Enrollment/Enrollmentwelcome.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EEBE8-8805-4A12-905A-7EEB1896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F35C8346</Template>
  <TotalTime>2</TotalTime>
  <Pages>9</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Wendy Morgan</cp:lastModifiedBy>
  <cp:revision>3</cp:revision>
  <cp:lastPrinted>2014-01-17T17:00:00Z</cp:lastPrinted>
  <dcterms:created xsi:type="dcterms:W3CDTF">2014-02-06T16:46:00Z</dcterms:created>
  <dcterms:modified xsi:type="dcterms:W3CDTF">2014-02-06T17:09:00Z</dcterms:modified>
</cp:coreProperties>
</file>