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w:t>
      </w:r>
      <w:r w:rsidR="001D5863">
        <w:rPr>
          <w:rFonts w:ascii="Arial" w:hAnsi="Arial" w:cs="Arial"/>
          <w:b/>
          <w:szCs w:val="24"/>
        </w:rPr>
        <w:t>4</w:t>
      </w:r>
      <w:r w:rsidR="0087727A">
        <w:rPr>
          <w:rFonts w:ascii="Arial" w:hAnsi="Arial" w:cs="Arial"/>
          <w:b/>
          <w:szCs w:val="24"/>
        </w:rPr>
        <w:t>/1</w:t>
      </w:r>
      <w:r w:rsidR="001D5863">
        <w:rPr>
          <w:rFonts w:ascii="Arial" w:hAnsi="Arial" w:cs="Arial"/>
          <w:b/>
          <w:szCs w:val="24"/>
        </w:rPr>
        <w:t>5</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C6588E" w:rsidRPr="00C54C7B" w:rsidTr="00367B3B">
        <w:trPr>
          <w:tblHeader/>
        </w:trPr>
        <w:tc>
          <w:tcPr>
            <w:tcW w:w="2576" w:type="dxa"/>
            <w:shd w:val="clear" w:color="auto" w:fill="EAF1DD"/>
          </w:tcPr>
          <w:p w:rsidR="00C6588E" w:rsidRPr="00C54C7B" w:rsidRDefault="00C6588E"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C6588E" w:rsidRPr="00C54C7B" w:rsidRDefault="00C6588E" w:rsidP="007A554F">
            <w:pPr>
              <w:pStyle w:val="Header"/>
              <w:jc w:val="center"/>
              <w:rPr>
                <w:rFonts w:cs="Arial"/>
                <w:b/>
                <w:szCs w:val="22"/>
                <w:lang w:val="en-CA"/>
              </w:rPr>
            </w:pPr>
            <w:r>
              <w:rPr>
                <w:rFonts w:cs="Arial"/>
                <w:b/>
                <w:szCs w:val="22"/>
                <w:lang w:val="en-CA"/>
              </w:rPr>
              <w:t>Steve Wilkinson</w:t>
            </w:r>
          </w:p>
        </w:tc>
        <w:tc>
          <w:tcPr>
            <w:tcW w:w="1982" w:type="dxa"/>
            <w:shd w:val="clear" w:color="auto" w:fill="EAF1DD"/>
          </w:tcPr>
          <w:p w:rsidR="00C6588E" w:rsidRPr="00C54C7B" w:rsidRDefault="00C6588E"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C6588E" w:rsidRPr="00C54C7B" w:rsidRDefault="00C6588E" w:rsidP="007A554F">
            <w:pPr>
              <w:pStyle w:val="Header"/>
              <w:jc w:val="center"/>
              <w:rPr>
                <w:rFonts w:cs="Arial"/>
                <w:b/>
                <w:szCs w:val="22"/>
                <w:lang w:val="en-CA"/>
              </w:rPr>
            </w:pPr>
            <w:r>
              <w:rPr>
                <w:rFonts w:cs="Arial"/>
                <w:b/>
                <w:szCs w:val="22"/>
                <w:lang w:val="en-CA"/>
              </w:rPr>
              <w:t>SENRS</w:t>
            </w:r>
          </w:p>
        </w:tc>
      </w:tr>
      <w:tr w:rsidR="00C6588E" w:rsidRPr="00C54C7B" w:rsidTr="00367B3B">
        <w:trPr>
          <w:tblHeader/>
        </w:trPr>
        <w:tc>
          <w:tcPr>
            <w:tcW w:w="2576" w:type="dxa"/>
            <w:shd w:val="clear" w:color="auto" w:fill="EAF1DD"/>
          </w:tcPr>
          <w:p w:rsidR="00C6588E" w:rsidRPr="00C54C7B" w:rsidRDefault="00C6588E"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C6588E" w:rsidRPr="00C54C7B" w:rsidRDefault="00C6588E" w:rsidP="007A554F">
            <w:pPr>
              <w:pStyle w:val="Header"/>
              <w:jc w:val="center"/>
              <w:rPr>
                <w:rFonts w:cs="Arial"/>
                <w:b/>
                <w:szCs w:val="22"/>
                <w:lang w:val="en-CA"/>
              </w:rPr>
            </w:pPr>
            <w:r>
              <w:rPr>
                <w:rFonts w:cs="Arial"/>
                <w:b/>
                <w:szCs w:val="22"/>
                <w:lang w:val="en-CA"/>
              </w:rPr>
              <w:t>RDB</w:t>
            </w:r>
          </w:p>
        </w:tc>
        <w:tc>
          <w:tcPr>
            <w:tcW w:w="1982" w:type="dxa"/>
            <w:shd w:val="clear" w:color="auto" w:fill="EAF1DD"/>
          </w:tcPr>
          <w:p w:rsidR="00C6588E" w:rsidRPr="00C54C7B" w:rsidRDefault="00C6588E"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C6588E" w:rsidRPr="00C54C7B" w:rsidRDefault="007A554F" w:rsidP="007A554F">
            <w:pPr>
              <w:pStyle w:val="Header"/>
              <w:tabs>
                <w:tab w:val="left" w:pos="585"/>
              </w:tabs>
              <w:rPr>
                <w:rFonts w:cs="Arial"/>
                <w:b/>
                <w:szCs w:val="22"/>
                <w:lang w:val="en-CA"/>
              </w:rPr>
            </w:pPr>
            <w:r>
              <w:rPr>
                <w:rFonts w:cs="Arial"/>
                <w:b/>
                <w:szCs w:val="22"/>
                <w:lang w:val="en-CA"/>
              </w:rPr>
              <w:tab/>
              <w:t>June 11, 2015</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C6588E" w:rsidP="00373FD2">
            <w:pPr>
              <w:pStyle w:val="Header"/>
              <w:jc w:val="center"/>
              <w:rPr>
                <w:rFonts w:cs="Arial"/>
                <w:b/>
                <w:szCs w:val="22"/>
                <w:lang w:val="en-CA"/>
              </w:rPr>
            </w:pPr>
            <w:r w:rsidRPr="00C6588E">
              <w:rPr>
                <w:rFonts w:cs="Arial"/>
                <w:b/>
                <w:szCs w:val="22"/>
                <w:lang w:val="en-CA"/>
              </w:rPr>
              <w:t>Resource Drilling and Blasting</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9E264C" w:rsidRDefault="009E264C" w:rsidP="00373FD2">
            <w:pPr>
              <w:pStyle w:val="Title"/>
              <w:shd w:val="clear" w:color="auto" w:fill="C0C0C0"/>
              <w:jc w:val="left"/>
              <w:rPr>
                <w:rFonts w:ascii="Arial" w:hAnsi="Arial" w:cs="Arial"/>
                <w:sz w:val="20"/>
              </w:rPr>
            </w:pP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BF7A03" w:rsidP="004C2936">
            <w:pPr>
              <w:numPr>
                <w:ilvl w:val="1"/>
                <w:numId w:val="3"/>
              </w:numPr>
              <w:rPr>
                <w:rFonts w:cs="Arial"/>
                <w:sz w:val="20"/>
              </w:rPr>
            </w:pPr>
            <w:r>
              <w:rPr>
                <w:rFonts w:cs="Arial"/>
                <w:sz w:val="20"/>
              </w:rPr>
              <w:t xml:space="preserve">Identify any </w:t>
            </w:r>
            <w:r w:rsidR="001D5C52">
              <w:rPr>
                <w:rFonts w:cs="Arial"/>
                <w:sz w:val="20"/>
              </w:rPr>
              <w:t>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 xml:space="preserve">related issues and trends over the past year </w:t>
            </w:r>
            <w:r>
              <w:rPr>
                <w:rFonts w:cs="Arial"/>
                <w:sz w:val="20"/>
              </w:rPr>
              <w:t xml:space="preserve">that will </w:t>
            </w:r>
            <w:r w:rsidR="00373FD2" w:rsidRPr="00356C80">
              <w:rPr>
                <w:rFonts w:cs="Arial"/>
                <w:sz w:val="20"/>
              </w:rPr>
              <w:t xml:space="preserve">impact </w:t>
            </w:r>
            <w:r>
              <w:rPr>
                <w:rFonts w:cs="Arial"/>
                <w:sz w:val="20"/>
              </w:rPr>
              <w:t xml:space="preserve">your </w:t>
            </w:r>
            <w:r w:rsidR="00373FD2" w:rsidRPr="00356C80">
              <w:rPr>
                <w:rFonts w:cs="Arial"/>
                <w:sz w:val="20"/>
              </w:rPr>
              <w:t>program</w:t>
            </w:r>
            <w:r w:rsidR="001D5C52">
              <w:rPr>
                <w:rFonts w:cs="Arial"/>
                <w:sz w:val="20"/>
              </w:rPr>
              <w:t>?</w:t>
            </w:r>
          </w:p>
          <w:p w:rsidR="007A554F" w:rsidRPr="007A554F" w:rsidRDefault="007A554F" w:rsidP="007A554F">
            <w:pPr>
              <w:pStyle w:val="ListParagraph"/>
              <w:numPr>
                <w:ilvl w:val="0"/>
                <w:numId w:val="6"/>
              </w:numPr>
              <w:rPr>
                <w:rFonts w:cs="Arial"/>
                <w:b/>
                <w:i/>
                <w:sz w:val="20"/>
              </w:rPr>
            </w:pPr>
            <w:r w:rsidRPr="007A554F">
              <w:rPr>
                <w:rFonts w:cs="Arial"/>
                <w:b/>
                <w:i/>
                <w:sz w:val="20"/>
              </w:rPr>
              <w:t xml:space="preserve">Well Regulation 903 under review and comments due by end April, 2015 </w:t>
            </w:r>
          </w:p>
          <w:p w:rsidR="007A554F" w:rsidRPr="007A554F" w:rsidRDefault="007A554F" w:rsidP="007A554F">
            <w:pPr>
              <w:pStyle w:val="ListParagraph"/>
              <w:numPr>
                <w:ilvl w:val="0"/>
                <w:numId w:val="6"/>
              </w:numPr>
              <w:rPr>
                <w:rFonts w:cs="Arial"/>
                <w:b/>
                <w:i/>
                <w:sz w:val="20"/>
              </w:rPr>
            </w:pPr>
            <w:r w:rsidRPr="007A554F">
              <w:rPr>
                <w:rFonts w:cs="Arial"/>
                <w:b/>
                <w:i/>
                <w:sz w:val="20"/>
              </w:rPr>
              <w:t>Construction drilling trying to implement new regulations, this will affect the industry, different levels of crane licence will be required</w:t>
            </w:r>
          </w:p>
          <w:p w:rsidR="007A554F" w:rsidRPr="007A554F" w:rsidRDefault="007A554F" w:rsidP="007A554F">
            <w:pPr>
              <w:pStyle w:val="ListParagraph"/>
              <w:numPr>
                <w:ilvl w:val="0"/>
                <w:numId w:val="6"/>
              </w:numPr>
              <w:rPr>
                <w:rFonts w:cs="Arial"/>
                <w:b/>
                <w:i/>
                <w:sz w:val="20"/>
              </w:rPr>
            </w:pPr>
            <w:r w:rsidRPr="007A554F">
              <w:rPr>
                <w:rFonts w:cs="Arial"/>
                <w:b/>
                <w:i/>
                <w:sz w:val="20"/>
              </w:rPr>
              <w:t>Mining industry completely flat, HDD larger pipeline projects on East Coast. Micro-tunneling is taking off, lots of opportunities in this industry. Only a few Canadian companies doing this work, mostly European companies coming over to do the work instead</w:t>
            </w:r>
          </w:p>
          <w:p w:rsidR="007A554F" w:rsidRPr="007A554F" w:rsidRDefault="007A554F" w:rsidP="007A554F">
            <w:pPr>
              <w:pStyle w:val="ListParagraph"/>
              <w:numPr>
                <w:ilvl w:val="0"/>
                <w:numId w:val="6"/>
              </w:numPr>
              <w:rPr>
                <w:rFonts w:cs="Arial"/>
                <w:b/>
                <w:i/>
                <w:sz w:val="20"/>
              </w:rPr>
            </w:pPr>
            <w:r w:rsidRPr="007A554F">
              <w:rPr>
                <w:rFonts w:cs="Arial"/>
                <w:b/>
                <w:i/>
                <w:sz w:val="20"/>
              </w:rPr>
              <w:t xml:space="preserve">Huge opportunities in Geo-Tech and construction </w:t>
            </w:r>
          </w:p>
          <w:p w:rsidR="00373FD2" w:rsidRPr="007A554F" w:rsidRDefault="007A554F" w:rsidP="007A554F">
            <w:pPr>
              <w:numPr>
                <w:ilvl w:val="0"/>
                <w:numId w:val="6"/>
              </w:numPr>
              <w:rPr>
                <w:rFonts w:cs="Arial"/>
                <w:b/>
                <w:i/>
                <w:sz w:val="20"/>
              </w:rPr>
            </w:pPr>
            <w:r w:rsidRPr="007A554F">
              <w:rPr>
                <w:rFonts w:cs="Arial"/>
                <w:b/>
                <w:i/>
                <w:sz w:val="20"/>
              </w:rPr>
              <w:t>India is a goldmine for workers, off-shore work is completely flat, waiting for oil to go back up to $65.00 a barrel</w:t>
            </w: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 xml:space="preserve">Advisory Committee recommendations from the past year that will affect the positioning, nature, or scope of </w:t>
            </w:r>
            <w:r w:rsidR="00BF7A03">
              <w:rPr>
                <w:rFonts w:cs="Arial"/>
                <w:sz w:val="20"/>
              </w:rPr>
              <w:t xml:space="preserve">your </w:t>
            </w:r>
            <w:r w:rsidR="00373FD2" w:rsidRPr="00356C80">
              <w:rPr>
                <w:rFonts w:cs="Arial"/>
                <w:sz w:val="20"/>
              </w:rPr>
              <w:t>program</w:t>
            </w:r>
            <w:r>
              <w:rPr>
                <w:rFonts w:cs="Arial"/>
                <w:sz w:val="20"/>
              </w:rPr>
              <w:t>?</w:t>
            </w:r>
          </w:p>
          <w:p w:rsidR="007A554F" w:rsidRPr="007A554F" w:rsidRDefault="007A554F" w:rsidP="007A554F">
            <w:pPr>
              <w:pStyle w:val="ListParagraph"/>
              <w:numPr>
                <w:ilvl w:val="0"/>
                <w:numId w:val="8"/>
              </w:numPr>
              <w:rPr>
                <w:rFonts w:cs="Arial"/>
                <w:b/>
                <w:i/>
                <w:sz w:val="20"/>
              </w:rPr>
            </w:pPr>
            <w:r w:rsidRPr="007A554F">
              <w:rPr>
                <w:rFonts w:cs="Arial"/>
                <w:b/>
                <w:i/>
                <w:sz w:val="20"/>
              </w:rPr>
              <w:t>None</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sectoral and profession associations, </w:t>
            </w:r>
            <w:r w:rsidR="00BF7A03">
              <w:rPr>
                <w:rFonts w:cs="Arial"/>
                <w:sz w:val="20"/>
              </w:rPr>
              <w:t xml:space="preserve">or </w:t>
            </w:r>
            <w:r w:rsidR="00373FD2" w:rsidRPr="00902FB1">
              <w:rPr>
                <w:rFonts w:cs="Arial"/>
                <w:sz w:val="20"/>
              </w:rPr>
              <w:t>involvement in community and employer networks connected to the field</w:t>
            </w:r>
            <w:r>
              <w:rPr>
                <w:rFonts w:cs="Arial"/>
                <w:sz w:val="20"/>
              </w:rPr>
              <w:t>?</w:t>
            </w:r>
          </w:p>
          <w:p w:rsidR="007A554F" w:rsidRPr="007A554F" w:rsidRDefault="007A554F" w:rsidP="007A554F">
            <w:pPr>
              <w:pStyle w:val="ListParagraph"/>
              <w:numPr>
                <w:ilvl w:val="0"/>
                <w:numId w:val="7"/>
              </w:numPr>
              <w:rPr>
                <w:rFonts w:cs="Arial"/>
                <w:b/>
                <w:i/>
                <w:sz w:val="20"/>
              </w:rPr>
            </w:pPr>
            <w:r w:rsidRPr="007A554F">
              <w:rPr>
                <w:rFonts w:cs="Arial"/>
                <w:b/>
                <w:i/>
                <w:sz w:val="20"/>
              </w:rPr>
              <w:t xml:space="preserve">Steve </w:t>
            </w:r>
            <w:r w:rsidR="004A26F9">
              <w:rPr>
                <w:rFonts w:cs="Arial"/>
                <w:b/>
                <w:i/>
                <w:sz w:val="20"/>
              </w:rPr>
              <w:t xml:space="preserve">W. </w:t>
            </w:r>
            <w:r w:rsidRPr="007A554F">
              <w:rPr>
                <w:rFonts w:cs="Arial"/>
                <w:b/>
                <w:i/>
                <w:sz w:val="20"/>
              </w:rPr>
              <w:t>visited China with other faculty delegates to meet with the Chinese faculty and gather information about their programs, curriculum, resources and potential pathways for students. The Chinese faculty will be visiting Frost campus in September to further this initiative.</w:t>
            </w:r>
          </w:p>
          <w:p w:rsidR="007A554F" w:rsidRPr="007A554F" w:rsidRDefault="007A554F" w:rsidP="007A554F">
            <w:pPr>
              <w:pStyle w:val="ListParagraph"/>
              <w:ind w:left="1440"/>
              <w:rPr>
                <w:rFonts w:cs="Arial"/>
                <w:sz w:val="20"/>
              </w:rPr>
            </w:pPr>
          </w:p>
          <w:p w:rsidR="00373FD2" w:rsidRDefault="00373FD2" w:rsidP="00373FD2">
            <w:pPr>
              <w:rPr>
                <w:rFonts w:cs="Arial"/>
                <w:sz w:val="20"/>
              </w:rPr>
            </w:pPr>
          </w:p>
          <w:p w:rsidR="00373FD2" w:rsidRPr="00356C80" w:rsidRDefault="00373FD2" w:rsidP="005C63D5">
            <w:pPr>
              <w:ind w:left="720"/>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7A554F" w:rsidRDefault="002247EA" w:rsidP="004C2936">
            <w:pPr>
              <w:numPr>
                <w:ilvl w:val="1"/>
                <w:numId w:val="4"/>
              </w:numPr>
              <w:tabs>
                <w:tab w:val="left" w:pos="681"/>
                <w:tab w:val="left" w:pos="972"/>
              </w:tabs>
              <w:rPr>
                <w:rFonts w:cs="Arial"/>
                <w:sz w:val="20"/>
              </w:rPr>
            </w:pPr>
            <w:r>
              <w:rPr>
                <w:rFonts w:cs="Arial"/>
                <w:sz w:val="20"/>
              </w:rPr>
              <w:t xml:space="preserve"> </w:t>
            </w:r>
            <w:r w:rsidR="001D5863">
              <w:rPr>
                <w:rFonts w:cs="Arial"/>
                <w:sz w:val="20"/>
              </w:rPr>
              <w:t xml:space="preserve">Identify </w:t>
            </w:r>
            <w:r w:rsidR="001D5C52">
              <w:rPr>
                <w:rFonts w:cs="Arial"/>
                <w:sz w:val="20"/>
              </w:rPr>
              <w:t>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 xml:space="preserve">approaches, </w:t>
            </w:r>
            <w:r w:rsidR="001D5863">
              <w:rPr>
                <w:rFonts w:cs="Arial"/>
                <w:sz w:val="20"/>
              </w:rPr>
              <w:t xml:space="preserve">and/or </w:t>
            </w:r>
            <w:r w:rsidR="00373FD2">
              <w:rPr>
                <w:rFonts w:cs="Arial"/>
                <w:sz w:val="20"/>
              </w:rPr>
              <w:t>assessment practices</w:t>
            </w:r>
            <w:r w:rsidR="00BF7A03">
              <w:rPr>
                <w:rFonts w:cs="Arial"/>
                <w:sz w:val="20"/>
              </w:rPr>
              <w:t xml:space="preserve">. </w:t>
            </w:r>
          </w:p>
          <w:p w:rsidR="00373FD2" w:rsidRPr="004A26F9" w:rsidRDefault="007A554F" w:rsidP="007A554F">
            <w:pPr>
              <w:pStyle w:val="ListParagraph"/>
              <w:numPr>
                <w:ilvl w:val="0"/>
                <w:numId w:val="7"/>
              </w:numPr>
              <w:tabs>
                <w:tab w:val="left" w:pos="681"/>
                <w:tab w:val="left" w:pos="972"/>
              </w:tabs>
              <w:rPr>
                <w:rFonts w:cs="Arial"/>
                <w:b/>
                <w:i/>
                <w:sz w:val="20"/>
              </w:rPr>
            </w:pPr>
            <w:r w:rsidRPr="004A26F9">
              <w:rPr>
                <w:rFonts w:cs="Arial"/>
                <w:b/>
                <w:i/>
                <w:sz w:val="20"/>
              </w:rPr>
              <w:t>A Construction Drilling course was added to Semester 4 due to the increase in activity in the construction drilling industry. This course replaced Quarry Camp – Blasting because of the SBL certificate program. Industry will hire a SBL graduate over a RDB graduate for this type of work and many of the SBL students pathway into RDB.</w:t>
            </w:r>
          </w:p>
          <w:p w:rsidR="007A554F" w:rsidRPr="004A26F9" w:rsidRDefault="007A554F" w:rsidP="007A554F">
            <w:pPr>
              <w:pStyle w:val="ListParagraph"/>
              <w:numPr>
                <w:ilvl w:val="0"/>
                <w:numId w:val="7"/>
              </w:numPr>
              <w:tabs>
                <w:tab w:val="left" w:pos="681"/>
                <w:tab w:val="left" w:pos="972"/>
              </w:tabs>
              <w:rPr>
                <w:rFonts w:cs="Arial"/>
                <w:b/>
                <w:i/>
                <w:sz w:val="20"/>
              </w:rPr>
            </w:pPr>
            <w:r w:rsidRPr="004A26F9">
              <w:rPr>
                <w:rFonts w:cs="Arial"/>
                <w:b/>
                <w:i/>
                <w:sz w:val="20"/>
              </w:rPr>
              <w:t xml:space="preserve">Rock Studies I and II were combined </w:t>
            </w:r>
            <w:r w:rsidR="004A26F9" w:rsidRPr="004A26F9">
              <w:rPr>
                <w:rFonts w:cs="Arial"/>
                <w:b/>
                <w:i/>
                <w:sz w:val="20"/>
              </w:rPr>
              <w:t xml:space="preserve">because the curriculum content was very similar and </w:t>
            </w:r>
            <w:r w:rsidR="004A26F9" w:rsidRPr="004A26F9">
              <w:rPr>
                <w:rFonts w:cs="Arial"/>
                <w:b/>
                <w:i/>
                <w:sz w:val="20"/>
              </w:rPr>
              <w:lastRenderedPageBreak/>
              <w:t>by combining the courses the pathway from SBL to RDB was improved.</w:t>
            </w:r>
          </w:p>
          <w:p w:rsidR="004A26F9" w:rsidRPr="004A26F9" w:rsidRDefault="004A26F9" w:rsidP="007A554F">
            <w:pPr>
              <w:pStyle w:val="ListParagraph"/>
              <w:numPr>
                <w:ilvl w:val="0"/>
                <w:numId w:val="7"/>
              </w:numPr>
              <w:tabs>
                <w:tab w:val="left" w:pos="681"/>
                <w:tab w:val="left" w:pos="972"/>
              </w:tabs>
              <w:rPr>
                <w:rFonts w:cs="Arial"/>
                <w:b/>
                <w:i/>
                <w:sz w:val="20"/>
              </w:rPr>
            </w:pPr>
            <w:r w:rsidRPr="004A26F9">
              <w:rPr>
                <w:rFonts w:cs="Arial"/>
                <w:b/>
                <w:i/>
                <w:sz w:val="20"/>
              </w:rPr>
              <w:t xml:space="preserve">The Well Construction course now concentrates on the use of a rotary drill rather than the cable tool. The Air Rotary Drilling course now replaces the Waterwell Drilling course. These changes were made to reflect the equipment now used in the industry. </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w:t>
            </w:r>
            <w:r w:rsidR="009E264C">
              <w:rPr>
                <w:rFonts w:cs="Arial"/>
                <w:sz w:val="20"/>
              </w:rPr>
              <w:t xml:space="preserve">technology enhanced </w:t>
            </w:r>
            <w:r w:rsidR="000673C8">
              <w:rPr>
                <w:rFonts w:cs="Arial"/>
                <w:sz w:val="20"/>
              </w:rPr>
              <w:t>learning in each semester of their program</w:t>
            </w:r>
            <w:r w:rsidR="00F12BDC">
              <w:rPr>
                <w:rFonts w:cs="Arial"/>
                <w:sz w:val="20"/>
              </w:rPr>
              <w:t xml:space="preserve">? </w:t>
            </w:r>
            <w:r w:rsidR="009E264C">
              <w:rPr>
                <w:rFonts w:cs="Arial"/>
                <w:sz w:val="20"/>
              </w:rPr>
              <w:t>Identify courses where possible.</w:t>
            </w:r>
          </w:p>
          <w:p w:rsidR="004A26F9" w:rsidRPr="004A26F9" w:rsidRDefault="004A26F9" w:rsidP="00D11E45">
            <w:pPr>
              <w:pStyle w:val="ListParagraph"/>
              <w:numPr>
                <w:ilvl w:val="0"/>
                <w:numId w:val="9"/>
              </w:numPr>
              <w:tabs>
                <w:tab w:val="left" w:pos="681"/>
                <w:tab w:val="left" w:pos="972"/>
              </w:tabs>
              <w:rPr>
                <w:rFonts w:cs="Arial"/>
                <w:b/>
                <w:i/>
                <w:sz w:val="20"/>
              </w:rPr>
            </w:pPr>
            <w:r w:rsidRPr="004A26F9">
              <w:rPr>
                <w:rFonts w:cs="Arial"/>
                <w:b/>
                <w:i/>
                <w:sz w:val="20"/>
              </w:rPr>
              <w:t xml:space="preserve">Some program course content is placed in D2L. </w:t>
            </w:r>
            <w:r w:rsidR="00D11E45" w:rsidRPr="00D11E45">
              <w:rPr>
                <w:rFonts w:cs="Arial"/>
                <w:b/>
                <w:i/>
                <w:sz w:val="20"/>
              </w:rPr>
              <w:t xml:space="preserve">I-clickers are used </w:t>
            </w:r>
            <w:r w:rsidR="00D11E45">
              <w:rPr>
                <w:rFonts w:cs="Arial"/>
                <w:b/>
                <w:i/>
                <w:sz w:val="20"/>
              </w:rPr>
              <w:t xml:space="preserve">in some program courses. </w:t>
            </w:r>
            <w:r w:rsidRPr="004A26F9">
              <w:rPr>
                <w:rFonts w:cs="Arial"/>
                <w:b/>
                <w:i/>
                <w:sz w:val="20"/>
              </w:rPr>
              <w:t>Students are encouraged to use the Internet to find information on parts, MOE well records, etc.</w:t>
            </w:r>
            <w:r w:rsidR="00D11E45">
              <w:rPr>
                <w:rFonts w:cs="Arial"/>
                <w:b/>
                <w:i/>
                <w:sz w:val="20"/>
              </w:rPr>
              <w:t xml:space="preserve"> </w:t>
            </w:r>
          </w:p>
          <w:p w:rsidR="002247EA" w:rsidRDefault="002247EA" w:rsidP="005C63D5">
            <w:pPr>
              <w:pStyle w:val="ListParagraph"/>
              <w:rPr>
                <w:rFonts w:cs="Arial"/>
                <w:sz w:val="20"/>
              </w:rPr>
            </w:pPr>
          </w:p>
          <w:p w:rsidR="00F12BDC" w:rsidRPr="004A26F9" w:rsidRDefault="00F12BDC" w:rsidP="007A554F">
            <w:pPr>
              <w:numPr>
                <w:ilvl w:val="1"/>
                <w:numId w:val="4"/>
              </w:numPr>
              <w:tabs>
                <w:tab w:val="left" w:pos="681"/>
                <w:tab w:val="left" w:pos="972"/>
              </w:tabs>
              <w:rPr>
                <w:rFonts w:cs="Arial"/>
                <w:sz w:val="20"/>
              </w:rPr>
            </w:pPr>
            <w:r w:rsidRPr="00F12BDC">
              <w:rPr>
                <w:rFonts w:cs="Arial"/>
                <w:sz w:val="20"/>
              </w:rPr>
              <w:t xml:space="preserve"> </w:t>
            </w:r>
            <w:r w:rsidR="007E10F0" w:rsidRPr="00F12BDC">
              <w:rPr>
                <w:rFonts w:cs="Arial"/>
                <w:sz w:val="20"/>
              </w:rPr>
              <w:t xml:space="preserve">Does the current curriculum align with the College’s Strategic </w:t>
            </w:r>
            <w:r w:rsidRPr="00F12BDC">
              <w:rPr>
                <w:rFonts w:cs="Arial"/>
                <w:sz w:val="20"/>
              </w:rPr>
              <w:t>Plan to</w:t>
            </w:r>
            <w:r w:rsidR="007E10F0" w:rsidRPr="00F12BDC">
              <w:rPr>
                <w:rFonts w:cs="Arial"/>
                <w:i/>
                <w:iCs/>
                <w:sz w:val="20"/>
              </w:rPr>
              <w:t xml:space="preserve"> “infuse sustainability across the curriculum and across the student experience so that graduates understand and address sustainability issues.” (Goal 3.3)</w:t>
            </w:r>
            <w:r w:rsidRPr="00F12BDC">
              <w:rPr>
                <w:rFonts w:cs="Arial"/>
                <w:i/>
                <w:iCs/>
                <w:sz w:val="20"/>
              </w:rPr>
              <w:t xml:space="preserve">  </w:t>
            </w:r>
            <w:r w:rsidRPr="00F12BDC">
              <w:rPr>
                <w:rFonts w:cs="Arial"/>
                <w:iCs/>
                <w:sz w:val="20"/>
              </w:rPr>
              <w:t>Please identify which courses/experiences in the students’ program that sustainability issues are addressed.</w:t>
            </w:r>
          </w:p>
          <w:p w:rsidR="004A26F9" w:rsidRDefault="004A26F9" w:rsidP="004A26F9">
            <w:pPr>
              <w:pStyle w:val="ListParagraph"/>
              <w:numPr>
                <w:ilvl w:val="0"/>
                <w:numId w:val="9"/>
              </w:numPr>
              <w:tabs>
                <w:tab w:val="left" w:pos="681"/>
                <w:tab w:val="left" w:pos="972"/>
              </w:tabs>
              <w:rPr>
                <w:rFonts w:cs="Arial"/>
                <w:b/>
                <w:i/>
                <w:sz w:val="20"/>
              </w:rPr>
            </w:pPr>
            <w:r w:rsidRPr="004A26F9">
              <w:rPr>
                <w:rFonts w:cs="Arial"/>
                <w:b/>
                <w:i/>
                <w:sz w:val="20"/>
              </w:rPr>
              <w:t>In the Air Rotary and Well Construction courses, mud recovery system is taught and used in lab to teach environmental and economic sustainability practices.</w:t>
            </w:r>
          </w:p>
          <w:p w:rsidR="00A55B23" w:rsidRPr="004A26F9" w:rsidRDefault="00A55B23" w:rsidP="004A26F9">
            <w:pPr>
              <w:pStyle w:val="ListParagraph"/>
              <w:numPr>
                <w:ilvl w:val="0"/>
                <w:numId w:val="9"/>
              </w:numPr>
              <w:tabs>
                <w:tab w:val="left" w:pos="681"/>
                <w:tab w:val="left" w:pos="972"/>
              </w:tabs>
              <w:rPr>
                <w:rFonts w:cs="Arial"/>
                <w:b/>
                <w:i/>
                <w:sz w:val="20"/>
              </w:rPr>
            </w:pPr>
            <w:r>
              <w:rPr>
                <w:rFonts w:cs="Arial"/>
                <w:b/>
                <w:i/>
                <w:sz w:val="20"/>
              </w:rPr>
              <w:t>In Rig Maintenance proper disposal and use of materials is taught and in Environmental Drilling regulations on hole abandonment is taught to MOE regulations for environmental protection.</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w:t>
            </w:r>
            <w:r w:rsidR="00BF7A03">
              <w:rPr>
                <w:rFonts w:cs="Arial"/>
                <w:sz w:val="20"/>
              </w:rPr>
              <w:t xml:space="preserve">Identify </w:t>
            </w:r>
            <w:r w:rsidRPr="00367B3B">
              <w:rPr>
                <w:rFonts w:cs="Arial"/>
                <w:sz w:val="20"/>
              </w:rPr>
              <w:t>any r</w:t>
            </w:r>
            <w:r w:rsidR="00373FD2" w:rsidRPr="00367B3B">
              <w:rPr>
                <w:rFonts w:cs="Arial"/>
                <w:sz w:val="20"/>
              </w:rPr>
              <w:t>ecent or anticipated initiatives that</w:t>
            </w:r>
            <w:r w:rsidR="00373FD2" w:rsidRPr="00356C80">
              <w:rPr>
                <w:rFonts w:cs="Arial"/>
                <w:sz w:val="20"/>
              </w:rPr>
              <w:t xml:space="preserve"> promote student pathways </w:t>
            </w:r>
            <w:r w:rsidR="00BF7A03">
              <w:rPr>
                <w:rFonts w:cs="Arial"/>
                <w:sz w:val="20"/>
              </w:rPr>
              <w:t>i</w:t>
            </w:r>
            <w:r w:rsidR="00373FD2" w:rsidRPr="00356C80">
              <w:rPr>
                <w:rFonts w:cs="Arial"/>
                <w:sz w:val="20"/>
              </w:rPr>
              <w:t xml:space="preserve">ncluding </w:t>
            </w:r>
            <w:r w:rsidR="00373FD2">
              <w:rPr>
                <w:rFonts w:cs="Arial"/>
                <w:sz w:val="20"/>
              </w:rPr>
              <w:t xml:space="preserve">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w:t>
            </w:r>
            <w:r w:rsidR="00BF7A03">
              <w:rPr>
                <w:rFonts w:cs="Arial"/>
                <w:sz w:val="20"/>
              </w:rPr>
              <w:t>u</w:t>
            </w:r>
            <w:r w:rsidR="00373FD2" w:rsidRPr="00356C80">
              <w:rPr>
                <w:rFonts w:cs="Arial"/>
                <w:sz w:val="20"/>
              </w:rPr>
              <w:t xml:space="preserve">niversity transfer / </w:t>
            </w:r>
            <w:r w:rsidR="00373FD2">
              <w:rPr>
                <w:rFonts w:cs="Arial"/>
                <w:sz w:val="20"/>
              </w:rPr>
              <w:t xml:space="preserve">articulations, </w:t>
            </w:r>
            <w:r w:rsidR="00BF7A03">
              <w:rPr>
                <w:rFonts w:cs="Arial"/>
                <w:sz w:val="20"/>
              </w:rPr>
              <w:t xml:space="preserve">or </w:t>
            </w:r>
            <w:r w:rsidR="00373FD2">
              <w:rPr>
                <w:rFonts w:cs="Arial"/>
                <w:sz w:val="20"/>
              </w:rPr>
              <w:t>continuing education?</w:t>
            </w:r>
          </w:p>
          <w:p w:rsidR="00A55B23" w:rsidRDefault="00A55B23" w:rsidP="00A55B23">
            <w:pPr>
              <w:pStyle w:val="ListParagraph"/>
              <w:numPr>
                <w:ilvl w:val="0"/>
                <w:numId w:val="9"/>
              </w:numPr>
              <w:tabs>
                <w:tab w:val="left" w:pos="681"/>
                <w:tab w:val="left" w:pos="972"/>
              </w:tabs>
              <w:rPr>
                <w:rFonts w:cs="Arial"/>
                <w:b/>
                <w:i/>
                <w:sz w:val="20"/>
              </w:rPr>
            </w:pPr>
            <w:r w:rsidRPr="00A55B23">
              <w:rPr>
                <w:rFonts w:cs="Arial"/>
                <w:b/>
                <w:i/>
                <w:sz w:val="20"/>
              </w:rPr>
              <w:t>Steve W. visited China with other faculty delegates to meet with the Chinese faculty and gather information about their programs, curriculum, resources and potential pathways for students. The Chinese faculty will be visiting Frost campus in September to further this initiative.</w:t>
            </w:r>
          </w:p>
          <w:p w:rsidR="00A55B23" w:rsidRPr="00A55B23" w:rsidRDefault="00A55B23" w:rsidP="00A55B23">
            <w:pPr>
              <w:pStyle w:val="ListParagraph"/>
              <w:numPr>
                <w:ilvl w:val="0"/>
                <w:numId w:val="9"/>
              </w:numPr>
              <w:tabs>
                <w:tab w:val="left" w:pos="681"/>
                <w:tab w:val="left" w:pos="972"/>
              </w:tabs>
              <w:rPr>
                <w:rFonts w:cs="Arial"/>
                <w:b/>
                <w:i/>
                <w:sz w:val="20"/>
              </w:rPr>
            </w:pPr>
            <w:r>
              <w:rPr>
                <w:rFonts w:cs="Arial"/>
                <w:b/>
                <w:i/>
                <w:sz w:val="20"/>
              </w:rPr>
              <w:t>SBL pathway into RDB has been improved and cap has been removed.</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00BF7A03">
              <w:rPr>
                <w:rFonts w:cs="Arial"/>
                <w:sz w:val="20"/>
              </w:rPr>
              <w:t xml:space="preserve">Identify </w:t>
            </w:r>
            <w:r>
              <w:rPr>
                <w:rFonts w:cs="Arial"/>
                <w:sz w:val="20"/>
              </w:rPr>
              <w:t>any n</w:t>
            </w:r>
            <w:r w:rsidR="00373FD2" w:rsidRPr="00356C80">
              <w:rPr>
                <w:rFonts w:cs="Arial"/>
                <w:sz w:val="20"/>
              </w:rPr>
              <w:t>ew competitor programs and/or re-positioning of existing programs</w:t>
            </w:r>
            <w:r>
              <w:rPr>
                <w:rFonts w:cs="Arial"/>
                <w:sz w:val="20"/>
              </w:rPr>
              <w:t>?</w:t>
            </w:r>
          </w:p>
          <w:p w:rsidR="00A55B23" w:rsidRPr="00A55B23" w:rsidRDefault="00A55B23" w:rsidP="00A55B23">
            <w:pPr>
              <w:pStyle w:val="ListParagraph"/>
              <w:numPr>
                <w:ilvl w:val="0"/>
                <w:numId w:val="10"/>
              </w:numPr>
              <w:tabs>
                <w:tab w:val="left" w:pos="681"/>
                <w:tab w:val="left" w:pos="972"/>
              </w:tabs>
              <w:rPr>
                <w:rFonts w:cs="Arial"/>
                <w:b/>
                <w:i/>
                <w:sz w:val="20"/>
              </w:rPr>
            </w:pPr>
            <w:r w:rsidRPr="00A55B23">
              <w:rPr>
                <w:rFonts w:cs="Arial"/>
                <w:b/>
                <w:i/>
                <w:sz w:val="20"/>
              </w:rPr>
              <w:t>none</w:t>
            </w:r>
          </w:p>
          <w:p w:rsidR="00373FD2" w:rsidRPr="00356C80" w:rsidRDefault="00373FD2" w:rsidP="00373FD2">
            <w:pPr>
              <w:tabs>
                <w:tab w:val="left" w:pos="252"/>
                <w:tab w:val="left" w:pos="972"/>
              </w:tabs>
              <w:ind w:left="72"/>
              <w:rPr>
                <w:rFonts w:cs="Arial"/>
                <w:sz w:val="20"/>
              </w:rPr>
            </w:pPr>
          </w:p>
          <w:p w:rsidR="001D5C52" w:rsidRDefault="001D5C52" w:rsidP="007A554F">
            <w:pPr>
              <w:numPr>
                <w:ilvl w:val="1"/>
                <w:numId w:val="4"/>
              </w:numPr>
              <w:tabs>
                <w:tab w:val="left" w:pos="681"/>
                <w:tab w:val="left" w:pos="972"/>
              </w:tabs>
              <w:rPr>
                <w:rFonts w:cs="Arial"/>
                <w:sz w:val="20"/>
              </w:rPr>
            </w:pPr>
            <w:r w:rsidRPr="00F12BDC">
              <w:rPr>
                <w:rFonts w:cs="Arial"/>
                <w:sz w:val="20"/>
              </w:rPr>
              <w:t xml:space="preserve"> </w:t>
            </w:r>
            <w:r w:rsidR="00BF7A03">
              <w:rPr>
                <w:rFonts w:cs="Arial"/>
                <w:sz w:val="20"/>
              </w:rPr>
              <w:t xml:space="preserve">Identify if there are </w:t>
            </w:r>
            <w:r w:rsidRPr="00F12BDC">
              <w:rPr>
                <w:rFonts w:cs="Arial"/>
                <w:sz w:val="20"/>
              </w:rPr>
              <w:t>any n</w:t>
            </w:r>
            <w:r w:rsidR="00373FD2" w:rsidRPr="00F12BDC">
              <w:rPr>
                <w:rFonts w:cs="Arial"/>
                <w:sz w:val="20"/>
              </w:rPr>
              <w:t>ew or changing provincial standards, standards for accreditation, credentials, and / or industry or sector certifications over the past year</w:t>
            </w:r>
            <w:r w:rsidRPr="00F12BDC">
              <w:rPr>
                <w:rFonts w:cs="Arial"/>
                <w:sz w:val="20"/>
              </w:rPr>
              <w:t>?</w:t>
            </w:r>
            <w:r w:rsidR="00373FD2" w:rsidRPr="00F12BDC">
              <w:rPr>
                <w:rFonts w:cs="Arial"/>
                <w:sz w:val="20"/>
              </w:rPr>
              <w:t xml:space="preserve"> </w:t>
            </w:r>
          </w:p>
          <w:p w:rsidR="000673C8" w:rsidRPr="00A55B23" w:rsidRDefault="00A55B23" w:rsidP="000673C8">
            <w:pPr>
              <w:pStyle w:val="ListParagraph"/>
              <w:numPr>
                <w:ilvl w:val="0"/>
                <w:numId w:val="10"/>
              </w:numPr>
              <w:tabs>
                <w:tab w:val="left" w:pos="681"/>
                <w:tab w:val="left" w:pos="972"/>
              </w:tabs>
              <w:rPr>
                <w:rFonts w:cs="Arial"/>
                <w:sz w:val="20"/>
              </w:rPr>
            </w:pPr>
            <w:r w:rsidRPr="00A55B23">
              <w:rPr>
                <w:rFonts w:cs="Arial"/>
                <w:b/>
                <w:i/>
                <w:sz w:val="20"/>
              </w:rPr>
              <w:t>none</w:t>
            </w:r>
          </w:p>
          <w:p w:rsidR="000673C8" w:rsidRPr="001D5C52" w:rsidRDefault="000673C8" w:rsidP="000673C8">
            <w:pPr>
              <w:tabs>
                <w:tab w:val="left" w:pos="681"/>
                <w:tab w:val="left" w:pos="972"/>
              </w:tabs>
              <w:ind w:left="720"/>
              <w:rPr>
                <w:rFonts w:cs="Arial"/>
                <w:sz w:val="20"/>
              </w:rPr>
            </w:pP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0673C8" w:rsidP="004C2936">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_</w:t>
            </w:r>
            <w:r w:rsidR="00D11E45" w:rsidRPr="00D11E45">
              <w:rPr>
                <w:rFonts w:cs="Arial"/>
                <w:b/>
                <w:sz w:val="20"/>
              </w:rPr>
              <w:t>X</w:t>
            </w:r>
            <w:r>
              <w:rPr>
                <w:rFonts w:cs="Arial"/>
                <w:sz w:val="20"/>
              </w:rPr>
              <w:t xml:space="preserve">_ </w:t>
            </w:r>
            <w:r w:rsidR="003D338F">
              <w:rPr>
                <w:rFonts w:cs="Arial"/>
                <w:sz w:val="20"/>
              </w:rPr>
              <w:t>Field Work (Indirect Supervision)</w:t>
            </w:r>
          </w:p>
          <w:p w:rsidR="003D338F" w:rsidRDefault="00D11E45" w:rsidP="006A1C13">
            <w:pPr>
              <w:tabs>
                <w:tab w:val="left" w:pos="398"/>
                <w:tab w:val="left" w:pos="681"/>
              </w:tabs>
              <w:ind w:left="1224"/>
              <w:rPr>
                <w:rFonts w:cs="Arial"/>
                <w:sz w:val="20"/>
              </w:rPr>
            </w:pPr>
            <w:r>
              <w:rPr>
                <w:rFonts w:cs="Arial"/>
                <w:sz w:val="20"/>
              </w:rPr>
              <w:t>_</w:t>
            </w:r>
            <w:r w:rsidRPr="00D11E45">
              <w:rPr>
                <w:rFonts w:cs="Arial"/>
                <w:b/>
                <w:sz w:val="20"/>
              </w:rPr>
              <w:t>X</w:t>
            </w:r>
            <w:r w:rsidR="006A1C13">
              <w:rPr>
                <w:rFonts w:cs="Arial"/>
                <w:sz w:val="20"/>
              </w:rPr>
              <w:t xml:space="preserve">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Default="003D338F" w:rsidP="005C63D5">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BF7A03" w:rsidRPr="001D5C52" w:rsidRDefault="00BF7A03" w:rsidP="00BF7A03">
            <w:pPr>
              <w:tabs>
                <w:tab w:val="left" w:pos="252"/>
                <w:tab w:val="left" w:pos="681"/>
              </w:tabs>
              <w:ind w:left="792"/>
              <w:rPr>
                <w:rFonts w:cs="Arial"/>
                <w:sz w:val="20"/>
              </w:rPr>
            </w:pPr>
          </w:p>
        </w:tc>
      </w:tr>
      <w:tr w:rsidR="00373FD2" w:rsidRPr="00356C80" w:rsidTr="00367B3B">
        <w:tc>
          <w:tcPr>
            <w:tcW w:w="10206" w:type="dxa"/>
            <w:tcMar>
              <w:top w:w="113" w:type="dxa"/>
              <w:bottom w:w="113" w:type="dxa"/>
            </w:tcMar>
          </w:tcPr>
          <w:p w:rsidR="00373FD2" w:rsidRPr="00E81B27" w:rsidRDefault="001D5863"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1D5863" w:rsidRDefault="001D5863"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00373FD2" w:rsidRPr="00E81B27">
              <w:rPr>
                <w:rFonts w:cs="Arial"/>
                <w:sz w:val="20"/>
              </w:rPr>
              <w:t xml:space="preserve">Key performance indicators </w:t>
            </w:r>
            <w:r>
              <w:rPr>
                <w:rFonts w:cs="Arial"/>
                <w:sz w:val="20"/>
              </w:rPr>
              <w:t xml:space="preserve">(KPI </w:t>
            </w:r>
            <w:r w:rsidR="00373FD2" w:rsidRPr="00E81B27">
              <w:rPr>
                <w:rFonts w:cs="Arial"/>
                <w:sz w:val="20"/>
              </w:rPr>
              <w:t># 4, 8, 9, and 11</w:t>
            </w:r>
            <w:r>
              <w:rPr>
                <w:rFonts w:cs="Arial"/>
                <w:sz w:val="20"/>
              </w:rPr>
              <w:t>) regarding student and graduate satisfaction (*reference Fleming Data Research website)</w:t>
            </w:r>
          </w:p>
          <w:p w:rsidR="00373FD2" w:rsidRDefault="00373FD2" w:rsidP="00373FD2">
            <w:pPr>
              <w:tabs>
                <w:tab w:val="left" w:pos="681"/>
              </w:tabs>
              <w:ind w:left="681" w:hanging="609"/>
              <w:rPr>
                <w:rFonts w:cs="Arial"/>
                <w:sz w:val="20"/>
              </w:rPr>
            </w:pPr>
          </w:p>
          <w:tbl>
            <w:tblPr>
              <w:tblStyle w:val="TableGrid"/>
              <w:tblW w:w="5000" w:type="pct"/>
              <w:tblLayout w:type="fixed"/>
              <w:tblLook w:val="04A0" w:firstRow="1" w:lastRow="0" w:firstColumn="1" w:lastColumn="0" w:noHBand="0" w:noVBand="1"/>
            </w:tblPr>
            <w:tblGrid>
              <w:gridCol w:w="5659"/>
              <w:gridCol w:w="1428"/>
              <w:gridCol w:w="1560"/>
              <w:gridCol w:w="1493"/>
            </w:tblGrid>
            <w:tr w:rsidR="00C6588E" w:rsidTr="007A554F">
              <w:tc>
                <w:tcPr>
                  <w:tcW w:w="2790" w:type="pct"/>
                  <w:tcBorders>
                    <w:bottom w:val="single" w:sz="4" w:space="0" w:color="auto"/>
                  </w:tcBorders>
                  <w:shd w:val="pct10" w:color="auto" w:fill="auto"/>
                </w:tcPr>
                <w:p w:rsidR="00C6588E" w:rsidRPr="00207DBC" w:rsidRDefault="00C6588E" w:rsidP="007A554F">
                  <w:pPr>
                    <w:rPr>
                      <w:b/>
                    </w:rPr>
                  </w:pPr>
                  <w:r w:rsidRPr="00207DBC">
                    <w:rPr>
                      <w:b/>
                    </w:rPr>
                    <w:t xml:space="preserve">KPI </w:t>
                  </w:r>
                </w:p>
              </w:tc>
              <w:tc>
                <w:tcPr>
                  <w:tcW w:w="704" w:type="pct"/>
                  <w:shd w:val="pct10" w:color="auto" w:fill="auto"/>
                </w:tcPr>
                <w:p w:rsidR="00C6588E" w:rsidRPr="00207DBC" w:rsidRDefault="00C6588E" w:rsidP="007A554F">
                  <w:pPr>
                    <w:rPr>
                      <w:b/>
                    </w:rPr>
                  </w:pPr>
                  <w:r w:rsidRPr="00207DBC">
                    <w:rPr>
                      <w:b/>
                    </w:rPr>
                    <w:t>Program</w:t>
                  </w:r>
                </w:p>
              </w:tc>
              <w:tc>
                <w:tcPr>
                  <w:tcW w:w="769" w:type="pct"/>
                  <w:shd w:val="pct10" w:color="auto" w:fill="auto"/>
                </w:tcPr>
                <w:p w:rsidR="00C6588E" w:rsidRPr="00207DBC" w:rsidRDefault="00C6588E" w:rsidP="007A554F">
                  <w:pPr>
                    <w:rPr>
                      <w:b/>
                    </w:rPr>
                  </w:pPr>
                  <w:r w:rsidRPr="00207DBC">
                    <w:rPr>
                      <w:b/>
                    </w:rPr>
                    <w:t>College</w:t>
                  </w:r>
                </w:p>
              </w:tc>
              <w:tc>
                <w:tcPr>
                  <w:tcW w:w="736" w:type="pct"/>
                  <w:shd w:val="pct10" w:color="auto" w:fill="auto"/>
                </w:tcPr>
                <w:p w:rsidR="00C6588E" w:rsidRPr="00207DBC" w:rsidRDefault="00C6588E" w:rsidP="007A554F">
                  <w:pPr>
                    <w:rPr>
                      <w:b/>
                    </w:rPr>
                  </w:pPr>
                  <w:r w:rsidRPr="00207DBC">
                    <w:rPr>
                      <w:b/>
                    </w:rPr>
                    <w:t>System</w:t>
                  </w:r>
                </w:p>
              </w:tc>
            </w:tr>
            <w:tr w:rsidR="00C6588E" w:rsidTr="007A554F">
              <w:tc>
                <w:tcPr>
                  <w:tcW w:w="2790" w:type="pct"/>
                  <w:shd w:val="pct10" w:color="auto" w:fill="auto"/>
                </w:tcPr>
                <w:p w:rsidR="00C6588E" w:rsidRPr="00207DBC" w:rsidRDefault="00C6588E" w:rsidP="007A554F">
                  <w:pPr>
                    <w:rPr>
                      <w:b/>
                    </w:rPr>
                  </w:pPr>
                  <w:r w:rsidRPr="00207DBC">
                    <w:rPr>
                      <w:b/>
                    </w:rPr>
                    <w:t>KPI # 4 Graduate Satisfaction with Generic and Vocational Learning Outcomes – 2012/2013</w:t>
                  </w:r>
                </w:p>
              </w:tc>
              <w:tc>
                <w:tcPr>
                  <w:tcW w:w="704" w:type="pct"/>
                </w:tcPr>
                <w:p w:rsidR="00C6588E" w:rsidRDefault="00C6588E" w:rsidP="007A554F">
                  <w:r>
                    <w:t>21(</w:t>
                  </w:r>
                  <w:r w:rsidRPr="00FF7915">
                    <w:t>N)</w:t>
                  </w:r>
                  <w:r>
                    <w:t>, 92.24</w:t>
                  </w:r>
                  <w:r w:rsidRPr="00FF7915">
                    <w:t>(%)</w:t>
                  </w:r>
                </w:p>
              </w:tc>
              <w:tc>
                <w:tcPr>
                  <w:tcW w:w="769" w:type="pct"/>
                </w:tcPr>
                <w:p w:rsidR="00C6588E" w:rsidRDefault="00C6588E" w:rsidP="007A554F">
                  <w:r w:rsidRPr="00FF7915">
                    <w:t>925(N)</w:t>
                  </w:r>
                  <w:r>
                    <w:t>,</w:t>
                  </w:r>
                  <w:r w:rsidRPr="00FF7915">
                    <w:t xml:space="preserve"> 86.07(%)</w:t>
                  </w:r>
                </w:p>
              </w:tc>
              <w:tc>
                <w:tcPr>
                  <w:tcW w:w="736" w:type="pct"/>
                </w:tcPr>
                <w:p w:rsidR="00C6588E" w:rsidRDefault="00C6588E" w:rsidP="007A554F">
                  <w:r w:rsidRPr="00FF7915">
                    <w:t>925(N)</w:t>
                  </w:r>
                  <w:r>
                    <w:t>,</w:t>
                  </w:r>
                  <w:r w:rsidRPr="00FF7915">
                    <w:t xml:space="preserve"> 86.07(%)</w:t>
                  </w:r>
                </w:p>
              </w:tc>
            </w:tr>
            <w:tr w:rsidR="00C6588E" w:rsidTr="007A554F">
              <w:tc>
                <w:tcPr>
                  <w:tcW w:w="2790" w:type="pct"/>
                  <w:shd w:val="pct10" w:color="auto" w:fill="auto"/>
                </w:tcPr>
                <w:p w:rsidR="00C6588E" w:rsidRPr="00207DBC" w:rsidRDefault="00C6588E" w:rsidP="007A554F">
                  <w:pPr>
                    <w:rPr>
                      <w:b/>
                    </w:rPr>
                  </w:pPr>
                  <w:r w:rsidRPr="00207DBC">
                    <w:rPr>
                      <w:b/>
                    </w:rPr>
                    <w:t>KPI # 8 Student Satisfaction with Learning Experience – Winter 2014</w:t>
                  </w:r>
                </w:p>
              </w:tc>
              <w:tc>
                <w:tcPr>
                  <w:tcW w:w="704" w:type="pct"/>
                </w:tcPr>
                <w:p w:rsidR="00C6588E" w:rsidRDefault="00C6588E" w:rsidP="007A554F">
                  <w:r>
                    <w:t>74</w:t>
                  </w:r>
                  <w:r w:rsidRPr="00FF7915">
                    <w:t>(N)</w:t>
                  </w:r>
                  <w:r>
                    <w:t>, 92.31</w:t>
                  </w:r>
                  <w:r w:rsidRPr="00FF7915">
                    <w:t>(%)</w:t>
                  </w:r>
                </w:p>
              </w:tc>
              <w:tc>
                <w:tcPr>
                  <w:tcW w:w="769" w:type="pct"/>
                </w:tcPr>
                <w:p w:rsidR="00C6588E" w:rsidRDefault="00C6588E" w:rsidP="007A554F">
                  <w:r w:rsidRPr="00FF7915">
                    <w:t>3730(N)</w:t>
                  </w:r>
                  <w:r>
                    <w:t>,</w:t>
                  </w:r>
                  <w:r w:rsidRPr="00FF7915">
                    <w:t xml:space="preserve"> 82.58(%)</w:t>
                  </w:r>
                </w:p>
              </w:tc>
              <w:tc>
                <w:tcPr>
                  <w:tcW w:w="736" w:type="pct"/>
                </w:tcPr>
                <w:p w:rsidR="00C6588E" w:rsidRDefault="00C6588E" w:rsidP="007A554F">
                  <w:r w:rsidRPr="00FF7915">
                    <w:t>3730(N)</w:t>
                  </w:r>
                  <w:r>
                    <w:t>,</w:t>
                  </w:r>
                  <w:r w:rsidRPr="00FF7915">
                    <w:t xml:space="preserve"> 82.58(%)</w:t>
                  </w:r>
                </w:p>
              </w:tc>
            </w:tr>
            <w:tr w:rsidR="00C6588E" w:rsidTr="007A554F">
              <w:tc>
                <w:tcPr>
                  <w:tcW w:w="2790" w:type="pct"/>
                  <w:shd w:val="pct10" w:color="auto" w:fill="auto"/>
                </w:tcPr>
                <w:p w:rsidR="00C6588E" w:rsidRPr="00207DBC" w:rsidRDefault="00C6588E" w:rsidP="007A554F">
                  <w:pPr>
                    <w:rPr>
                      <w:b/>
                    </w:rPr>
                  </w:pPr>
                  <w:r w:rsidRPr="00207DBC">
                    <w:rPr>
                      <w:b/>
                    </w:rPr>
                    <w:t>KPI # 9 Student Satisfaction with Teachers – Winter 2014</w:t>
                  </w:r>
                </w:p>
              </w:tc>
              <w:tc>
                <w:tcPr>
                  <w:tcW w:w="704" w:type="pct"/>
                </w:tcPr>
                <w:p w:rsidR="00C6588E" w:rsidRDefault="00C6588E" w:rsidP="007A554F">
                  <w:r>
                    <w:t>22</w:t>
                  </w:r>
                  <w:r w:rsidRPr="00FF7915">
                    <w:t>(N)</w:t>
                  </w:r>
                  <w:r>
                    <w:t>, 69.23</w:t>
                  </w:r>
                  <w:r w:rsidRPr="00FF7915">
                    <w:t>(%)</w:t>
                  </w:r>
                </w:p>
              </w:tc>
              <w:tc>
                <w:tcPr>
                  <w:tcW w:w="769" w:type="pct"/>
                </w:tcPr>
                <w:p w:rsidR="00C6588E" w:rsidRDefault="00C6588E" w:rsidP="007A554F">
                  <w:r w:rsidRPr="00FF7915">
                    <w:t>3730(N)</w:t>
                  </w:r>
                  <w:r>
                    <w:t>,</w:t>
                  </w:r>
                  <w:r w:rsidRPr="00FF7915">
                    <w:t xml:space="preserve"> 73.92(%)</w:t>
                  </w:r>
                </w:p>
              </w:tc>
              <w:tc>
                <w:tcPr>
                  <w:tcW w:w="736" w:type="pct"/>
                </w:tcPr>
                <w:p w:rsidR="00C6588E" w:rsidRDefault="00C6588E" w:rsidP="007A554F">
                  <w:r w:rsidRPr="00FF7915">
                    <w:t>3730(N)</w:t>
                  </w:r>
                  <w:r>
                    <w:t>,</w:t>
                  </w:r>
                  <w:r w:rsidRPr="00FF7915">
                    <w:t xml:space="preserve"> 73.92(%)</w:t>
                  </w:r>
                </w:p>
              </w:tc>
            </w:tr>
            <w:tr w:rsidR="00C6588E" w:rsidTr="007A554F">
              <w:tc>
                <w:tcPr>
                  <w:tcW w:w="2790" w:type="pct"/>
                  <w:shd w:val="pct10" w:color="auto" w:fill="auto"/>
                </w:tcPr>
                <w:p w:rsidR="00C6588E" w:rsidRPr="00207DBC" w:rsidRDefault="00C6588E" w:rsidP="007A554F">
                  <w:pPr>
                    <w:rPr>
                      <w:b/>
                    </w:rPr>
                  </w:pPr>
                  <w:r w:rsidRPr="00207DBC">
                    <w:rPr>
                      <w:b/>
                    </w:rPr>
                    <w:t>KPI # 11 Graduate Satisfaction with Program - 2012/2013</w:t>
                  </w:r>
                </w:p>
              </w:tc>
              <w:tc>
                <w:tcPr>
                  <w:tcW w:w="704" w:type="pct"/>
                </w:tcPr>
                <w:p w:rsidR="00C6588E" w:rsidRDefault="00C6588E" w:rsidP="007A554F">
                  <w:r>
                    <w:t>28</w:t>
                  </w:r>
                  <w:r w:rsidRPr="00FF7915">
                    <w:t>(N)</w:t>
                  </w:r>
                  <w:r>
                    <w:t>, 90.45</w:t>
                  </w:r>
                  <w:r w:rsidRPr="00FF7915">
                    <w:t>(%)</w:t>
                  </w:r>
                </w:p>
              </w:tc>
              <w:tc>
                <w:tcPr>
                  <w:tcW w:w="769" w:type="pct"/>
                </w:tcPr>
                <w:p w:rsidR="00C6588E" w:rsidRDefault="00C6588E" w:rsidP="007A554F">
                  <w:r w:rsidRPr="00FF7915">
                    <w:t>1513(N)</w:t>
                  </w:r>
                  <w:r>
                    <w:t>,</w:t>
                  </w:r>
                  <w:r w:rsidRPr="00FF7915">
                    <w:t xml:space="preserve"> 82.66(%)</w:t>
                  </w:r>
                </w:p>
              </w:tc>
              <w:tc>
                <w:tcPr>
                  <w:tcW w:w="736" w:type="pct"/>
                </w:tcPr>
                <w:p w:rsidR="00C6588E" w:rsidRDefault="00C6588E" w:rsidP="007A554F">
                  <w:r w:rsidRPr="00FF7915">
                    <w:t>1513(N)</w:t>
                  </w:r>
                  <w:r>
                    <w:t>,</w:t>
                  </w:r>
                  <w:r w:rsidRPr="00FF7915">
                    <w:t xml:space="preserve"> 82.66(%)</w:t>
                  </w:r>
                </w:p>
              </w:tc>
            </w:tr>
          </w:tbl>
          <w:p w:rsidR="00373FD2" w:rsidRDefault="00373FD2" w:rsidP="00373FD2">
            <w:pPr>
              <w:tabs>
                <w:tab w:val="left" w:pos="252"/>
                <w:tab w:val="left" w:pos="972"/>
              </w:tabs>
              <w:ind w:left="252" w:hanging="180"/>
              <w:rPr>
                <w:rFonts w:cs="Arial"/>
                <w:sz w:val="20"/>
              </w:rPr>
            </w:pPr>
          </w:p>
          <w:p w:rsidR="00D11E45" w:rsidRPr="00D11E45" w:rsidRDefault="00D11E45" w:rsidP="00373FD2">
            <w:pPr>
              <w:tabs>
                <w:tab w:val="left" w:pos="252"/>
                <w:tab w:val="left" w:pos="972"/>
              </w:tabs>
              <w:ind w:left="252" w:hanging="180"/>
              <w:rPr>
                <w:rFonts w:cs="Arial"/>
                <w:b/>
                <w:i/>
                <w:sz w:val="20"/>
              </w:rPr>
            </w:pPr>
            <w:r w:rsidRPr="00D11E45">
              <w:rPr>
                <w:rFonts w:cs="Arial"/>
                <w:b/>
                <w:i/>
                <w:sz w:val="20"/>
              </w:rPr>
              <w:t>KPI’s 4, 8 and 11 are higher than both the college and system. KPI 9 – Satisfication with Teachers is slightly lower than the college average.</w:t>
            </w:r>
          </w:p>
          <w:p w:rsidR="00D11E45" w:rsidRDefault="00D11E45" w:rsidP="00373FD2">
            <w:pPr>
              <w:tabs>
                <w:tab w:val="left" w:pos="252"/>
                <w:tab w:val="left" w:pos="972"/>
              </w:tabs>
              <w:ind w:left="252" w:hanging="180"/>
              <w:rPr>
                <w:rFonts w:cs="Arial"/>
                <w:sz w:val="20"/>
              </w:rPr>
            </w:pPr>
          </w:p>
          <w:p w:rsidR="00373FD2" w:rsidRDefault="001D5863"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BF7A03" w:rsidRDefault="00BF7A03" w:rsidP="00373FD2">
            <w:pPr>
              <w:tabs>
                <w:tab w:val="left" w:pos="252"/>
                <w:tab w:val="left" w:pos="972"/>
              </w:tabs>
              <w:ind w:left="252" w:hanging="180"/>
              <w:rPr>
                <w:rFonts w:cs="Arial"/>
                <w:sz w:val="20"/>
              </w:rPr>
            </w:pPr>
          </w:p>
          <w:p w:rsidR="00373FD2" w:rsidRPr="00E81B27" w:rsidRDefault="00D9645B" w:rsidP="00D11E45">
            <w:pPr>
              <w:tabs>
                <w:tab w:val="left" w:pos="252"/>
                <w:tab w:val="left" w:pos="972"/>
              </w:tabs>
              <w:rPr>
                <w:rFonts w:cs="Arial"/>
                <w:sz w:val="20"/>
              </w:rPr>
            </w:pPr>
            <w:r w:rsidRPr="00D9645B">
              <w:rPr>
                <w:rFonts w:cs="Arial"/>
                <w:b/>
                <w:sz w:val="20"/>
              </w:rPr>
              <w:t>According to the most recent data, in 2013, the retention rate was 87% from semester 1 to 2. In 2012, the retention rate was 75% from semester 2 to 3 and 91% from semester 3 to 4.</w:t>
            </w:r>
            <w:r w:rsidR="00D11E45">
              <w:rPr>
                <w:rFonts w:cs="Arial"/>
                <w:b/>
                <w:sz w:val="20"/>
              </w:rPr>
              <w:t xml:space="preserve">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D11E45" w:rsidP="00D11E45">
            <w:pPr>
              <w:rPr>
                <w:rFonts w:cs="Arial"/>
                <w:b/>
                <w:sz w:val="20"/>
              </w:rPr>
            </w:pPr>
            <w:r>
              <w:rPr>
                <w:rFonts w:cs="Arial"/>
                <w:b/>
                <w:sz w:val="20"/>
              </w:rPr>
              <w:t xml:space="preserve">Curriculum Strengths </w:t>
            </w:r>
            <w:r w:rsidR="00373FD2" w:rsidRPr="00356C80">
              <w:rPr>
                <w:rFonts w:cs="Arial"/>
                <w:b/>
                <w:sz w:val="20"/>
              </w:rPr>
              <w:br/>
            </w:r>
          </w:p>
          <w:p w:rsidR="00373FD2" w:rsidRPr="000673C8" w:rsidRDefault="00D11E45" w:rsidP="00D11E45">
            <w:pPr>
              <w:numPr>
                <w:ilvl w:val="0"/>
                <w:numId w:val="2"/>
              </w:numPr>
              <w:rPr>
                <w:rFonts w:cs="Arial"/>
                <w:b/>
                <w:sz w:val="20"/>
              </w:rPr>
            </w:pPr>
            <w:r>
              <w:rPr>
                <w:rFonts w:cs="Arial"/>
                <w:b/>
                <w:sz w:val="20"/>
              </w:rPr>
              <w:t xml:space="preserve">Relevant </w:t>
            </w:r>
            <w:r w:rsidRPr="00D11E45">
              <w:rPr>
                <w:rFonts w:cs="Arial"/>
                <w:b/>
                <w:sz w:val="20"/>
              </w:rPr>
              <w:t>“hands on” training</w:t>
            </w:r>
            <w:r w:rsidR="00373FD2" w:rsidRPr="000673C8">
              <w:rPr>
                <w:rFonts w:cs="Arial"/>
                <w:b/>
                <w:sz w:val="20"/>
              </w:rPr>
              <w:br/>
            </w:r>
          </w:p>
          <w:p w:rsidR="00D11E45" w:rsidRDefault="00D11E45" w:rsidP="004C2936">
            <w:pPr>
              <w:numPr>
                <w:ilvl w:val="0"/>
                <w:numId w:val="2"/>
              </w:numPr>
              <w:rPr>
                <w:rFonts w:cs="Arial"/>
                <w:b/>
                <w:sz w:val="20"/>
              </w:rPr>
            </w:pPr>
            <w:r>
              <w:rPr>
                <w:rFonts w:cs="Arial"/>
                <w:b/>
                <w:sz w:val="20"/>
              </w:rPr>
              <w:t>F</w:t>
            </w:r>
            <w:r w:rsidRPr="00D11E45">
              <w:rPr>
                <w:rFonts w:cs="Arial"/>
                <w:b/>
                <w:sz w:val="20"/>
              </w:rPr>
              <w:t>aculty comprised of graduates of the program and all have worked in the industry</w:t>
            </w:r>
            <w:r>
              <w:rPr>
                <w:rFonts w:cs="Arial"/>
                <w:b/>
                <w:sz w:val="20"/>
              </w:rPr>
              <w:t xml:space="preserve"> for over 10 years</w:t>
            </w:r>
          </w:p>
          <w:p w:rsidR="00D11E45" w:rsidRDefault="00D11E45" w:rsidP="004C2936">
            <w:pPr>
              <w:numPr>
                <w:ilvl w:val="0"/>
                <w:numId w:val="2"/>
              </w:numPr>
              <w:rPr>
                <w:rFonts w:cs="Arial"/>
                <w:b/>
                <w:sz w:val="20"/>
              </w:rPr>
            </w:pPr>
            <w:r>
              <w:rPr>
                <w:rFonts w:cs="Arial"/>
                <w:b/>
                <w:sz w:val="20"/>
              </w:rPr>
              <w:t>PAC and industry support</w:t>
            </w:r>
          </w:p>
          <w:p w:rsidR="00D11E45" w:rsidRDefault="00D11E45" w:rsidP="00D11E45">
            <w:pPr>
              <w:ind w:left="720"/>
              <w:rPr>
                <w:rFonts w:cs="Arial"/>
                <w:b/>
                <w:sz w:val="20"/>
              </w:rPr>
            </w:pPr>
          </w:p>
          <w:p w:rsidR="00373FD2" w:rsidRDefault="00D11E45" w:rsidP="00D11E45">
            <w:pPr>
              <w:rPr>
                <w:rFonts w:cs="Arial"/>
                <w:b/>
                <w:sz w:val="20"/>
              </w:rPr>
            </w:pPr>
            <w:r>
              <w:rPr>
                <w:rFonts w:cs="Arial"/>
                <w:b/>
                <w:sz w:val="20"/>
              </w:rPr>
              <w:t>Curriculum Weaknesses</w:t>
            </w:r>
            <w:r w:rsidR="00373FD2" w:rsidRPr="00D11E45">
              <w:rPr>
                <w:rFonts w:cs="Arial"/>
                <w:b/>
                <w:sz w:val="20"/>
              </w:rPr>
              <w:br/>
            </w:r>
          </w:p>
          <w:p w:rsidR="00D11E45" w:rsidRDefault="00D11E45" w:rsidP="00D11E45">
            <w:pPr>
              <w:pStyle w:val="ListParagraph"/>
              <w:numPr>
                <w:ilvl w:val="0"/>
                <w:numId w:val="11"/>
              </w:numPr>
              <w:rPr>
                <w:rFonts w:cs="Arial"/>
                <w:b/>
                <w:sz w:val="20"/>
              </w:rPr>
            </w:pPr>
            <w:r>
              <w:rPr>
                <w:rFonts w:cs="Arial"/>
                <w:b/>
                <w:sz w:val="20"/>
              </w:rPr>
              <w:t>Increasing cost of supplies and equipment</w:t>
            </w:r>
          </w:p>
          <w:p w:rsidR="00D11E45" w:rsidRDefault="00D11E45" w:rsidP="00D11E45">
            <w:pPr>
              <w:pStyle w:val="ListParagraph"/>
              <w:numPr>
                <w:ilvl w:val="0"/>
                <w:numId w:val="11"/>
              </w:numPr>
              <w:rPr>
                <w:rFonts w:cs="Arial"/>
                <w:b/>
                <w:sz w:val="20"/>
              </w:rPr>
            </w:pPr>
            <w:r>
              <w:rPr>
                <w:rFonts w:cs="Arial"/>
                <w:b/>
                <w:sz w:val="20"/>
              </w:rPr>
              <w:t>Maintenance costs of aging equipment</w:t>
            </w:r>
          </w:p>
          <w:p w:rsidR="00D11E45" w:rsidRPr="00D11E45" w:rsidRDefault="00D11E45" w:rsidP="006B5FEC">
            <w:pPr>
              <w:pStyle w:val="ListParagraph"/>
              <w:rPr>
                <w:rFonts w:cs="Arial"/>
                <w:b/>
                <w:sz w:val="20"/>
              </w:rPr>
            </w:pP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6B5FEC" w:rsidRDefault="006B5FEC" w:rsidP="004C2936">
            <w:pPr>
              <w:numPr>
                <w:ilvl w:val="0"/>
                <w:numId w:val="2"/>
              </w:numPr>
              <w:rPr>
                <w:rFonts w:cs="Arial"/>
                <w:b/>
                <w:sz w:val="20"/>
              </w:rPr>
            </w:pPr>
            <w:r>
              <w:rPr>
                <w:rFonts w:cs="Arial"/>
                <w:b/>
                <w:sz w:val="20"/>
              </w:rPr>
              <w:t>Steve W.  will investigate use of I-pads for equipment and safety operation evaluation. If financially feasible would like to implement for September 2015. Implementation will require training of technicians and faculty and involvement of Tully/Terry (CLT).</w:t>
            </w:r>
          </w:p>
          <w:p w:rsidR="006B5FEC" w:rsidRDefault="006B5FEC" w:rsidP="006B5FEC">
            <w:pPr>
              <w:ind w:left="720"/>
              <w:rPr>
                <w:rFonts w:cs="Arial"/>
                <w:b/>
                <w:sz w:val="20"/>
              </w:rPr>
            </w:pPr>
          </w:p>
          <w:p w:rsidR="00373FD2" w:rsidRPr="00356C80" w:rsidRDefault="006B5FEC" w:rsidP="004C2936">
            <w:pPr>
              <w:numPr>
                <w:ilvl w:val="0"/>
                <w:numId w:val="2"/>
              </w:numPr>
              <w:rPr>
                <w:rFonts w:cs="Arial"/>
                <w:b/>
                <w:sz w:val="20"/>
              </w:rPr>
            </w:pPr>
            <w:r>
              <w:rPr>
                <w:rFonts w:cs="Arial"/>
                <w:b/>
                <w:sz w:val="20"/>
              </w:rPr>
              <w:lastRenderedPageBreak/>
              <w:t>Steve W. will continue to work with Karen M. to acquire a Geo Probe to teach newer methods in environmental sampling. This tool will need to be incorporated mainly in Environmental Drilling and Geotechnical Drilling courses. If acquired, implementation will occur as soon as possible.</w:t>
            </w:r>
            <w:r w:rsidR="00373FD2" w:rsidRPr="00356C80">
              <w:rPr>
                <w:rFonts w:cs="Arial"/>
                <w:b/>
                <w:sz w:val="20"/>
              </w:rPr>
              <w:br/>
            </w:r>
          </w:p>
          <w:p w:rsidR="00373FD2" w:rsidRPr="00356C80" w:rsidRDefault="006B5FEC" w:rsidP="006B5FEC">
            <w:pPr>
              <w:numPr>
                <w:ilvl w:val="0"/>
                <w:numId w:val="2"/>
              </w:numPr>
              <w:rPr>
                <w:rFonts w:cs="Arial"/>
                <w:b/>
                <w:sz w:val="20"/>
              </w:rPr>
            </w:pPr>
            <w:r w:rsidRPr="006B5FEC">
              <w:rPr>
                <w:rFonts w:cs="Arial"/>
                <w:b/>
                <w:sz w:val="20"/>
              </w:rPr>
              <w:t>Continue to revise Sem 3 and 4 courses with CLT to update learning outcomes and assessments</w:t>
            </w:r>
            <w:r>
              <w:rPr>
                <w:rFonts w:cs="Arial"/>
                <w:b/>
                <w:sz w:val="20"/>
              </w:rPr>
              <w:t>.</w:t>
            </w:r>
            <w:r w:rsidR="00373FD2" w:rsidRPr="00356C80">
              <w:rPr>
                <w:rFonts w:cs="Arial"/>
                <w:b/>
                <w:sz w:val="20"/>
              </w:rPr>
              <w:br/>
            </w:r>
          </w:p>
          <w:p w:rsidR="00E51CA2" w:rsidRPr="00356C80" w:rsidRDefault="00E51CA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373FD2" w:rsidRPr="00356C80" w:rsidRDefault="00373FD2" w:rsidP="004C2936">
            <w:pPr>
              <w:numPr>
                <w:ilvl w:val="0"/>
                <w:numId w:val="2"/>
              </w:numPr>
              <w:rPr>
                <w:rFonts w:cs="Arial"/>
                <w:b/>
                <w:sz w:val="20"/>
              </w:rPr>
            </w:pPr>
            <w:bookmarkStart w:id="0" w:name="_GoBack"/>
            <w:bookmarkEnd w:id="0"/>
            <w:r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 xml:space="preserve">E.  Attach an updated </w:t>
            </w:r>
            <w:r w:rsidRPr="001F2FFE">
              <w:rPr>
                <w:rFonts w:ascii="Arial" w:hAnsi="Arial" w:cs="Arial"/>
                <w:b/>
                <w:color w:val="FF0000"/>
                <w:szCs w:val="24"/>
              </w:rPr>
              <w:t xml:space="preserve">Program Curriculum Map </w:t>
            </w:r>
            <w:r w:rsidRPr="005D2FC7">
              <w:rPr>
                <w:rFonts w:ascii="Arial" w:hAnsi="Arial" w:cs="Arial"/>
                <w:b/>
                <w:szCs w:val="24"/>
              </w:rPr>
              <w:t>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1F2FFE" w:rsidRDefault="001F2FFE"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45" w:rsidRDefault="00D11E45">
      <w:r>
        <w:separator/>
      </w:r>
    </w:p>
  </w:endnote>
  <w:endnote w:type="continuationSeparator" w:id="0">
    <w:p w:rsidR="00D11E45" w:rsidRDefault="00D1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45" w:rsidRDefault="00D11E45">
      <w:r>
        <w:separator/>
      </w:r>
    </w:p>
  </w:footnote>
  <w:footnote w:type="continuationSeparator" w:id="0">
    <w:p w:rsidR="00D11E45" w:rsidRDefault="00D11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99E"/>
    <w:multiLevelType w:val="hybridMultilevel"/>
    <w:tmpl w:val="08480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B81C1B"/>
    <w:multiLevelType w:val="hybridMultilevel"/>
    <w:tmpl w:val="3F24B2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135135FC"/>
    <w:multiLevelType w:val="hybridMultilevel"/>
    <w:tmpl w:val="6F2C4F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207E2EA9"/>
    <w:multiLevelType w:val="hybridMultilevel"/>
    <w:tmpl w:val="196469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5D12D91"/>
    <w:multiLevelType w:val="hybridMultilevel"/>
    <w:tmpl w:val="8BFE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D593C7B"/>
    <w:multiLevelType w:val="hybridMultilevel"/>
    <w:tmpl w:val="719E2D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5"/>
  </w:num>
  <w:num w:numId="6">
    <w:abstractNumId w:val="2"/>
  </w:num>
  <w:num w:numId="7">
    <w:abstractNumId w:val="1"/>
  </w:num>
  <w:num w:numId="8">
    <w:abstractNumId w:val="7"/>
  </w:num>
  <w:num w:numId="9">
    <w:abstractNumId w:val="10"/>
  </w:num>
  <w:num w:numId="10">
    <w:abstractNumId w:val="4"/>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CF3"/>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863"/>
    <w:rsid w:val="001D5C52"/>
    <w:rsid w:val="001E0556"/>
    <w:rsid w:val="001E0CAB"/>
    <w:rsid w:val="001E1E28"/>
    <w:rsid w:val="001E222B"/>
    <w:rsid w:val="001E6FE1"/>
    <w:rsid w:val="001F03D9"/>
    <w:rsid w:val="001F05CF"/>
    <w:rsid w:val="001F2EF5"/>
    <w:rsid w:val="001F2FFE"/>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7EA"/>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4D4B"/>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0EBC"/>
    <w:rsid w:val="003D338F"/>
    <w:rsid w:val="003D369D"/>
    <w:rsid w:val="003D5173"/>
    <w:rsid w:val="003D5BE2"/>
    <w:rsid w:val="003D77B2"/>
    <w:rsid w:val="003F0E91"/>
    <w:rsid w:val="003F4613"/>
    <w:rsid w:val="003F5BBA"/>
    <w:rsid w:val="004033FE"/>
    <w:rsid w:val="004116A2"/>
    <w:rsid w:val="004138E1"/>
    <w:rsid w:val="0041448C"/>
    <w:rsid w:val="0041490D"/>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6D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26F9"/>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C63D5"/>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21"/>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5FEC"/>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554F"/>
    <w:rsid w:val="007A6C13"/>
    <w:rsid w:val="007B495B"/>
    <w:rsid w:val="007B4CD3"/>
    <w:rsid w:val="007B6750"/>
    <w:rsid w:val="007C0C36"/>
    <w:rsid w:val="007C1758"/>
    <w:rsid w:val="007C5756"/>
    <w:rsid w:val="007C65CC"/>
    <w:rsid w:val="007C6F35"/>
    <w:rsid w:val="007C6F5A"/>
    <w:rsid w:val="007C7FB6"/>
    <w:rsid w:val="007D40E4"/>
    <w:rsid w:val="007D6FD7"/>
    <w:rsid w:val="007E10F0"/>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264C"/>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55B23"/>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25DD"/>
    <w:rsid w:val="00BA3602"/>
    <w:rsid w:val="00BA371D"/>
    <w:rsid w:val="00BA428E"/>
    <w:rsid w:val="00BA4C1C"/>
    <w:rsid w:val="00BA5A7C"/>
    <w:rsid w:val="00BB39E1"/>
    <w:rsid w:val="00BB5E3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BF7A03"/>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88E"/>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344"/>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1E45"/>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45B"/>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1CA2"/>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59FC"/>
    <w:rsid w:val="00EF70FC"/>
    <w:rsid w:val="00EF798F"/>
    <w:rsid w:val="00F04945"/>
    <w:rsid w:val="00F0505A"/>
    <w:rsid w:val="00F057D5"/>
    <w:rsid w:val="00F11D39"/>
    <w:rsid w:val="00F1201D"/>
    <w:rsid w:val="00F12BDC"/>
    <w:rsid w:val="00F15606"/>
    <w:rsid w:val="00F1661B"/>
    <w:rsid w:val="00F16A25"/>
    <w:rsid w:val="00F16EF0"/>
    <w:rsid w:val="00F20523"/>
    <w:rsid w:val="00F21B97"/>
    <w:rsid w:val="00F22D25"/>
    <w:rsid w:val="00F2483E"/>
    <w:rsid w:val="00F24B63"/>
    <w:rsid w:val="00F25961"/>
    <w:rsid w:val="00F27427"/>
    <w:rsid w:val="00F27D2E"/>
    <w:rsid w:val="00F27F5C"/>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4A0B-BB82-4EAA-B713-B268FE82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4418CD21</Template>
  <TotalTime>0</TotalTime>
  <Pages>4</Pages>
  <Words>1200</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2</cp:revision>
  <cp:lastPrinted>2014-09-23T20:40:00Z</cp:lastPrinted>
  <dcterms:created xsi:type="dcterms:W3CDTF">2015-06-11T15:11:00Z</dcterms:created>
  <dcterms:modified xsi:type="dcterms:W3CDTF">2015-06-11T15:11:00Z</dcterms:modified>
</cp:coreProperties>
</file>