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A2F48" w14:textId="6A15D471" w:rsidR="002F0168" w:rsidRPr="007C3E8F" w:rsidRDefault="002F0168" w:rsidP="002F0168">
      <w:pPr>
        <w:pStyle w:val="BodyText"/>
        <w:ind w:left="-142"/>
        <w:rPr>
          <w:b/>
        </w:rPr>
      </w:pPr>
      <w:r w:rsidRPr="007C3E8F">
        <w:rPr>
          <w:b/>
        </w:rPr>
        <w:t xml:space="preserve"> </w:t>
      </w:r>
    </w:p>
    <w:p w14:paraId="0D74D57F" w14:textId="77777777" w:rsidR="002F0168" w:rsidRPr="007C3E8F" w:rsidRDefault="002F0168" w:rsidP="002F0168">
      <w:pPr>
        <w:pStyle w:val="BodyText"/>
        <w:rPr>
          <w:b/>
        </w:rPr>
      </w:pPr>
    </w:p>
    <w:p w14:paraId="562F11D2" w14:textId="77777777" w:rsidR="002F0168" w:rsidRPr="007C3E8F" w:rsidRDefault="002F0168" w:rsidP="002F0168">
      <w:pPr>
        <w:pStyle w:val="BodyText"/>
        <w:ind w:left="-142"/>
        <w:rPr>
          <w:b/>
        </w:rPr>
      </w:pPr>
    </w:p>
    <w:tbl>
      <w:tblPr>
        <w:tblStyle w:val="TableGridLight"/>
        <w:tblW w:w="9640" w:type="dxa"/>
        <w:tblLayout w:type="fixed"/>
        <w:tblLook w:val="01E0" w:firstRow="1" w:lastRow="1" w:firstColumn="1" w:lastColumn="1" w:noHBand="0" w:noVBand="0"/>
      </w:tblPr>
      <w:tblGrid>
        <w:gridCol w:w="3775"/>
        <w:gridCol w:w="5865"/>
      </w:tblGrid>
      <w:tr w:rsidR="002F0168" w:rsidRPr="007C3E8F" w14:paraId="69ED5577" w14:textId="77777777" w:rsidTr="002826A8">
        <w:trPr>
          <w:trHeight w:val="283"/>
        </w:trPr>
        <w:tc>
          <w:tcPr>
            <w:tcW w:w="3775" w:type="dxa"/>
          </w:tcPr>
          <w:p w14:paraId="66CB9754" w14:textId="2630E779" w:rsidR="002F0168" w:rsidRPr="007C3E8F" w:rsidRDefault="004534D2" w:rsidP="0047634B">
            <w:pPr>
              <w:pStyle w:val="TableParagraph"/>
              <w:ind w:left="0"/>
              <w:rPr>
                <w:b/>
              </w:rPr>
            </w:pPr>
            <w:r>
              <w:rPr>
                <w:b/>
              </w:rPr>
              <w:t xml:space="preserve">Procedure </w:t>
            </w:r>
            <w:r w:rsidR="002F0168" w:rsidRPr="007C3E8F">
              <w:rPr>
                <w:b/>
              </w:rPr>
              <w:t>Title:</w:t>
            </w:r>
          </w:p>
        </w:tc>
        <w:tc>
          <w:tcPr>
            <w:tcW w:w="5865" w:type="dxa"/>
          </w:tcPr>
          <w:p w14:paraId="2B795CE4" w14:textId="196B4769" w:rsidR="002F0168" w:rsidRPr="007C3E8F" w:rsidRDefault="00135B3A" w:rsidP="0047634B">
            <w:pPr>
              <w:pStyle w:val="TableParagraph"/>
              <w:ind w:left="142"/>
            </w:pPr>
            <w:r>
              <w:t>Programs of Instruction and College Credentials</w:t>
            </w:r>
          </w:p>
        </w:tc>
      </w:tr>
      <w:tr w:rsidR="002F0168" w:rsidRPr="007C3E8F" w14:paraId="1B914D57" w14:textId="77777777" w:rsidTr="002826A8">
        <w:trPr>
          <w:trHeight w:val="314"/>
        </w:trPr>
        <w:tc>
          <w:tcPr>
            <w:tcW w:w="3775" w:type="dxa"/>
          </w:tcPr>
          <w:p w14:paraId="50F4B0BD" w14:textId="76AFA13C" w:rsidR="002F0168" w:rsidRPr="007C3E8F" w:rsidRDefault="004534D2" w:rsidP="0047634B">
            <w:pPr>
              <w:pStyle w:val="TableParagraph"/>
              <w:ind w:left="0"/>
              <w:rPr>
                <w:b/>
              </w:rPr>
            </w:pPr>
            <w:r>
              <w:rPr>
                <w:b/>
              </w:rPr>
              <w:t>Procedure</w:t>
            </w:r>
            <w:r w:rsidR="002F0168" w:rsidRPr="007C3E8F">
              <w:rPr>
                <w:b/>
              </w:rPr>
              <w:t xml:space="preserve"> ID:</w:t>
            </w:r>
          </w:p>
        </w:tc>
        <w:tc>
          <w:tcPr>
            <w:tcW w:w="5865" w:type="dxa"/>
          </w:tcPr>
          <w:p w14:paraId="562D1BD3" w14:textId="2781C636" w:rsidR="002F0168" w:rsidRPr="0098055B" w:rsidRDefault="002F0168" w:rsidP="00135B3A">
            <w:pPr>
              <w:pStyle w:val="TableParagraph"/>
              <w:ind w:left="142"/>
            </w:pPr>
            <w:r w:rsidRPr="007C3E8F">
              <w:t>#</w:t>
            </w:r>
            <w:r w:rsidR="00F74C33">
              <w:t xml:space="preserve">OP </w:t>
            </w:r>
            <w:r w:rsidR="00135B3A">
              <w:t>2-213F</w:t>
            </w:r>
          </w:p>
        </w:tc>
      </w:tr>
      <w:tr w:rsidR="002F0168" w:rsidRPr="007C3E8F" w14:paraId="35F880E1" w14:textId="77777777" w:rsidTr="002826A8">
        <w:trPr>
          <w:trHeight w:val="283"/>
        </w:trPr>
        <w:tc>
          <w:tcPr>
            <w:tcW w:w="3775" w:type="dxa"/>
          </w:tcPr>
          <w:p w14:paraId="3050B45C" w14:textId="77777777" w:rsidR="002F0168" w:rsidRPr="007C3E8F" w:rsidRDefault="002F0168" w:rsidP="0047634B">
            <w:pPr>
              <w:pStyle w:val="TableParagraph"/>
              <w:ind w:left="0"/>
              <w:rPr>
                <w:b/>
              </w:rPr>
            </w:pPr>
            <w:r w:rsidRPr="007C3E8F">
              <w:rPr>
                <w:b/>
              </w:rPr>
              <w:t>Manual Classification:</w:t>
            </w:r>
          </w:p>
        </w:tc>
        <w:tc>
          <w:tcPr>
            <w:tcW w:w="5865" w:type="dxa"/>
          </w:tcPr>
          <w:p w14:paraId="2323F847" w14:textId="44EE209A" w:rsidR="002F0168" w:rsidRPr="007C3E8F" w:rsidRDefault="00E160E8" w:rsidP="0047634B">
            <w:pPr>
              <w:pStyle w:val="TableParagraph"/>
              <w:ind w:left="142"/>
            </w:pPr>
            <w:r>
              <w:t xml:space="preserve">Section </w:t>
            </w:r>
            <w:r w:rsidR="00135B3A">
              <w:t>2 – Academic Affairs</w:t>
            </w:r>
            <w:r w:rsidR="00473E5B">
              <w:t xml:space="preserve"> </w:t>
            </w:r>
          </w:p>
        </w:tc>
      </w:tr>
      <w:tr w:rsidR="002F0168" w:rsidRPr="007C3E8F" w14:paraId="73E1EF98" w14:textId="77777777" w:rsidTr="002826A8">
        <w:trPr>
          <w:trHeight w:val="283"/>
        </w:trPr>
        <w:tc>
          <w:tcPr>
            <w:tcW w:w="3775" w:type="dxa"/>
          </w:tcPr>
          <w:p w14:paraId="1974FD59" w14:textId="77777777" w:rsidR="002F0168" w:rsidRPr="007C3E8F" w:rsidRDefault="00DE6377" w:rsidP="00DE6377">
            <w:pPr>
              <w:pStyle w:val="TableParagraph"/>
              <w:ind w:left="0"/>
              <w:rPr>
                <w:b/>
              </w:rPr>
            </w:pPr>
            <w:r w:rsidRPr="007C3E8F">
              <w:rPr>
                <w:b/>
              </w:rPr>
              <w:t>Linked to Policy:</w:t>
            </w:r>
          </w:p>
        </w:tc>
        <w:tc>
          <w:tcPr>
            <w:tcW w:w="5865" w:type="dxa"/>
          </w:tcPr>
          <w:p w14:paraId="38280F5B" w14:textId="7A3105F6" w:rsidR="002F0168" w:rsidRPr="007C3E8F" w:rsidRDefault="00135B3A" w:rsidP="0047634B">
            <w:pPr>
              <w:pStyle w:val="TableParagraph"/>
              <w:ind w:left="142"/>
            </w:pPr>
            <w:r>
              <w:t>2-213</w:t>
            </w:r>
          </w:p>
        </w:tc>
      </w:tr>
      <w:tr w:rsidR="002F0168" w:rsidRPr="007C3E8F" w14:paraId="12691A07" w14:textId="77777777" w:rsidTr="002826A8">
        <w:trPr>
          <w:trHeight w:val="283"/>
        </w:trPr>
        <w:tc>
          <w:tcPr>
            <w:tcW w:w="3775" w:type="dxa"/>
          </w:tcPr>
          <w:p w14:paraId="3DB19CBF" w14:textId="005E0E81" w:rsidR="002F0168" w:rsidRPr="007C3E8F" w:rsidRDefault="002F0168" w:rsidP="0047634B">
            <w:pPr>
              <w:pStyle w:val="TableParagraph"/>
              <w:ind w:left="0"/>
              <w:rPr>
                <w:b/>
              </w:rPr>
            </w:pPr>
            <w:r w:rsidRPr="007C3E8F">
              <w:rPr>
                <w:b/>
              </w:rPr>
              <w:t>Approved by</w:t>
            </w:r>
            <w:r w:rsidR="006178EA">
              <w:rPr>
                <w:b/>
              </w:rPr>
              <w:t xml:space="preserve"> Senior Management Team</w:t>
            </w:r>
            <w:r w:rsidR="002826A8">
              <w:rPr>
                <w:b/>
              </w:rPr>
              <w:t xml:space="preserve"> (SMT)</w:t>
            </w:r>
            <w:r w:rsidRPr="007C3E8F">
              <w:rPr>
                <w:b/>
              </w:rPr>
              <w:t>:</w:t>
            </w:r>
          </w:p>
        </w:tc>
        <w:tc>
          <w:tcPr>
            <w:tcW w:w="5865" w:type="dxa"/>
          </w:tcPr>
          <w:p w14:paraId="61D70F0C" w14:textId="62FB3891" w:rsidR="002F0168" w:rsidRPr="007C3E8F" w:rsidRDefault="00E35732" w:rsidP="0047634B">
            <w:pPr>
              <w:pStyle w:val="TableParagraph"/>
              <w:ind w:left="142"/>
            </w:pPr>
            <w:r>
              <w:t xml:space="preserve">October 22, </w:t>
            </w:r>
            <w:proofErr w:type="gramStart"/>
            <w:r>
              <w:t>2024</w:t>
            </w:r>
            <w:proofErr w:type="gramEnd"/>
            <w:r w:rsidR="006178EA">
              <w:t xml:space="preserve"> </w:t>
            </w:r>
          </w:p>
        </w:tc>
      </w:tr>
      <w:tr w:rsidR="002F0168" w:rsidRPr="007C3E8F" w14:paraId="503999D1" w14:textId="77777777" w:rsidTr="002826A8">
        <w:trPr>
          <w:trHeight w:val="283"/>
        </w:trPr>
        <w:tc>
          <w:tcPr>
            <w:tcW w:w="3775" w:type="dxa"/>
          </w:tcPr>
          <w:p w14:paraId="420EA778" w14:textId="77777777" w:rsidR="002F0168" w:rsidRPr="007C3E8F" w:rsidRDefault="002F0168" w:rsidP="0047634B">
            <w:pPr>
              <w:pStyle w:val="TableParagraph"/>
              <w:ind w:left="0"/>
              <w:rPr>
                <w:b/>
              </w:rPr>
            </w:pPr>
            <w:r w:rsidRPr="007C3E8F">
              <w:rPr>
                <w:b/>
              </w:rPr>
              <w:t>Effective Date:</w:t>
            </w:r>
          </w:p>
        </w:tc>
        <w:tc>
          <w:tcPr>
            <w:tcW w:w="5865" w:type="dxa"/>
          </w:tcPr>
          <w:p w14:paraId="473B7D10" w14:textId="401D883C" w:rsidR="002F0168" w:rsidRPr="007C3E8F" w:rsidRDefault="00E35732" w:rsidP="0047634B">
            <w:pPr>
              <w:pStyle w:val="TableParagraph"/>
              <w:ind w:left="142"/>
            </w:pPr>
            <w:r>
              <w:t>November 1, 2024</w:t>
            </w:r>
          </w:p>
        </w:tc>
      </w:tr>
      <w:tr w:rsidR="002F0168" w:rsidRPr="007C3E8F" w14:paraId="3BAEF6B7" w14:textId="77777777" w:rsidTr="002826A8">
        <w:trPr>
          <w:trHeight w:val="283"/>
        </w:trPr>
        <w:tc>
          <w:tcPr>
            <w:tcW w:w="3775" w:type="dxa"/>
          </w:tcPr>
          <w:p w14:paraId="4CCEB9F2" w14:textId="29C9B736" w:rsidR="002F0168" w:rsidRPr="007C3E8F" w:rsidRDefault="002F0168" w:rsidP="0047634B">
            <w:pPr>
              <w:pStyle w:val="TableParagraph"/>
              <w:ind w:left="0"/>
              <w:rPr>
                <w:b/>
              </w:rPr>
            </w:pPr>
            <w:r w:rsidRPr="007C3E8F">
              <w:rPr>
                <w:b/>
              </w:rPr>
              <w:t>Next Review Date:</w:t>
            </w:r>
          </w:p>
        </w:tc>
        <w:tc>
          <w:tcPr>
            <w:tcW w:w="5865" w:type="dxa"/>
          </w:tcPr>
          <w:p w14:paraId="31C05CA5" w14:textId="4DD7AE1F" w:rsidR="002F0168" w:rsidRPr="007C3E8F" w:rsidRDefault="00135B3A" w:rsidP="0047634B">
            <w:pPr>
              <w:pStyle w:val="TableParagraph"/>
              <w:ind w:left="142"/>
            </w:pPr>
            <w:r>
              <w:t>October 1, 2027</w:t>
            </w:r>
          </w:p>
        </w:tc>
      </w:tr>
      <w:tr w:rsidR="00E160E8" w:rsidRPr="007C3E8F" w14:paraId="0BD0017C" w14:textId="77777777" w:rsidTr="002826A8">
        <w:trPr>
          <w:trHeight w:hRule="exact" w:val="613"/>
        </w:trPr>
        <w:tc>
          <w:tcPr>
            <w:tcW w:w="3775" w:type="dxa"/>
          </w:tcPr>
          <w:p w14:paraId="423B9CFA" w14:textId="5D8B7B23" w:rsidR="00E160E8" w:rsidRPr="007C3E8F" w:rsidRDefault="00E160E8" w:rsidP="0047634B">
            <w:pPr>
              <w:pStyle w:val="TableParagraph"/>
              <w:ind w:left="0" w:right="820"/>
              <w:rPr>
                <w:b/>
              </w:rPr>
            </w:pPr>
            <w:r w:rsidRPr="007C3E8F">
              <w:rPr>
                <w:b/>
              </w:rPr>
              <w:t xml:space="preserve">Contact for </w:t>
            </w:r>
            <w:r w:rsidR="006178EA">
              <w:rPr>
                <w:b/>
              </w:rPr>
              <w:t xml:space="preserve">Procedure </w:t>
            </w:r>
            <w:r w:rsidRPr="007C3E8F">
              <w:rPr>
                <w:b/>
              </w:rPr>
              <w:t>Interpretation:</w:t>
            </w:r>
          </w:p>
        </w:tc>
        <w:tc>
          <w:tcPr>
            <w:tcW w:w="5865" w:type="dxa"/>
          </w:tcPr>
          <w:p w14:paraId="3E16CD55" w14:textId="6D897E66" w:rsidR="00E160E8" w:rsidRPr="007C3E8F" w:rsidRDefault="00135B3A" w:rsidP="0047634B">
            <w:pPr>
              <w:pStyle w:val="TableParagraph"/>
              <w:tabs>
                <w:tab w:val="left" w:pos="774"/>
              </w:tabs>
              <w:ind w:left="142"/>
            </w:pPr>
            <w:r>
              <w:t>Executive Vice President, Academic Experience</w:t>
            </w:r>
          </w:p>
        </w:tc>
      </w:tr>
    </w:tbl>
    <w:p w14:paraId="3FE23F65" w14:textId="3C0EA075" w:rsidR="00471604" w:rsidRDefault="00471604" w:rsidP="002F0168">
      <w:pPr>
        <w:pStyle w:val="BodyText"/>
        <w:tabs>
          <w:tab w:val="left" w:pos="9356"/>
        </w:tabs>
        <w:ind w:right="4"/>
      </w:pPr>
    </w:p>
    <w:p w14:paraId="182E7D8D" w14:textId="77777777" w:rsidR="00C8453B" w:rsidRPr="007C3E8F" w:rsidRDefault="00C8453B" w:rsidP="002F0168">
      <w:pPr>
        <w:pStyle w:val="BodyText"/>
        <w:tabs>
          <w:tab w:val="left" w:pos="9356"/>
        </w:tabs>
        <w:ind w:right="4"/>
      </w:pPr>
    </w:p>
    <w:p w14:paraId="3F89C3AB" w14:textId="45B1CCC6" w:rsidR="002F0168" w:rsidRPr="007C3E8F" w:rsidRDefault="002F0168" w:rsidP="002F0168">
      <w:pPr>
        <w:pStyle w:val="BodyText"/>
        <w:pBdr>
          <w:bottom w:val="single" w:sz="12" w:space="1" w:color="auto"/>
        </w:pBdr>
        <w:tabs>
          <w:tab w:val="left" w:pos="9214"/>
          <w:tab w:val="left" w:pos="10046"/>
        </w:tabs>
        <w:ind w:right="4"/>
        <w:rPr>
          <w:b/>
        </w:rPr>
      </w:pPr>
      <w:bookmarkStart w:id="0" w:name="_Hlk114145762"/>
      <w:r w:rsidRPr="007C3E8F">
        <w:rPr>
          <w:b/>
        </w:rPr>
        <w:t xml:space="preserve">1.0 </w:t>
      </w:r>
      <w:r w:rsidR="007C3E8F" w:rsidRPr="007C3E8F">
        <w:rPr>
          <w:b/>
        </w:rPr>
        <w:t xml:space="preserve">– </w:t>
      </w:r>
      <w:r w:rsidRPr="007C3E8F">
        <w:rPr>
          <w:b/>
        </w:rPr>
        <w:t xml:space="preserve">Purpose </w:t>
      </w:r>
    </w:p>
    <w:bookmarkEnd w:id="0"/>
    <w:p w14:paraId="232453CF" w14:textId="77777777" w:rsidR="002F0168" w:rsidRPr="007C3E8F" w:rsidRDefault="002F0168" w:rsidP="002F0168">
      <w:pPr>
        <w:pStyle w:val="BodyText"/>
        <w:tabs>
          <w:tab w:val="left" w:pos="9214"/>
          <w:tab w:val="left" w:pos="10046"/>
        </w:tabs>
      </w:pPr>
    </w:p>
    <w:p w14:paraId="5F9030BE" w14:textId="77777777" w:rsidR="00135B3A" w:rsidRPr="00135B3A" w:rsidRDefault="00135B3A" w:rsidP="00135B3A">
      <w:pPr>
        <w:pStyle w:val="BodyText"/>
        <w:tabs>
          <w:tab w:val="left" w:pos="9214"/>
          <w:tab w:val="left" w:pos="10046"/>
        </w:tabs>
        <w:rPr>
          <w:rFonts w:eastAsia="Calibri"/>
          <w:lang w:val="en-CA"/>
        </w:rPr>
      </w:pPr>
      <w:r w:rsidRPr="00135B3A">
        <w:rPr>
          <w:rFonts w:eastAsia="Calibri"/>
          <w:lang w:val="en-CA"/>
        </w:rPr>
        <w:t>The purpose of this procedure is to define the credentials awarded to graduates of programs of instruction as stipulated in the Ministry of Colleges and Universities requirements for program certification.</w:t>
      </w:r>
    </w:p>
    <w:p w14:paraId="39AAC3EA" w14:textId="77777777" w:rsidR="00135B3A" w:rsidRPr="00135B3A" w:rsidRDefault="00135B3A" w:rsidP="00135B3A">
      <w:pPr>
        <w:pStyle w:val="BodyText"/>
        <w:tabs>
          <w:tab w:val="left" w:pos="9214"/>
          <w:tab w:val="left" w:pos="10046"/>
        </w:tabs>
        <w:rPr>
          <w:lang w:val="en-CA"/>
        </w:rPr>
      </w:pPr>
    </w:p>
    <w:p w14:paraId="672AA825" w14:textId="77777777" w:rsidR="00135B3A" w:rsidRPr="00135B3A" w:rsidRDefault="00135B3A" w:rsidP="00135B3A">
      <w:pPr>
        <w:pStyle w:val="BodyText"/>
        <w:tabs>
          <w:tab w:val="left" w:pos="9214"/>
          <w:tab w:val="left" w:pos="10046"/>
        </w:tabs>
      </w:pPr>
      <w:r w:rsidRPr="00135B3A">
        <w:t>Terms not defined in this Procedure have the same meaning found in the Program Quality Assurance Policy.</w:t>
      </w:r>
    </w:p>
    <w:p w14:paraId="450B31B4" w14:textId="597E998F" w:rsidR="00137DA4" w:rsidRDefault="00137DA4"/>
    <w:p w14:paraId="61E9678B" w14:textId="617F8447" w:rsidR="00471604" w:rsidRPr="00471604" w:rsidRDefault="00471604" w:rsidP="00471604">
      <w:pPr>
        <w:pBdr>
          <w:bottom w:val="single" w:sz="12" w:space="1" w:color="auto"/>
        </w:pBdr>
        <w:rPr>
          <w:b/>
        </w:rPr>
      </w:pPr>
      <w:r>
        <w:rPr>
          <w:b/>
        </w:rPr>
        <w:t>2</w:t>
      </w:r>
      <w:r w:rsidRPr="00471604">
        <w:rPr>
          <w:b/>
        </w:rPr>
        <w:t xml:space="preserve">.0 – </w:t>
      </w:r>
      <w:r w:rsidR="0099514D">
        <w:rPr>
          <w:b/>
        </w:rPr>
        <w:t>Definitions and Acronyms</w:t>
      </w:r>
    </w:p>
    <w:p w14:paraId="378B6BC9" w14:textId="77777777" w:rsidR="0099514D" w:rsidRDefault="0099514D"/>
    <w:p w14:paraId="5F28EAAB" w14:textId="423BEA00" w:rsidR="0099514D" w:rsidRDefault="0099514D">
      <w:r>
        <w:rPr>
          <w:b/>
          <w:bCs/>
        </w:rPr>
        <w:t>Board of Governors (</w:t>
      </w:r>
      <w:proofErr w:type="spellStart"/>
      <w:r>
        <w:rPr>
          <w:b/>
          <w:bCs/>
        </w:rPr>
        <w:t>BoG</w:t>
      </w:r>
      <w:proofErr w:type="spellEnd"/>
      <w:r>
        <w:rPr>
          <w:b/>
          <w:bCs/>
        </w:rPr>
        <w:t>)</w:t>
      </w:r>
      <w:r>
        <w:t xml:space="preserve">: </w:t>
      </w:r>
      <w:r w:rsidRPr="007674D7">
        <w:t xml:space="preserve">The authority to govern Sir Sandford Fleming College is given to the Board of Governors through the Ontario College of Applied Arts and Technology Act, 2002, Ontario Regulation 34/03, Ministry Binding Policy Directives, and further outlined in the Board of Governors </w:t>
      </w:r>
      <w:r>
        <w:t>Bylaw 1</w:t>
      </w:r>
    </w:p>
    <w:p w14:paraId="668FC375" w14:textId="545EC266" w:rsidR="0099514D" w:rsidRDefault="0099514D"/>
    <w:p w14:paraId="13DFE5AF" w14:textId="77777777" w:rsidR="00935A29" w:rsidRDefault="00935A29" w:rsidP="00935A29">
      <w:pPr>
        <w:widowControl/>
      </w:pPr>
      <w:r w:rsidRPr="00AB4CBD">
        <w:rPr>
          <w:b/>
        </w:rPr>
        <w:t>College Community</w:t>
      </w:r>
      <w:r>
        <w:rPr>
          <w:b/>
        </w:rPr>
        <w:t xml:space="preserve">: </w:t>
      </w:r>
      <w:r w:rsidRPr="00AB4CBD">
        <w:t xml:space="preserve">Any person who studies, teaches, conducts research at or works at, or under, the auspices of the College and </w:t>
      </w:r>
      <w:proofErr w:type="gramStart"/>
      <w:r w:rsidRPr="00AB4CBD">
        <w:t>includes</w:t>
      </w:r>
      <w:proofErr w:type="gramEnd"/>
      <w:r w:rsidRPr="00AB4CBD">
        <w:t xml:space="preserve"> without limitation, employees or contractors; appointees (including volunteer board members); students; visitors; and any other person while they are acting on behalf of, or at the request of the College.</w:t>
      </w:r>
    </w:p>
    <w:p w14:paraId="52A04980" w14:textId="77777777" w:rsidR="00135B3A" w:rsidRDefault="00135B3A" w:rsidP="00935A29">
      <w:pPr>
        <w:widowControl/>
      </w:pPr>
    </w:p>
    <w:p w14:paraId="721D30DF" w14:textId="77777777" w:rsidR="00135B3A" w:rsidRPr="00135B3A" w:rsidRDefault="00135B3A" w:rsidP="00135B3A">
      <w:pPr>
        <w:widowControl/>
        <w:rPr>
          <w:rFonts w:eastAsia="Times New Roman"/>
          <w:color w:val="000000"/>
          <w:lang w:eastAsia="en-CA"/>
        </w:rPr>
      </w:pPr>
      <w:r w:rsidRPr="00135B3A">
        <w:rPr>
          <w:rFonts w:eastAsia="Times New Roman"/>
          <w:b/>
          <w:bCs/>
          <w:color w:val="000000"/>
          <w:lang w:eastAsia="en-CA"/>
        </w:rPr>
        <w:t xml:space="preserve">Credential: </w:t>
      </w:r>
      <w:r w:rsidRPr="00135B3A">
        <w:rPr>
          <w:rFonts w:eastAsia="Times New Roman"/>
          <w:color w:val="000000"/>
          <w:lang w:eastAsia="en-CA"/>
        </w:rPr>
        <w:t>defined by the Ontario Qualifications Framework and awarded by the Board of Governors for successful achievement of all requirements for the program of instruction.</w:t>
      </w:r>
    </w:p>
    <w:p w14:paraId="64E8C5B5" w14:textId="77777777" w:rsidR="00135B3A" w:rsidRPr="00135B3A" w:rsidRDefault="00135B3A" w:rsidP="00135B3A">
      <w:pPr>
        <w:widowControl/>
        <w:rPr>
          <w:rFonts w:eastAsia="Times New Roman"/>
          <w:color w:val="000000"/>
          <w:lang w:eastAsia="en-CA"/>
        </w:rPr>
      </w:pPr>
    </w:p>
    <w:p w14:paraId="50F5A3C5" w14:textId="77777777" w:rsidR="00135B3A" w:rsidRPr="00135B3A" w:rsidRDefault="00135B3A" w:rsidP="00135B3A">
      <w:pPr>
        <w:widowControl/>
        <w:rPr>
          <w:rFonts w:eastAsia="Times New Roman"/>
          <w:color w:val="000000"/>
          <w:lang w:eastAsia="en-CA"/>
        </w:rPr>
      </w:pPr>
      <w:r w:rsidRPr="00135B3A">
        <w:rPr>
          <w:rFonts w:eastAsia="Times New Roman"/>
          <w:b/>
          <w:bCs/>
          <w:color w:val="000000" w:themeColor="text1"/>
          <w:lang w:eastAsia="en-CA"/>
        </w:rPr>
        <w:t xml:space="preserve">Credential Validation Service (CVS): </w:t>
      </w:r>
      <w:r w:rsidRPr="00135B3A">
        <w:rPr>
          <w:rFonts w:eastAsia="Times New Roman"/>
          <w:color w:val="000000" w:themeColor="text1"/>
          <w:lang w:eastAsia="en-CA"/>
        </w:rPr>
        <w:t xml:space="preserve">has been established according to the Minister’s Binding Policy Directive, Framework for Programs of Instruction. This service, along with the approval of programs of instruction by the Board of Governors, makes up a component of the self-regulatory mechanisms of the college system. </w:t>
      </w:r>
      <w:proofErr w:type="gramStart"/>
      <w:r w:rsidRPr="00135B3A">
        <w:rPr>
          <w:rFonts w:eastAsia="Times New Roman"/>
          <w:color w:val="000000" w:themeColor="text1"/>
          <w:lang w:eastAsia="en-CA"/>
        </w:rPr>
        <w:t>The CVS</w:t>
      </w:r>
      <w:proofErr w:type="gramEnd"/>
      <w:r w:rsidRPr="00135B3A">
        <w:rPr>
          <w:rFonts w:eastAsia="Times New Roman"/>
          <w:color w:val="000000" w:themeColor="text1"/>
          <w:lang w:eastAsia="en-CA"/>
        </w:rPr>
        <w:t xml:space="preserve"> is operated as a subsidiary of Colleges Ontario.</w:t>
      </w:r>
    </w:p>
    <w:p w14:paraId="7A988F6F" w14:textId="77777777" w:rsidR="00135B3A" w:rsidRPr="00135B3A" w:rsidRDefault="00135B3A" w:rsidP="00135B3A">
      <w:pPr>
        <w:widowControl/>
        <w:rPr>
          <w:rFonts w:eastAsia="Times New Roman"/>
          <w:color w:val="000000" w:themeColor="text1"/>
          <w:highlight w:val="yellow"/>
          <w:lang w:eastAsia="en-CA"/>
        </w:rPr>
      </w:pPr>
    </w:p>
    <w:p w14:paraId="49C3917B" w14:textId="77777777" w:rsidR="00135B3A" w:rsidRPr="00135B3A" w:rsidRDefault="00135B3A" w:rsidP="00135B3A">
      <w:pPr>
        <w:widowControl/>
        <w:rPr>
          <w:rFonts w:eastAsia="Times New Roman"/>
          <w:bCs/>
          <w:color w:val="000000"/>
          <w:lang w:eastAsia="en-CA"/>
        </w:rPr>
      </w:pPr>
      <w:r w:rsidRPr="00135B3A">
        <w:rPr>
          <w:rFonts w:eastAsia="Times New Roman"/>
          <w:b/>
          <w:color w:val="000000"/>
          <w:lang w:eastAsia="en-CA"/>
        </w:rPr>
        <w:t>Graduate</w:t>
      </w:r>
      <w:r w:rsidRPr="00135B3A">
        <w:rPr>
          <w:rFonts w:eastAsia="Times New Roman"/>
          <w:bCs/>
          <w:color w:val="000000"/>
          <w:lang w:eastAsia="en-CA"/>
        </w:rPr>
        <w:t xml:space="preserve">: Student who has achieved the approved learning requirements for the program of instruction. </w:t>
      </w:r>
    </w:p>
    <w:p w14:paraId="6EB0F4C5" w14:textId="77777777" w:rsidR="00135B3A" w:rsidRPr="00135B3A" w:rsidRDefault="00135B3A" w:rsidP="00135B3A">
      <w:pPr>
        <w:widowControl/>
        <w:rPr>
          <w:rFonts w:eastAsia="Times New Roman"/>
          <w:bCs/>
          <w:color w:val="000000"/>
          <w:lang w:eastAsia="en-CA"/>
        </w:rPr>
      </w:pPr>
    </w:p>
    <w:p w14:paraId="15AB28A6" w14:textId="77777777" w:rsidR="00135B3A" w:rsidRPr="00135B3A" w:rsidRDefault="00135B3A" w:rsidP="00135B3A">
      <w:pPr>
        <w:widowControl/>
        <w:rPr>
          <w:rFonts w:eastAsia="Times New Roman"/>
          <w:bCs/>
          <w:color w:val="000000"/>
          <w:lang w:eastAsia="en-CA"/>
        </w:rPr>
      </w:pPr>
      <w:r w:rsidRPr="00135B3A">
        <w:rPr>
          <w:rFonts w:eastAsia="Times New Roman"/>
          <w:b/>
          <w:color w:val="000000"/>
          <w:lang w:eastAsia="en-CA"/>
        </w:rPr>
        <w:t>Ministry of Colleges and Universities (MCU):</w:t>
      </w:r>
      <w:r w:rsidRPr="00135B3A">
        <w:rPr>
          <w:rFonts w:eastAsia="Times New Roman"/>
          <w:bCs/>
          <w:color w:val="000000"/>
          <w:lang w:eastAsia="en-CA"/>
        </w:rPr>
        <w:t xml:space="preserve"> </w:t>
      </w:r>
      <w:r w:rsidRPr="00135B3A">
        <w:rPr>
          <w:rStyle w:val="normaltextrun"/>
          <w:color w:val="000000"/>
        </w:rPr>
        <w:t xml:space="preserve">is the governing body for the Ontario Colleges of Applied Arts and Technology and oversees the development and the review of standards for </w:t>
      </w:r>
      <w:r w:rsidRPr="00135B3A">
        <w:rPr>
          <w:rStyle w:val="normaltextrun"/>
          <w:color w:val="000000"/>
        </w:rPr>
        <w:lastRenderedPageBreak/>
        <w:t>programs of instruction. Each college is required to ensure that academic programming is consistent with these standards and must assist students to achieve essential outcomes.</w:t>
      </w:r>
      <w:r w:rsidRPr="00135B3A">
        <w:rPr>
          <w:rStyle w:val="eop"/>
          <w:color w:val="000000"/>
        </w:rPr>
        <w:t> </w:t>
      </w:r>
    </w:p>
    <w:p w14:paraId="62431E2D" w14:textId="77777777" w:rsidR="00135B3A" w:rsidRPr="00135B3A" w:rsidRDefault="00135B3A" w:rsidP="00135B3A">
      <w:pPr>
        <w:widowControl/>
        <w:rPr>
          <w:rFonts w:eastAsia="Times New Roman"/>
          <w:bCs/>
          <w:color w:val="000000"/>
          <w:lang w:eastAsia="en-CA"/>
        </w:rPr>
      </w:pPr>
    </w:p>
    <w:p w14:paraId="43E99531" w14:textId="77777777" w:rsidR="00135B3A" w:rsidRPr="00135B3A" w:rsidRDefault="00135B3A" w:rsidP="00135B3A">
      <w:pPr>
        <w:widowControl/>
        <w:rPr>
          <w:rFonts w:eastAsia="Times New Roman"/>
          <w:color w:val="000000"/>
          <w:lang w:val="en-CA" w:eastAsia="en-CA"/>
        </w:rPr>
      </w:pPr>
      <w:r w:rsidRPr="00135B3A">
        <w:rPr>
          <w:rFonts w:eastAsia="Times New Roman"/>
          <w:b/>
          <w:bCs/>
          <w:color w:val="000000"/>
          <w:lang w:eastAsia="en-CA"/>
        </w:rPr>
        <w:t xml:space="preserve">Minister’s Binding Policy Directive, Framework for Programs of Instructions: </w:t>
      </w:r>
      <w:r w:rsidRPr="00135B3A">
        <w:rPr>
          <w:rFonts w:eastAsia="Times New Roman"/>
          <w:color w:val="000000"/>
          <w:lang w:eastAsia="en-CA"/>
        </w:rPr>
        <w:t>this binding policy directive applies to all colleges of applied arts and technology and defines expectations for all programs of instruction offered by colleges regardless of the funding source, except for ministry-funded apprenticeship training.</w:t>
      </w:r>
    </w:p>
    <w:p w14:paraId="730D4167" w14:textId="77777777" w:rsidR="00135B3A" w:rsidRPr="00135B3A" w:rsidRDefault="00135B3A" w:rsidP="00135B3A">
      <w:pPr>
        <w:rPr>
          <w:rFonts w:eastAsia="Times New Roman"/>
          <w:color w:val="000000"/>
          <w:lang w:val="en-CA" w:eastAsia="en-CA"/>
        </w:rPr>
      </w:pPr>
    </w:p>
    <w:p w14:paraId="5E930CFE" w14:textId="77777777" w:rsidR="00135B3A" w:rsidRPr="00135B3A" w:rsidRDefault="00135B3A" w:rsidP="00135B3A">
      <w:pPr>
        <w:widowControl/>
        <w:rPr>
          <w:rFonts w:eastAsia="Times New Roman"/>
          <w:bCs/>
          <w:color w:val="000000"/>
          <w:lang w:val="en-CA" w:eastAsia="en-CA"/>
        </w:rPr>
      </w:pPr>
      <w:r w:rsidRPr="00135B3A">
        <w:rPr>
          <w:rFonts w:eastAsia="Times New Roman"/>
          <w:b/>
          <w:bCs/>
          <w:color w:val="000000"/>
          <w:lang w:val="en-CA" w:eastAsia="en-CA"/>
        </w:rPr>
        <w:t xml:space="preserve">Ontario Qualifications Framework: </w:t>
      </w:r>
      <w:r w:rsidRPr="00135B3A">
        <w:rPr>
          <w:rFonts w:eastAsia="Times New Roman"/>
          <w:bCs/>
          <w:color w:val="000000"/>
          <w:lang w:val="en-CA" w:eastAsia="en-CA"/>
        </w:rPr>
        <w:t>The Ontario Qualifications Framework includes all non-religious postsecondary certificate, diploma and degree programs offered under the auspices of the Province of Ontario, including apprenticeship certificates, the qualifications awarded by private career colleges, the qualifications awarded by public colleges, and degrees offered by public universities and institutions authorized to award degrees by a consent of the Minister of Colleges and Universities of Ontario.</w:t>
      </w:r>
    </w:p>
    <w:p w14:paraId="4A6660C9" w14:textId="77777777" w:rsidR="00135B3A" w:rsidRPr="00135B3A" w:rsidRDefault="00135B3A" w:rsidP="00135B3A">
      <w:pPr>
        <w:widowControl/>
        <w:rPr>
          <w:rFonts w:eastAsia="Times New Roman"/>
          <w:color w:val="000000"/>
          <w:lang w:val="en-CA" w:eastAsia="en-CA"/>
        </w:rPr>
      </w:pPr>
    </w:p>
    <w:p w14:paraId="549BEA2B" w14:textId="77777777" w:rsidR="00135B3A" w:rsidRPr="00135B3A" w:rsidRDefault="00135B3A" w:rsidP="00135B3A">
      <w:pPr>
        <w:widowControl/>
      </w:pPr>
      <w:r w:rsidRPr="00135B3A">
        <w:rPr>
          <w:b/>
          <w:bCs/>
        </w:rPr>
        <w:t xml:space="preserve">PEQAB: </w:t>
      </w:r>
      <w:r w:rsidRPr="00135B3A">
        <w:t>Postsecondary Education Quality Assessment Board (PEQAB): an Ontario agency that makes recommendations to the Minister of Colleges and Universities of Ontario on applications for ministerial consent under the terms of the Post-secondary Education Choice and Excellence Act, 2000 (the Act). The Board assesses degree programs against standards in the Ontario Qualifications Framework and the Canadian Degree Qualifications Framework.</w:t>
      </w:r>
    </w:p>
    <w:p w14:paraId="7C7343B7" w14:textId="77777777" w:rsidR="00135B3A" w:rsidRPr="00135B3A" w:rsidRDefault="00135B3A" w:rsidP="00135B3A">
      <w:pPr>
        <w:widowControl/>
      </w:pPr>
    </w:p>
    <w:p w14:paraId="64858A72" w14:textId="4ADDB9FC" w:rsidR="00135B3A" w:rsidRPr="00135B3A" w:rsidRDefault="00135B3A" w:rsidP="00135B3A">
      <w:pPr>
        <w:pStyle w:val="NoSpacing"/>
        <w:shd w:val="clear" w:color="auto" w:fill="FFFFFF" w:themeFill="background1"/>
        <w:rPr>
          <w:rFonts w:ascii="Arial" w:eastAsia="Arial" w:hAnsi="Arial" w:cs="Arial"/>
          <w:color w:val="000000" w:themeColor="text1"/>
          <w:sz w:val="22"/>
          <w:szCs w:val="22"/>
        </w:rPr>
      </w:pPr>
      <w:r w:rsidRPr="00135B3A">
        <w:rPr>
          <w:rFonts w:ascii="Arial" w:eastAsia="Arial" w:hAnsi="Arial" w:cs="Arial"/>
          <w:b/>
          <w:bCs/>
          <w:color w:val="000000" w:themeColor="text1"/>
          <w:sz w:val="22"/>
          <w:szCs w:val="22"/>
        </w:rPr>
        <w:t xml:space="preserve">Program of </w:t>
      </w:r>
      <w:proofErr w:type="gramStart"/>
      <w:r w:rsidRPr="00135B3A">
        <w:rPr>
          <w:rFonts w:ascii="Arial" w:eastAsia="Arial" w:hAnsi="Arial" w:cs="Arial"/>
          <w:b/>
          <w:bCs/>
          <w:color w:val="000000" w:themeColor="text1"/>
          <w:sz w:val="22"/>
          <w:szCs w:val="22"/>
        </w:rPr>
        <w:t>Instruction</w:t>
      </w:r>
      <w:r w:rsidRPr="00135B3A">
        <w:rPr>
          <w:rFonts w:ascii="Arial" w:eastAsia="Arial" w:hAnsi="Arial" w:cs="Arial"/>
          <w:color w:val="000000" w:themeColor="text1"/>
          <w:sz w:val="22"/>
          <w:szCs w:val="22"/>
        </w:rPr>
        <w:t>:</w:t>
      </w:r>
      <w:proofErr w:type="gramEnd"/>
      <w:r w:rsidRPr="00135B3A">
        <w:rPr>
          <w:rFonts w:ascii="Arial" w:eastAsia="Arial" w:hAnsi="Arial" w:cs="Arial"/>
          <w:color w:val="000000" w:themeColor="text1"/>
          <w:sz w:val="22"/>
          <w:szCs w:val="22"/>
        </w:rPr>
        <w:t xml:space="preserve"> means a group of related courses leading to a credential awarded by the College.</w:t>
      </w:r>
    </w:p>
    <w:p w14:paraId="5254A236" w14:textId="77777777" w:rsidR="00935A29" w:rsidRDefault="00935A29"/>
    <w:p w14:paraId="6CD13CD2" w14:textId="77777777" w:rsidR="00137DA4" w:rsidRPr="007C3E8F" w:rsidRDefault="00137DA4"/>
    <w:p w14:paraId="763A66A9" w14:textId="2B021D2F" w:rsidR="002F0168" w:rsidRPr="007C3E8F" w:rsidRDefault="00935A29" w:rsidP="002F0168">
      <w:pPr>
        <w:pStyle w:val="BodyText"/>
        <w:pBdr>
          <w:bottom w:val="single" w:sz="12" w:space="1" w:color="auto"/>
        </w:pBdr>
        <w:tabs>
          <w:tab w:val="left" w:pos="9214"/>
          <w:tab w:val="left" w:pos="10046"/>
        </w:tabs>
        <w:ind w:right="4"/>
        <w:rPr>
          <w:b/>
        </w:rPr>
      </w:pPr>
      <w:r>
        <w:rPr>
          <w:b/>
        </w:rPr>
        <w:t>3</w:t>
      </w:r>
      <w:r w:rsidR="002F0168" w:rsidRPr="007C3E8F">
        <w:rPr>
          <w:b/>
        </w:rPr>
        <w:t xml:space="preserve">.0 </w:t>
      </w:r>
      <w:r w:rsidR="009B0225" w:rsidRPr="007C3E8F">
        <w:rPr>
          <w:b/>
        </w:rPr>
        <w:t>–</w:t>
      </w:r>
      <w:r w:rsidR="002F0168" w:rsidRPr="007C3E8F">
        <w:rPr>
          <w:b/>
        </w:rPr>
        <w:t xml:space="preserve"> </w:t>
      </w:r>
      <w:r>
        <w:rPr>
          <w:b/>
        </w:rPr>
        <w:t>Guiding Principles</w:t>
      </w:r>
    </w:p>
    <w:p w14:paraId="39815B9A" w14:textId="0B2665AD" w:rsidR="002F0168" w:rsidRDefault="002F0168"/>
    <w:p w14:paraId="0804FD76" w14:textId="34FE525C" w:rsidR="00033B24" w:rsidRPr="00135B3A" w:rsidRDefault="00033B24" w:rsidP="00033B24">
      <w:pPr>
        <w:widowControl/>
      </w:pPr>
      <w:r w:rsidRPr="00135B3A">
        <w:t>Within the Ontario Qualifications Framework, the Ministry has established requirements for credentials</w:t>
      </w:r>
      <w:r>
        <w:t>, these requirements act as the framework for this procedure.</w:t>
      </w:r>
    </w:p>
    <w:p w14:paraId="0999EF48" w14:textId="77777777" w:rsidR="00C3604A" w:rsidRDefault="00C3604A"/>
    <w:p w14:paraId="3F0FA123" w14:textId="390AB686" w:rsidR="00874D7A" w:rsidRPr="007C3E8F" w:rsidRDefault="00874D7A" w:rsidP="00874D7A">
      <w:pPr>
        <w:pStyle w:val="BodyText"/>
        <w:pBdr>
          <w:bottom w:val="single" w:sz="12" w:space="1" w:color="auto"/>
        </w:pBdr>
        <w:tabs>
          <w:tab w:val="left" w:pos="9214"/>
          <w:tab w:val="left" w:pos="10046"/>
        </w:tabs>
        <w:ind w:right="4"/>
        <w:rPr>
          <w:b/>
        </w:rPr>
      </w:pPr>
      <w:r>
        <w:rPr>
          <w:b/>
        </w:rPr>
        <w:t>4</w:t>
      </w:r>
      <w:r w:rsidRPr="007C3E8F">
        <w:rPr>
          <w:b/>
        </w:rPr>
        <w:t xml:space="preserve">.0 – </w:t>
      </w:r>
      <w:r>
        <w:rPr>
          <w:b/>
        </w:rPr>
        <w:t>Scope</w:t>
      </w:r>
    </w:p>
    <w:p w14:paraId="1484394F" w14:textId="5585AC6D" w:rsidR="00874D7A" w:rsidRDefault="00874D7A">
      <w:pPr>
        <w:rPr>
          <w:i/>
          <w:iCs/>
        </w:rPr>
      </w:pPr>
    </w:p>
    <w:p w14:paraId="3E25F6DF" w14:textId="7585775E" w:rsidR="00874D7A" w:rsidRPr="00033B24" w:rsidRDefault="00033B24" w:rsidP="00874D7A">
      <w:pPr>
        <w:pStyle w:val="NormalWeb"/>
        <w:tabs>
          <w:tab w:val="left" w:pos="9356"/>
        </w:tabs>
        <w:spacing w:before="0" w:beforeAutospacing="0" w:after="0" w:afterAutospacing="0"/>
        <w:rPr>
          <w:rFonts w:ascii="Arial" w:hAnsi="Arial" w:cs="Arial"/>
          <w:sz w:val="22"/>
          <w:szCs w:val="22"/>
        </w:rPr>
      </w:pPr>
      <w:r>
        <w:rPr>
          <w:rFonts w:ascii="Arial" w:hAnsi="Arial" w:cs="Arial"/>
          <w:sz w:val="22"/>
          <w:szCs w:val="22"/>
        </w:rPr>
        <w:t>This procedure applies to all programs of instruction.</w:t>
      </w:r>
    </w:p>
    <w:p w14:paraId="40A9D883" w14:textId="77777777" w:rsidR="00DA4B97" w:rsidRDefault="00DA4B97"/>
    <w:p w14:paraId="1DFB1433" w14:textId="105BA5C8" w:rsidR="00DA4B97" w:rsidRPr="007C3E8F" w:rsidRDefault="00DA4B97" w:rsidP="00DA4B97">
      <w:pPr>
        <w:pStyle w:val="BodyText"/>
        <w:pBdr>
          <w:bottom w:val="single" w:sz="12" w:space="1" w:color="auto"/>
        </w:pBdr>
        <w:tabs>
          <w:tab w:val="left" w:pos="9214"/>
          <w:tab w:val="left" w:pos="10046"/>
        </w:tabs>
        <w:ind w:right="4"/>
        <w:rPr>
          <w:b/>
        </w:rPr>
      </w:pPr>
      <w:r>
        <w:rPr>
          <w:b/>
        </w:rPr>
        <w:t>5</w:t>
      </w:r>
      <w:r w:rsidRPr="007C3E8F">
        <w:rPr>
          <w:b/>
        </w:rPr>
        <w:t xml:space="preserve">.0 – </w:t>
      </w:r>
      <w:r>
        <w:rPr>
          <w:b/>
        </w:rPr>
        <w:t>Operating Procedure</w:t>
      </w:r>
    </w:p>
    <w:p w14:paraId="128546D5" w14:textId="64393448" w:rsidR="00DA4B97" w:rsidRDefault="00DA4B97"/>
    <w:p w14:paraId="5A3C9D8D" w14:textId="77777777" w:rsidR="00874D7A" w:rsidRPr="00935A29" w:rsidRDefault="00874D7A"/>
    <w:p w14:paraId="7DE144C1" w14:textId="11DBB55D" w:rsidR="00145FD2" w:rsidRDefault="00DA4B97" w:rsidP="00533183">
      <w:pPr>
        <w:widowControl/>
        <w:rPr>
          <w:rFonts w:eastAsia="Calibri"/>
          <w:b/>
          <w:lang w:val="en-CA"/>
        </w:rPr>
      </w:pPr>
      <w:r w:rsidRPr="00533183">
        <w:rPr>
          <w:rFonts w:eastAsia="Calibri"/>
          <w:b/>
          <w:lang w:val="en-CA"/>
        </w:rPr>
        <w:t>5</w:t>
      </w:r>
      <w:r w:rsidR="00145FD2" w:rsidRPr="00533183">
        <w:rPr>
          <w:rFonts w:eastAsia="Calibri"/>
          <w:b/>
          <w:lang w:val="en-CA"/>
        </w:rPr>
        <w:t xml:space="preserve">.1 </w:t>
      </w:r>
      <w:r w:rsidRPr="00533183">
        <w:rPr>
          <w:rFonts w:eastAsia="Calibri"/>
          <w:b/>
          <w:lang w:val="en-CA"/>
        </w:rPr>
        <w:t>–</w:t>
      </w:r>
      <w:r w:rsidR="00145FD2" w:rsidRPr="00533183">
        <w:rPr>
          <w:rFonts w:eastAsia="Calibri"/>
          <w:b/>
          <w:lang w:val="en-CA"/>
        </w:rPr>
        <w:t xml:space="preserve"> </w:t>
      </w:r>
      <w:r w:rsidR="00135B3A">
        <w:rPr>
          <w:rFonts w:eastAsia="Calibri"/>
          <w:b/>
          <w:lang w:val="en-CA"/>
        </w:rPr>
        <w:t>Credential Requirements</w:t>
      </w:r>
    </w:p>
    <w:p w14:paraId="3FC38A31" w14:textId="77777777" w:rsidR="006F01BA" w:rsidRPr="00533183" w:rsidRDefault="006F01BA" w:rsidP="00533183">
      <w:pPr>
        <w:widowControl/>
        <w:rPr>
          <w:rFonts w:eastAsia="Calibri"/>
          <w:b/>
          <w:lang w:val="en-CA"/>
        </w:rPr>
      </w:pPr>
    </w:p>
    <w:p w14:paraId="50978BFE" w14:textId="77777777" w:rsidR="00135B3A" w:rsidRPr="00135B3A" w:rsidRDefault="00135B3A" w:rsidP="00135B3A">
      <w:pPr>
        <w:widowControl/>
        <w:rPr>
          <w:rStyle w:val="eop"/>
        </w:rPr>
      </w:pPr>
      <w:r w:rsidRPr="00135B3A">
        <w:rPr>
          <w:rStyle w:val="normaltextrun"/>
          <w:color w:val="000000"/>
          <w:shd w:val="clear" w:color="auto" w:fill="FFFFFF"/>
        </w:rPr>
        <w:t>Consistent with provincial requirements, the College ensures that all programs of instruction generated during new program development or updated during program review or program modification are current and compliant.</w:t>
      </w:r>
      <w:r w:rsidRPr="00135B3A">
        <w:rPr>
          <w:rStyle w:val="eop"/>
          <w:color w:val="000000"/>
          <w:shd w:val="clear" w:color="auto" w:fill="FFFFFF"/>
        </w:rPr>
        <w:t> </w:t>
      </w:r>
    </w:p>
    <w:p w14:paraId="60E265E4" w14:textId="77777777" w:rsidR="00135B3A" w:rsidRPr="00135B3A" w:rsidRDefault="00135B3A" w:rsidP="00135B3A">
      <w:pPr>
        <w:widowControl/>
        <w:ind w:left="709"/>
      </w:pPr>
    </w:p>
    <w:p w14:paraId="686BB4C4" w14:textId="77777777" w:rsidR="00135B3A" w:rsidRPr="00135B3A" w:rsidRDefault="00135B3A" w:rsidP="00135B3A">
      <w:pPr>
        <w:widowControl/>
        <w:rPr>
          <w:lang w:val="en-CA"/>
        </w:rPr>
      </w:pPr>
      <w:r w:rsidRPr="00135B3A">
        <w:t>The type of credential designated for each program of instruction is included in the program details available through the Fleming College website.</w:t>
      </w:r>
    </w:p>
    <w:p w14:paraId="0702B459" w14:textId="77777777" w:rsidR="00135B3A" w:rsidRPr="00135B3A" w:rsidRDefault="00135B3A" w:rsidP="00135B3A">
      <w:pPr>
        <w:pStyle w:val="ListParagraph"/>
        <w:rPr>
          <w:lang w:val="en-CA"/>
        </w:rPr>
      </w:pPr>
    </w:p>
    <w:p w14:paraId="0DCD7873" w14:textId="77777777" w:rsidR="00135B3A" w:rsidRPr="00135B3A" w:rsidRDefault="00135B3A" w:rsidP="00135B3A">
      <w:pPr>
        <w:widowControl/>
        <w:rPr>
          <w:lang w:val="en-CA"/>
        </w:rPr>
      </w:pPr>
      <w:r w:rsidRPr="00135B3A">
        <w:rPr>
          <w:lang w:val="en-CA"/>
        </w:rPr>
        <w:t xml:space="preserve">Annually, the Academic Quality Office will review the Fleming College website to ensure accuracy of published program details. </w:t>
      </w:r>
    </w:p>
    <w:p w14:paraId="1E929D82" w14:textId="77777777" w:rsidR="00135B3A" w:rsidRPr="00135B3A" w:rsidRDefault="00135B3A" w:rsidP="00135B3A">
      <w:pPr>
        <w:widowControl/>
        <w:ind w:left="709" w:hanging="720"/>
        <w:rPr>
          <w:lang w:val="en-CA"/>
        </w:rPr>
      </w:pPr>
    </w:p>
    <w:p w14:paraId="79B153DF" w14:textId="77777777" w:rsidR="00135B3A" w:rsidRPr="00135B3A" w:rsidRDefault="00135B3A" w:rsidP="00135B3A">
      <w:pPr>
        <w:widowControl/>
        <w:rPr>
          <w:lang w:val="en-CA"/>
        </w:rPr>
      </w:pPr>
      <w:r w:rsidRPr="00135B3A">
        <w:rPr>
          <w:rStyle w:val="normaltextrun"/>
          <w:color w:val="000000"/>
          <w:shd w:val="clear" w:color="auto" w:fill="FFFFFF"/>
        </w:rPr>
        <w:lastRenderedPageBreak/>
        <w:t xml:space="preserve">All forms of awarded credential are official only when the College seal, and/or crest, and/or logo is affixed by the Office of the Registrar. Each certification copy includes the full Ministry approved program name, the signatures of the President and Registrar, and where appropriate, the designation of </w:t>
      </w:r>
      <w:proofErr w:type="spellStart"/>
      <w:r w:rsidRPr="00135B3A">
        <w:rPr>
          <w:rStyle w:val="normaltextrun"/>
          <w:color w:val="000000"/>
          <w:shd w:val="clear" w:color="auto" w:fill="FFFFFF"/>
        </w:rPr>
        <w:t>Honours</w:t>
      </w:r>
      <w:proofErr w:type="spellEnd"/>
      <w:r w:rsidRPr="00135B3A">
        <w:rPr>
          <w:rStyle w:val="normaltextrun"/>
          <w:color w:val="000000"/>
          <w:shd w:val="clear" w:color="auto" w:fill="FFFFFF"/>
        </w:rPr>
        <w:t xml:space="preserve"> status.</w:t>
      </w:r>
      <w:r w:rsidRPr="00135B3A">
        <w:rPr>
          <w:rStyle w:val="eop"/>
          <w:color w:val="000000"/>
          <w:shd w:val="clear" w:color="auto" w:fill="FFFFFF"/>
        </w:rPr>
        <w:t> </w:t>
      </w:r>
    </w:p>
    <w:p w14:paraId="25648D4C" w14:textId="77777777" w:rsidR="006F01BA" w:rsidRDefault="006F01BA" w:rsidP="006F01BA">
      <w:pPr>
        <w:widowControl/>
        <w:ind w:left="1440"/>
        <w:rPr>
          <w:rFonts w:eastAsia="Calibri"/>
          <w:lang w:val="en-CA"/>
        </w:rPr>
      </w:pPr>
    </w:p>
    <w:p w14:paraId="3DEBBB1F" w14:textId="628F7A51" w:rsidR="006F01BA" w:rsidRPr="00FD024D" w:rsidRDefault="00FD024D" w:rsidP="006F01BA">
      <w:pPr>
        <w:pStyle w:val="ListParagraph"/>
        <w:widowControl/>
        <w:numPr>
          <w:ilvl w:val="1"/>
          <w:numId w:val="27"/>
        </w:numPr>
        <w:rPr>
          <w:b/>
          <w:bCs/>
          <w:lang w:val="en-CA"/>
        </w:rPr>
      </w:pPr>
      <w:r w:rsidRPr="00FD024D">
        <w:rPr>
          <w:b/>
          <w:bCs/>
          <w:lang w:val="en-CA"/>
        </w:rPr>
        <w:t>– Awarded Credentials</w:t>
      </w:r>
    </w:p>
    <w:p w14:paraId="01BECF5B" w14:textId="77777777" w:rsidR="00FD024D" w:rsidRPr="00FD024D" w:rsidRDefault="00FD024D" w:rsidP="00FD024D">
      <w:pPr>
        <w:pStyle w:val="ListParagraph"/>
        <w:widowControl/>
        <w:ind w:left="360" w:firstLine="0"/>
        <w:rPr>
          <w:lang w:val="en-CA"/>
        </w:rPr>
      </w:pPr>
    </w:p>
    <w:p w14:paraId="5D11CE34" w14:textId="77777777" w:rsidR="00FD024D" w:rsidRPr="00FD024D" w:rsidRDefault="00FD024D" w:rsidP="00FD024D">
      <w:pPr>
        <w:widowControl/>
        <w:rPr>
          <w:b/>
          <w:bCs/>
          <w:lang w:val="en-CA"/>
        </w:rPr>
      </w:pPr>
      <w:r w:rsidRPr="00FD024D">
        <w:rPr>
          <w:b/>
          <w:bCs/>
          <w:lang w:val="en-CA"/>
        </w:rPr>
        <w:t xml:space="preserve">Applied </w:t>
      </w:r>
      <w:proofErr w:type="gramStart"/>
      <w:r w:rsidRPr="00FD024D">
        <w:rPr>
          <w:b/>
          <w:bCs/>
          <w:lang w:val="en-CA"/>
        </w:rPr>
        <w:t>Bachelor’s Degree</w:t>
      </w:r>
      <w:proofErr w:type="gramEnd"/>
      <w:r w:rsidRPr="00FD024D">
        <w:rPr>
          <w:b/>
          <w:bCs/>
          <w:lang w:val="en-CA"/>
        </w:rPr>
        <w:t xml:space="preserve"> (ABD).  </w:t>
      </w:r>
      <w:r w:rsidRPr="00FD024D">
        <w:rPr>
          <w:rStyle w:val="normaltextrun"/>
          <w:color w:val="000000" w:themeColor="text1"/>
        </w:rPr>
        <w:t>This certification is awarded to graduates upon successful completion of all the requirements of an approved three or four year applied degree program in accordance with the Ontario Qualifications Framework.</w:t>
      </w:r>
      <w:r w:rsidRPr="00FD024D">
        <w:rPr>
          <w:b/>
          <w:bCs/>
          <w:lang w:val="en-CA"/>
        </w:rPr>
        <w:t xml:space="preserve"> </w:t>
      </w:r>
    </w:p>
    <w:p w14:paraId="0F207D48" w14:textId="77777777" w:rsidR="00FD024D" w:rsidRPr="00FD024D" w:rsidRDefault="00FD024D" w:rsidP="00FD024D">
      <w:pPr>
        <w:widowControl/>
        <w:ind w:left="360"/>
        <w:rPr>
          <w:b/>
          <w:bCs/>
          <w:lang w:val="en-CA"/>
        </w:rPr>
      </w:pPr>
    </w:p>
    <w:p w14:paraId="6C72E535" w14:textId="77777777" w:rsidR="00FD024D" w:rsidRPr="00FD024D" w:rsidRDefault="00FD024D" w:rsidP="00FD024D">
      <w:pPr>
        <w:widowControl/>
        <w:rPr>
          <w:b/>
          <w:lang w:val="en-CA"/>
        </w:rPr>
      </w:pPr>
      <w:r w:rsidRPr="00FD024D">
        <w:rPr>
          <w:b/>
          <w:bCs/>
          <w:lang w:val="en-CA"/>
        </w:rPr>
        <w:t>Ontario College Graduate Certificate (OCGC).</w:t>
      </w:r>
      <w:r w:rsidRPr="00FD024D">
        <w:rPr>
          <w:lang w:val="en-CA"/>
        </w:rPr>
        <w:t xml:space="preserve"> </w:t>
      </w:r>
      <w:r w:rsidRPr="00FD024D">
        <w:rPr>
          <w:rStyle w:val="normaltextrun"/>
          <w:color w:val="000000"/>
          <w:shd w:val="clear" w:color="auto" w:fill="FFFFFF"/>
        </w:rPr>
        <w:t>This certification is awarded to graduates upon successful completion of all the requirements of an approved graduate certificate program in accordance with the Ontario Qualifications Framework.</w:t>
      </w:r>
    </w:p>
    <w:p w14:paraId="0ED008FC" w14:textId="77777777" w:rsidR="00FD024D" w:rsidRPr="00FD024D" w:rsidRDefault="00FD024D" w:rsidP="00FD024D">
      <w:pPr>
        <w:pStyle w:val="ListParagraph"/>
        <w:widowControl/>
        <w:ind w:left="709" w:firstLine="0"/>
        <w:rPr>
          <w:b/>
          <w:lang w:val="en-CA"/>
        </w:rPr>
      </w:pPr>
    </w:p>
    <w:p w14:paraId="5DF56038" w14:textId="77777777" w:rsidR="00FD024D" w:rsidRPr="00FD024D" w:rsidRDefault="00FD024D" w:rsidP="00FD024D">
      <w:pPr>
        <w:widowControl/>
        <w:rPr>
          <w:b/>
          <w:lang w:val="en-CA"/>
        </w:rPr>
      </w:pPr>
      <w:r w:rsidRPr="00FD024D">
        <w:rPr>
          <w:b/>
          <w:bCs/>
          <w:lang w:val="en-CA"/>
        </w:rPr>
        <w:t>Ontario College Advanced Diploma (OCAD).</w:t>
      </w:r>
      <w:r w:rsidRPr="00FD024D">
        <w:rPr>
          <w:lang w:val="en-CA"/>
        </w:rPr>
        <w:t xml:space="preserve">  </w:t>
      </w:r>
      <w:r w:rsidRPr="00FD024D">
        <w:rPr>
          <w:rStyle w:val="normaltextrun"/>
          <w:color w:val="000000"/>
          <w:shd w:val="clear" w:color="auto" w:fill="FFFFFF"/>
        </w:rPr>
        <w:t>This certification is awarded to graduates upon successful completion of all requirements of an approved advanced diploma in accordance with the Ontario Qualifications Framework.</w:t>
      </w:r>
      <w:r w:rsidRPr="00FD024D">
        <w:rPr>
          <w:rStyle w:val="eop"/>
          <w:color w:val="000000"/>
          <w:shd w:val="clear" w:color="auto" w:fill="FFFFFF"/>
        </w:rPr>
        <w:t> </w:t>
      </w:r>
    </w:p>
    <w:p w14:paraId="297938C9" w14:textId="77777777" w:rsidR="00FD024D" w:rsidRPr="00FD024D" w:rsidRDefault="00FD024D" w:rsidP="00FD024D">
      <w:pPr>
        <w:pStyle w:val="ListParagraph"/>
        <w:rPr>
          <w:b/>
          <w:lang w:val="en-CA"/>
        </w:rPr>
      </w:pPr>
    </w:p>
    <w:p w14:paraId="2A8434D6" w14:textId="77777777" w:rsidR="00FD024D" w:rsidRPr="00FD024D" w:rsidRDefault="00FD024D" w:rsidP="00FD024D">
      <w:pPr>
        <w:widowControl/>
        <w:rPr>
          <w:b/>
          <w:lang w:val="en-CA"/>
        </w:rPr>
      </w:pPr>
      <w:r w:rsidRPr="00FD024D">
        <w:rPr>
          <w:b/>
          <w:bCs/>
          <w:lang w:val="en-CA"/>
        </w:rPr>
        <w:t>Ontario College Diploma (OCD).</w:t>
      </w:r>
      <w:r w:rsidRPr="00FD024D">
        <w:rPr>
          <w:lang w:val="en-CA"/>
        </w:rPr>
        <w:t xml:space="preserve"> </w:t>
      </w:r>
      <w:r w:rsidRPr="00FD024D">
        <w:rPr>
          <w:rStyle w:val="normaltextrun"/>
          <w:color w:val="000000"/>
          <w:shd w:val="clear" w:color="auto" w:fill="FFFFFF"/>
        </w:rPr>
        <w:t>This certification is awarded to graduates upon successful completion of all requirements of an approved advanced diploma in accordance with the Ontario Qualifications Framework.</w:t>
      </w:r>
      <w:r w:rsidRPr="00FD024D">
        <w:rPr>
          <w:rStyle w:val="eop"/>
          <w:color w:val="000000"/>
          <w:shd w:val="clear" w:color="auto" w:fill="FFFFFF"/>
        </w:rPr>
        <w:t> </w:t>
      </w:r>
    </w:p>
    <w:p w14:paraId="2CEBC9F7" w14:textId="77777777" w:rsidR="00FD024D" w:rsidRPr="00FD024D" w:rsidRDefault="00FD024D" w:rsidP="00FD024D">
      <w:pPr>
        <w:pStyle w:val="ListParagraph"/>
        <w:rPr>
          <w:b/>
          <w:lang w:val="en-CA"/>
        </w:rPr>
      </w:pPr>
    </w:p>
    <w:p w14:paraId="6CAFC27F" w14:textId="77777777" w:rsidR="00FD024D" w:rsidRPr="00FD024D" w:rsidRDefault="00FD024D" w:rsidP="00FD024D">
      <w:pPr>
        <w:widowControl/>
        <w:rPr>
          <w:rStyle w:val="eop"/>
          <w:b/>
          <w:lang w:val="en-CA"/>
        </w:rPr>
      </w:pPr>
      <w:r w:rsidRPr="00FD024D">
        <w:rPr>
          <w:b/>
          <w:bCs/>
          <w:lang w:val="en-CA"/>
        </w:rPr>
        <w:t>Ontario College Certificate (OCC).</w:t>
      </w:r>
      <w:r w:rsidRPr="00FD024D">
        <w:rPr>
          <w:lang w:val="en-CA"/>
        </w:rPr>
        <w:t xml:space="preserve">  </w:t>
      </w:r>
      <w:r w:rsidRPr="00FD024D">
        <w:rPr>
          <w:rStyle w:val="normaltextrun"/>
          <w:color w:val="000000"/>
          <w:shd w:val="clear" w:color="auto" w:fill="FFFFFF"/>
        </w:rPr>
        <w:t>This certification is awarded to graduates upon successful completion of all requirements of an approved certificate program in accordance with the Ontario Qualifications Framework.</w:t>
      </w:r>
      <w:r w:rsidRPr="00FD024D">
        <w:rPr>
          <w:rStyle w:val="eop"/>
          <w:color w:val="000000"/>
          <w:shd w:val="clear" w:color="auto" w:fill="FFFFFF"/>
        </w:rPr>
        <w:t> </w:t>
      </w:r>
    </w:p>
    <w:p w14:paraId="2DC58410" w14:textId="77777777" w:rsidR="00FD024D" w:rsidRPr="00FD024D" w:rsidRDefault="00FD024D" w:rsidP="00FD024D">
      <w:pPr>
        <w:pStyle w:val="ListParagraph"/>
        <w:rPr>
          <w:b/>
          <w:lang w:val="en-CA"/>
        </w:rPr>
      </w:pPr>
    </w:p>
    <w:p w14:paraId="0D683275" w14:textId="77777777" w:rsidR="00FD024D" w:rsidRPr="00FD024D" w:rsidRDefault="00FD024D" w:rsidP="00FD024D">
      <w:pPr>
        <w:widowControl/>
        <w:rPr>
          <w:b/>
          <w:bCs/>
          <w:lang w:val="en-CA"/>
        </w:rPr>
      </w:pPr>
      <w:r w:rsidRPr="00FD024D">
        <w:rPr>
          <w:b/>
          <w:bCs/>
          <w:lang w:val="en-CA"/>
        </w:rPr>
        <w:t>Certificate (Local Board Approved).</w:t>
      </w:r>
      <w:r w:rsidRPr="00FD024D">
        <w:rPr>
          <w:lang w:val="en-CA"/>
        </w:rPr>
        <w:t xml:space="preserve">  </w:t>
      </w:r>
      <w:r w:rsidRPr="00FD024D">
        <w:rPr>
          <w:rStyle w:val="normaltextrun"/>
          <w:color w:val="000000"/>
          <w:shd w:val="clear" w:color="auto" w:fill="FFFFFF"/>
        </w:rPr>
        <w:t>This level of certification recognizes successful completion of specific courses, prescribed as a package of courses and designated as leading to a Local Board Approved Certificate in accordance with the Ontario Qualifications Framework. These offerings must follow the regular curriculum approval process and be approved by the Executive Vice-President Academic Experience and reported to the Board of Governors.</w:t>
      </w:r>
    </w:p>
    <w:p w14:paraId="71646168" w14:textId="77777777" w:rsidR="00FD024D" w:rsidRPr="00FD024D" w:rsidRDefault="00FD024D" w:rsidP="00FD024D">
      <w:pPr>
        <w:pStyle w:val="ListParagraph"/>
        <w:rPr>
          <w:b/>
          <w:lang w:val="en-CA"/>
        </w:rPr>
      </w:pPr>
    </w:p>
    <w:p w14:paraId="32F9C7BF" w14:textId="77777777" w:rsidR="00FD024D" w:rsidRPr="00FD024D" w:rsidRDefault="00FD024D" w:rsidP="00FD024D">
      <w:pPr>
        <w:widowControl/>
        <w:rPr>
          <w:b/>
          <w:lang w:val="en-CA"/>
        </w:rPr>
      </w:pPr>
      <w:r w:rsidRPr="00FD024D">
        <w:rPr>
          <w:b/>
          <w:bCs/>
          <w:lang w:val="en-CA"/>
        </w:rPr>
        <w:t xml:space="preserve">Statement of Recognition. </w:t>
      </w:r>
      <w:r w:rsidRPr="00FD024D">
        <w:rPr>
          <w:rStyle w:val="normaltextrun"/>
          <w:color w:val="000000"/>
          <w:bdr w:val="none" w:sz="0" w:space="0" w:color="auto" w:frame="1"/>
        </w:rPr>
        <w:t>This level of certification is awarded to students for successful completion of a course which was delivered under formal agreement by the College to an outside party.  The course must have an evaluative mechanism with grades allocated and/or evidence of successful completion of performance objectives or required competencies. </w:t>
      </w:r>
    </w:p>
    <w:p w14:paraId="3370B2B2" w14:textId="77777777" w:rsidR="00FD024D" w:rsidRPr="00FD024D" w:rsidRDefault="00FD024D" w:rsidP="00FD024D">
      <w:pPr>
        <w:pStyle w:val="ListParagraph"/>
        <w:rPr>
          <w:b/>
          <w:lang w:val="en-CA"/>
        </w:rPr>
      </w:pPr>
    </w:p>
    <w:p w14:paraId="05841502" w14:textId="77777777" w:rsidR="00FD024D" w:rsidRPr="00FD024D" w:rsidRDefault="00FD024D" w:rsidP="00FD024D">
      <w:pPr>
        <w:widowControl/>
        <w:rPr>
          <w:b/>
          <w:lang w:val="en-CA"/>
        </w:rPr>
      </w:pPr>
      <w:r w:rsidRPr="00FD024D">
        <w:rPr>
          <w:b/>
          <w:bCs/>
          <w:lang w:val="en-CA"/>
        </w:rPr>
        <w:t>Statement of Achievement.</w:t>
      </w:r>
      <w:r w:rsidRPr="00FD024D">
        <w:rPr>
          <w:lang w:val="en-CA"/>
        </w:rPr>
        <w:t xml:space="preserve">  This level of certification is awarded to students who meet the prescribed requirements for a particular non-credit course, or collection of courses, skill(s), or other activity(</w:t>
      </w:r>
      <w:proofErr w:type="spellStart"/>
      <w:r w:rsidRPr="00FD024D">
        <w:rPr>
          <w:lang w:val="en-CA"/>
        </w:rPr>
        <w:t>ies</w:t>
      </w:r>
      <w:proofErr w:type="spellEnd"/>
      <w:r w:rsidRPr="00FD024D">
        <w:rPr>
          <w:lang w:val="en-CA"/>
        </w:rPr>
        <w:t>).  There must be an evaluative mechanism with grades allocated and/or evidence of successful completion of performance objectives or required competencies.</w:t>
      </w:r>
    </w:p>
    <w:p w14:paraId="3726A600" w14:textId="77777777" w:rsidR="00FD024D" w:rsidRPr="00FD024D" w:rsidRDefault="00FD024D" w:rsidP="00FD024D">
      <w:pPr>
        <w:pStyle w:val="ListParagraph"/>
        <w:widowControl/>
        <w:ind w:left="709" w:firstLine="0"/>
        <w:rPr>
          <w:b/>
          <w:lang w:val="en-CA"/>
        </w:rPr>
      </w:pPr>
    </w:p>
    <w:p w14:paraId="60BB1149" w14:textId="77777777" w:rsidR="00FD024D" w:rsidRDefault="00FD024D" w:rsidP="00FD024D">
      <w:pPr>
        <w:widowControl/>
        <w:rPr>
          <w:rStyle w:val="normaltextrun"/>
          <w:color w:val="000000"/>
          <w:bdr w:val="none" w:sz="0" w:space="0" w:color="auto" w:frame="1"/>
        </w:rPr>
      </w:pPr>
      <w:r w:rsidRPr="00FD024D">
        <w:rPr>
          <w:b/>
          <w:bCs/>
        </w:rPr>
        <w:t>Joint Certification.</w:t>
      </w:r>
      <w:r w:rsidRPr="00FD024D">
        <w:t xml:space="preserve">  </w:t>
      </w:r>
      <w:r w:rsidRPr="00FD024D">
        <w:rPr>
          <w:rStyle w:val="normaltextrun"/>
          <w:color w:val="000000"/>
          <w:bdr w:val="none" w:sz="0" w:space="0" w:color="auto" w:frame="1"/>
        </w:rPr>
        <w:t>To qualify for joint certification by the College and another institution or agency, the program curriculum (whether funded or non-funded) must follow the regular curriculum approval process and be approved by the Executive Vice-President Academic Experience and the Board of Governors.</w:t>
      </w:r>
    </w:p>
    <w:p w14:paraId="137DE570" w14:textId="77777777" w:rsidR="00FD024D" w:rsidRDefault="00FD024D" w:rsidP="00FD024D">
      <w:pPr>
        <w:widowControl/>
        <w:rPr>
          <w:rStyle w:val="normaltextrun"/>
          <w:color w:val="000000"/>
          <w:bdr w:val="none" w:sz="0" w:space="0" w:color="auto" w:frame="1"/>
        </w:rPr>
      </w:pPr>
    </w:p>
    <w:p w14:paraId="4A1AF578" w14:textId="77777777" w:rsidR="00E35732" w:rsidRDefault="00E35732" w:rsidP="00FD024D">
      <w:pPr>
        <w:widowControl/>
        <w:rPr>
          <w:rStyle w:val="normaltextrun"/>
          <w:color w:val="000000"/>
          <w:bdr w:val="none" w:sz="0" w:space="0" w:color="auto" w:frame="1"/>
        </w:rPr>
      </w:pPr>
    </w:p>
    <w:p w14:paraId="6CCE9167" w14:textId="77777777" w:rsidR="00E35732" w:rsidRDefault="00E35732" w:rsidP="00FD024D">
      <w:pPr>
        <w:widowControl/>
        <w:rPr>
          <w:rStyle w:val="normaltextrun"/>
          <w:color w:val="000000"/>
          <w:bdr w:val="none" w:sz="0" w:space="0" w:color="auto" w:frame="1"/>
        </w:rPr>
      </w:pPr>
    </w:p>
    <w:p w14:paraId="4AB716F1" w14:textId="77777777" w:rsidR="00E35732" w:rsidRDefault="00E35732" w:rsidP="00FD024D">
      <w:pPr>
        <w:widowControl/>
        <w:rPr>
          <w:rStyle w:val="normaltextrun"/>
          <w:color w:val="000000"/>
          <w:bdr w:val="none" w:sz="0" w:space="0" w:color="auto" w:frame="1"/>
        </w:rPr>
      </w:pPr>
    </w:p>
    <w:p w14:paraId="73EC5853" w14:textId="4DC1A3E8" w:rsidR="00FD024D" w:rsidRPr="00FD024D" w:rsidRDefault="00FD024D" w:rsidP="00FD024D">
      <w:pPr>
        <w:pStyle w:val="ListParagraph"/>
        <w:widowControl/>
        <w:numPr>
          <w:ilvl w:val="1"/>
          <w:numId w:val="27"/>
        </w:numPr>
        <w:rPr>
          <w:rStyle w:val="normaltextrun"/>
          <w:b/>
          <w:bCs/>
          <w:color w:val="000000"/>
          <w:bdr w:val="none" w:sz="0" w:space="0" w:color="auto" w:frame="1"/>
        </w:rPr>
      </w:pPr>
      <w:r w:rsidRPr="00FD024D">
        <w:rPr>
          <w:rStyle w:val="normaltextrun"/>
          <w:b/>
          <w:bCs/>
          <w:color w:val="000000"/>
          <w:bdr w:val="none" w:sz="0" w:space="0" w:color="auto" w:frame="1"/>
        </w:rPr>
        <w:lastRenderedPageBreak/>
        <w:t xml:space="preserve">– Roles and Responsibilities </w:t>
      </w:r>
    </w:p>
    <w:p w14:paraId="1BBA1B9A" w14:textId="77777777" w:rsidR="00FD024D" w:rsidRPr="00FD024D" w:rsidRDefault="00FD024D" w:rsidP="00FD024D">
      <w:pPr>
        <w:widowControl/>
        <w:rPr>
          <w:b/>
          <w:bCs/>
          <w:sz w:val="18"/>
          <w:szCs w:val="18"/>
          <w:lang w:val="en-CA"/>
        </w:rPr>
      </w:pPr>
    </w:p>
    <w:p w14:paraId="4B0BE505" w14:textId="77777777" w:rsidR="00FD024D" w:rsidRPr="00FD024D" w:rsidRDefault="00FD024D" w:rsidP="00FD024D">
      <w:pPr>
        <w:widowControl/>
        <w:rPr>
          <w:b/>
          <w:bCs/>
        </w:rPr>
      </w:pPr>
      <w:r w:rsidRPr="00FD024D">
        <w:t xml:space="preserve">Ultimate responsibility and oversight for ensuring quality assurance processes at Fleming College resides with the </w:t>
      </w:r>
      <w:r w:rsidRPr="00FD024D">
        <w:rPr>
          <w:b/>
          <w:bCs/>
        </w:rPr>
        <w:t>Board of Governors</w:t>
      </w:r>
      <w:r w:rsidRPr="00FD024D">
        <w:t xml:space="preserve">.  </w:t>
      </w:r>
    </w:p>
    <w:p w14:paraId="225DC377" w14:textId="77777777" w:rsidR="00FD024D" w:rsidRPr="00FD024D" w:rsidRDefault="00FD024D" w:rsidP="00FD024D">
      <w:pPr>
        <w:pStyle w:val="ListParagraph"/>
        <w:widowControl/>
        <w:ind w:left="709" w:firstLine="0"/>
        <w:rPr>
          <w:b/>
          <w:lang w:val="en-CA"/>
        </w:rPr>
      </w:pPr>
    </w:p>
    <w:p w14:paraId="02206D1F" w14:textId="77777777" w:rsidR="00FD024D" w:rsidRPr="00FD024D" w:rsidRDefault="00FD024D" w:rsidP="00FD024D">
      <w:pPr>
        <w:widowControl/>
        <w:rPr>
          <w:b/>
          <w:lang w:val="en-CA"/>
        </w:rPr>
      </w:pPr>
      <w:r w:rsidRPr="00FD024D">
        <w:rPr>
          <w:bCs/>
          <w:lang w:val="en-CA"/>
        </w:rPr>
        <w:t xml:space="preserve">It is the responsibility of the </w:t>
      </w:r>
      <w:r w:rsidRPr="00FD024D">
        <w:rPr>
          <w:b/>
          <w:lang w:val="en-CA"/>
        </w:rPr>
        <w:t>Senior Management Team</w:t>
      </w:r>
      <w:r w:rsidRPr="00FD024D">
        <w:rPr>
          <w:bCs/>
          <w:lang w:val="en-CA"/>
        </w:rPr>
        <w:t xml:space="preserve"> to ensure that the Program Quality Assurance Policy and the Programs of Instruction Procedure are fully implemented.</w:t>
      </w:r>
    </w:p>
    <w:p w14:paraId="3106FD47" w14:textId="77777777" w:rsidR="00FD024D" w:rsidRPr="00FD024D" w:rsidRDefault="00FD024D" w:rsidP="00FD024D">
      <w:pPr>
        <w:pStyle w:val="ListParagraph"/>
        <w:rPr>
          <w:b/>
          <w:lang w:val="en-CA"/>
        </w:rPr>
      </w:pPr>
    </w:p>
    <w:p w14:paraId="742F5D6A" w14:textId="3E62CD2F" w:rsidR="00FD024D" w:rsidRPr="00FD024D" w:rsidRDefault="00FD024D" w:rsidP="00FD024D">
      <w:pPr>
        <w:widowControl/>
        <w:rPr>
          <w:b/>
          <w:lang w:val="en-CA"/>
        </w:rPr>
      </w:pPr>
      <w:r w:rsidRPr="00FD024D">
        <w:rPr>
          <w:bCs/>
          <w:lang w:val="en-CA"/>
        </w:rPr>
        <w:t xml:space="preserve">It is the responsibility of the </w:t>
      </w:r>
      <w:r w:rsidRPr="00FD024D">
        <w:rPr>
          <w:b/>
          <w:lang w:val="en-CA"/>
        </w:rPr>
        <w:t xml:space="preserve">Executive Vice-President, Academic Experience </w:t>
      </w:r>
      <w:r w:rsidRPr="00FD024D">
        <w:rPr>
          <w:bCs/>
          <w:lang w:val="en-CA"/>
        </w:rPr>
        <w:t>to oversee the implementation of the Program Quality Assurance Policy and the Programs of Instruction Procedure and to report to the Senior Management Team on this implementation as necessary. The Executive Vice-President Academic Experience is responsible for ensuring effective delivery of programs of instruction, with the assistance of Deans/Academic Chairs.</w:t>
      </w:r>
    </w:p>
    <w:p w14:paraId="581FAD6F" w14:textId="77777777" w:rsidR="00FD024D" w:rsidRPr="00FD024D" w:rsidRDefault="00FD024D" w:rsidP="00FD024D">
      <w:pPr>
        <w:pStyle w:val="ListParagraph"/>
        <w:rPr>
          <w:lang w:val="en-CA"/>
        </w:rPr>
      </w:pPr>
    </w:p>
    <w:p w14:paraId="524D53F7" w14:textId="77777777" w:rsidR="00FD024D" w:rsidRPr="00FD024D" w:rsidRDefault="00FD024D" w:rsidP="00FD024D">
      <w:pPr>
        <w:widowControl/>
        <w:rPr>
          <w:b/>
          <w:lang w:val="en-CA"/>
        </w:rPr>
      </w:pPr>
      <w:r w:rsidRPr="00FD024D">
        <w:rPr>
          <w:lang w:val="en-CA"/>
        </w:rPr>
        <w:t xml:space="preserve">It is the responsibility of the </w:t>
      </w:r>
      <w:r w:rsidRPr="00FD024D">
        <w:rPr>
          <w:b/>
          <w:bCs/>
          <w:lang w:val="en-CA"/>
        </w:rPr>
        <w:t>Registrar</w:t>
      </w:r>
      <w:r w:rsidRPr="00FD024D">
        <w:rPr>
          <w:lang w:val="en-CA"/>
        </w:rPr>
        <w:t xml:space="preserve"> to certify graduates who have achieved the approved program learning outcomes, as stipulated in ministry requirements for program certification and College policy for credential issuance.</w:t>
      </w:r>
    </w:p>
    <w:p w14:paraId="7B9AFFFF" w14:textId="77777777" w:rsidR="00FD024D" w:rsidRPr="00FD024D" w:rsidRDefault="00FD024D" w:rsidP="00FD024D">
      <w:pPr>
        <w:rPr>
          <w:b/>
          <w:lang w:val="en-CA"/>
        </w:rPr>
      </w:pPr>
    </w:p>
    <w:p w14:paraId="045BCE9B" w14:textId="77777777" w:rsidR="00FD024D" w:rsidRPr="00FD024D" w:rsidRDefault="00FD024D" w:rsidP="00FD024D">
      <w:pPr>
        <w:widowControl/>
        <w:rPr>
          <w:b/>
          <w:lang w:val="en-CA"/>
        </w:rPr>
      </w:pPr>
      <w:r w:rsidRPr="00FD024D">
        <w:rPr>
          <w:lang w:val="en-CA"/>
        </w:rPr>
        <w:t xml:space="preserve">It is the responsibility of the </w:t>
      </w:r>
      <w:r w:rsidRPr="00FD024D">
        <w:rPr>
          <w:b/>
          <w:bCs/>
          <w:lang w:val="en-CA"/>
        </w:rPr>
        <w:t>Academic Quality Office</w:t>
      </w:r>
      <w:r w:rsidRPr="00FD024D">
        <w:rPr>
          <w:lang w:val="en-CA"/>
        </w:rPr>
        <w:t xml:space="preserve"> to ensure that College credentials </w:t>
      </w:r>
      <w:proofErr w:type="gramStart"/>
      <w:r w:rsidRPr="00FD024D">
        <w:rPr>
          <w:lang w:val="en-CA"/>
        </w:rPr>
        <w:t>are in compliance with</w:t>
      </w:r>
      <w:proofErr w:type="gramEnd"/>
      <w:r w:rsidRPr="00FD024D">
        <w:rPr>
          <w:lang w:val="en-CA"/>
        </w:rPr>
        <w:t xml:space="preserve"> regulations regarding their validation, issuance, and presentation on the College website and information systems. </w:t>
      </w:r>
    </w:p>
    <w:p w14:paraId="2FE6959A" w14:textId="6767489F" w:rsidR="0070021B" w:rsidRPr="00FD024D" w:rsidRDefault="0070021B" w:rsidP="00FD024D">
      <w:pPr>
        <w:pStyle w:val="ListParagraph"/>
        <w:widowControl/>
        <w:ind w:left="720" w:firstLine="0"/>
        <w:rPr>
          <w:rFonts w:eastAsiaTheme="minorHAnsi"/>
          <w:lang w:val="en-CA"/>
        </w:rPr>
      </w:pPr>
    </w:p>
    <w:p w14:paraId="03FD19EB" w14:textId="1FD7FFC6" w:rsidR="00D96D72" w:rsidRDefault="00D96D72"/>
    <w:p w14:paraId="744993E1" w14:textId="6CBBC436" w:rsidR="001B57E0" w:rsidRPr="007C3E8F" w:rsidRDefault="00DA4B97" w:rsidP="001B57E0">
      <w:pPr>
        <w:pStyle w:val="BodyText"/>
        <w:pBdr>
          <w:bottom w:val="single" w:sz="12" w:space="1" w:color="auto"/>
        </w:pBdr>
        <w:tabs>
          <w:tab w:val="left" w:pos="9214"/>
          <w:tab w:val="left" w:pos="10046"/>
        </w:tabs>
        <w:ind w:right="4"/>
        <w:rPr>
          <w:b/>
        </w:rPr>
      </w:pPr>
      <w:r>
        <w:rPr>
          <w:b/>
        </w:rPr>
        <w:t>6</w:t>
      </w:r>
      <w:r w:rsidR="001B57E0" w:rsidRPr="007C3E8F">
        <w:rPr>
          <w:b/>
        </w:rPr>
        <w:t>.0 – Related Documents</w:t>
      </w:r>
    </w:p>
    <w:p w14:paraId="6AA78B05" w14:textId="351B5C67" w:rsidR="001B57E0" w:rsidRDefault="001B57E0"/>
    <w:p w14:paraId="69554DDB" w14:textId="151B2836" w:rsidR="00FD024D" w:rsidRPr="00FD024D" w:rsidRDefault="00FD024D" w:rsidP="00FD024D">
      <w:pPr>
        <w:pStyle w:val="ListParagraph"/>
        <w:widowControl/>
        <w:numPr>
          <w:ilvl w:val="0"/>
          <w:numId w:val="32"/>
        </w:numPr>
        <w:rPr>
          <w:rFonts w:eastAsiaTheme="minorHAnsi"/>
          <w:sz w:val="24"/>
          <w:szCs w:val="24"/>
          <w:lang w:val="en-CA"/>
        </w:rPr>
      </w:pPr>
      <w:bookmarkStart w:id="1" w:name="_Hlk94197092"/>
      <w:r w:rsidRPr="00FD024D">
        <w:rPr>
          <w:rFonts w:eastAsia="Calibri"/>
          <w:color w:val="000000"/>
          <w:sz w:val="24"/>
          <w:szCs w:val="24"/>
          <w:lang w:val="en-CA"/>
        </w:rPr>
        <w:t>Minister's Binding Policy Directive: Framework for Programs of Instruction</w:t>
      </w:r>
      <w:bookmarkEnd w:id="1"/>
    </w:p>
    <w:p w14:paraId="6385C79D" w14:textId="420E8028" w:rsidR="00FD024D" w:rsidRPr="00FD024D" w:rsidRDefault="00FD024D" w:rsidP="00FD024D">
      <w:pPr>
        <w:pStyle w:val="ListParagraph"/>
        <w:widowControl/>
        <w:numPr>
          <w:ilvl w:val="0"/>
          <w:numId w:val="32"/>
        </w:numPr>
        <w:rPr>
          <w:rFonts w:eastAsiaTheme="minorHAnsi"/>
          <w:sz w:val="24"/>
          <w:szCs w:val="24"/>
          <w:lang w:val="en-CA"/>
        </w:rPr>
      </w:pPr>
      <w:r w:rsidRPr="00FD024D">
        <w:rPr>
          <w:rFonts w:eastAsiaTheme="minorEastAsia"/>
          <w:sz w:val="24"/>
          <w:szCs w:val="24"/>
          <w:lang w:val="en-CA"/>
        </w:rPr>
        <w:t>College Quality Assurance Audit Process (CQAAP) Standards of Quality</w:t>
      </w:r>
    </w:p>
    <w:p w14:paraId="3F0F5CBF" w14:textId="30A7C704" w:rsidR="00FD024D" w:rsidRPr="00FD024D" w:rsidRDefault="00FD024D" w:rsidP="00FD024D">
      <w:pPr>
        <w:pStyle w:val="ListParagraph"/>
        <w:widowControl/>
        <w:numPr>
          <w:ilvl w:val="0"/>
          <w:numId w:val="32"/>
        </w:numPr>
        <w:rPr>
          <w:rFonts w:eastAsiaTheme="minorEastAsia"/>
          <w:sz w:val="24"/>
          <w:szCs w:val="24"/>
          <w:lang w:val="en-CA"/>
        </w:rPr>
      </w:pPr>
      <w:r w:rsidRPr="00FD024D">
        <w:rPr>
          <w:rFonts w:eastAsiaTheme="minorEastAsia"/>
          <w:sz w:val="24"/>
          <w:szCs w:val="24"/>
          <w:lang w:val="en-CA"/>
        </w:rPr>
        <w:t xml:space="preserve">PEQAB Manuals for Ontario Colleges </w:t>
      </w:r>
    </w:p>
    <w:p w14:paraId="1CB36F4B" w14:textId="5A215D15" w:rsidR="00FD024D" w:rsidRPr="00FD024D" w:rsidRDefault="00FD024D" w:rsidP="00FD024D">
      <w:pPr>
        <w:pStyle w:val="ListParagraph"/>
        <w:widowControl/>
        <w:numPr>
          <w:ilvl w:val="0"/>
          <w:numId w:val="32"/>
        </w:numPr>
        <w:rPr>
          <w:rFonts w:eastAsiaTheme="minorHAnsi"/>
          <w:sz w:val="24"/>
          <w:szCs w:val="24"/>
          <w:lang w:val="en-CA"/>
        </w:rPr>
      </w:pPr>
      <w:r w:rsidRPr="00FD024D">
        <w:rPr>
          <w:rFonts w:eastAsiaTheme="minorEastAsia"/>
          <w:sz w:val="24"/>
          <w:szCs w:val="24"/>
          <w:lang w:val="en-CA"/>
        </w:rPr>
        <w:t>Ontario Qualifications Framework (OQF)</w:t>
      </w:r>
    </w:p>
    <w:p w14:paraId="528F4A8B" w14:textId="41F7AA80" w:rsidR="00FD024D" w:rsidRPr="00FD024D" w:rsidRDefault="00FD024D" w:rsidP="00FD024D">
      <w:pPr>
        <w:pStyle w:val="ListParagraph"/>
        <w:widowControl/>
        <w:numPr>
          <w:ilvl w:val="0"/>
          <w:numId w:val="32"/>
        </w:numPr>
        <w:rPr>
          <w:rFonts w:eastAsiaTheme="minorHAnsi"/>
          <w:sz w:val="24"/>
          <w:szCs w:val="24"/>
          <w:lang w:val="en-CA"/>
        </w:rPr>
      </w:pPr>
      <w:r w:rsidRPr="00FD024D">
        <w:rPr>
          <w:rFonts w:eastAsiaTheme="minorEastAsia"/>
          <w:sz w:val="24"/>
          <w:szCs w:val="24"/>
          <w:lang w:val="en-CA"/>
        </w:rPr>
        <w:t>College Policy #2-220: Quality Assurance Policy</w:t>
      </w:r>
    </w:p>
    <w:p w14:paraId="495E18A1" w14:textId="0B48B1FE" w:rsidR="00FD024D" w:rsidRPr="00FD024D" w:rsidRDefault="00FD024D" w:rsidP="00FD024D">
      <w:pPr>
        <w:pStyle w:val="ListParagraph"/>
        <w:widowControl/>
        <w:numPr>
          <w:ilvl w:val="0"/>
          <w:numId w:val="32"/>
        </w:numPr>
        <w:rPr>
          <w:rFonts w:eastAsiaTheme="minorHAnsi"/>
          <w:sz w:val="24"/>
          <w:szCs w:val="24"/>
          <w:lang w:val="en-CA"/>
        </w:rPr>
      </w:pPr>
      <w:r w:rsidRPr="00FD024D">
        <w:rPr>
          <w:rFonts w:eastAsiaTheme="minorEastAsia"/>
          <w:sz w:val="24"/>
          <w:szCs w:val="24"/>
          <w:lang w:val="en-CA"/>
        </w:rPr>
        <w:t>College Policy #</w:t>
      </w:r>
      <w:r w:rsidRPr="00FD024D">
        <w:rPr>
          <w:sz w:val="24"/>
          <w:szCs w:val="24"/>
          <w:lang w:val="en-CA"/>
        </w:rPr>
        <w:t>2-213: Program Quality Assurance</w:t>
      </w:r>
      <w:r w:rsidRPr="00FD024D">
        <w:rPr>
          <w:sz w:val="20"/>
          <w:szCs w:val="20"/>
        </w:rPr>
        <w:tab/>
      </w:r>
    </w:p>
    <w:p w14:paraId="39E3AA03" w14:textId="77777777" w:rsidR="00FD024D" w:rsidRPr="00FD024D" w:rsidRDefault="00FD024D" w:rsidP="00FD024D">
      <w:pPr>
        <w:pStyle w:val="ListParagraph"/>
        <w:widowControl/>
        <w:numPr>
          <w:ilvl w:val="0"/>
          <w:numId w:val="32"/>
        </w:numPr>
        <w:rPr>
          <w:sz w:val="24"/>
          <w:szCs w:val="24"/>
          <w:lang w:val="en-CA"/>
        </w:rPr>
      </w:pPr>
      <w:r w:rsidRPr="00FD024D">
        <w:rPr>
          <w:rFonts w:eastAsiaTheme="minorEastAsia"/>
          <w:sz w:val="24"/>
          <w:szCs w:val="24"/>
          <w:lang w:val="en-CA"/>
        </w:rPr>
        <w:t>College Policy #</w:t>
      </w:r>
      <w:r w:rsidRPr="00FD024D">
        <w:rPr>
          <w:sz w:val="24"/>
          <w:szCs w:val="24"/>
          <w:lang w:val="en-CA"/>
        </w:rPr>
        <w:t>5-502: Issuance of Credentials</w:t>
      </w:r>
      <w:r w:rsidRPr="00FD024D">
        <w:rPr>
          <w:sz w:val="20"/>
          <w:szCs w:val="20"/>
        </w:rPr>
        <w:tab/>
      </w:r>
    </w:p>
    <w:p w14:paraId="56F15F9F" w14:textId="23BF0614" w:rsidR="007C3E8F" w:rsidRDefault="007C3E8F"/>
    <w:p w14:paraId="725902FB" w14:textId="77777777" w:rsidR="00E16637" w:rsidRPr="007C3E8F" w:rsidRDefault="00E16637"/>
    <w:p w14:paraId="763B5934" w14:textId="74A17FCF" w:rsidR="002F0168" w:rsidRPr="007C3E8F" w:rsidRDefault="003300B3" w:rsidP="002F0168">
      <w:pPr>
        <w:pStyle w:val="BodyText"/>
        <w:pBdr>
          <w:bottom w:val="single" w:sz="12" w:space="1" w:color="auto"/>
        </w:pBdr>
        <w:tabs>
          <w:tab w:val="left" w:pos="9214"/>
          <w:tab w:val="left" w:pos="10046"/>
        </w:tabs>
        <w:ind w:right="4"/>
        <w:rPr>
          <w:b/>
        </w:rPr>
      </w:pPr>
      <w:r>
        <w:rPr>
          <w:b/>
        </w:rPr>
        <w:t>7</w:t>
      </w:r>
      <w:r w:rsidR="002F0168" w:rsidRPr="007C3E8F">
        <w:rPr>
          <w:b/>
        </w:rPr>
        <w:t>.0 – History of Amendments &amp; Reviews</w:t>
      </w:r>
    </w:p>
    <w:p w14:paraId="109032CB" w14:textId="77777777" w:rsidR="003300B3" w:rsidRDefault="003300B3" w:rsidP="003300B3"/>
    <w:p w14:paraId="6192E3F6" w14:textId="12B9FE2D" w:rsidR="003300B3" w:rsidRDefault="003300B3" w:rsidP="003300B3"/>
    <w:p w14:paraId="0458C47E" w14:textId="77777777" w:rsidR="00D96D72" w:rsidRDefault="00D96D72" w:rsidP="003300B3"/>
    <w:tbl>
      <w:tblPr>
        <w:tblStyle w:val="TableGrid"/>
        <w:tblW w:w="9355" w:type="dxa"/>
        <w:tblLook w:val="04A0" w:firstRow="1" w:lastRow="0" w:firstColumn="1" w:lastColumn="0" w:noHBand="0" w:noVBand="1"/>
      </w:tblPr>
      <w:tblGrid>
        <w:gridCol w:w="2065"/>
        <w:gridCol w:w="2610"/>
        <w:gridCol w:w="4680"/>
      </w:tblGrid>
      <w:tr w:rsidR="003300B3" w14:paraId="05AF3DAE" w14:textId="77777777" w:rsidTr="00E35732">
        <w:tc>
          <w:tcPr>
            <w:tcW w:w="2065" w:type="dxa"/>
          </w:tcPr>
          <w:p w14:paraId="5B402F54" w14:textId="77777777" w:rsidR="003300B3" w:rsidRPr="0062122B" w:rsidRDefault="003300B3" w:rsidP="00720F28">
            <w:pPr>
              <w:jc w:val="center"/>
              <w:rPr>
                <w:b/>
                <w:bCs/>
              </w:rPr>
            </w:pPr>
            <w:r w:rsidRPr="0062122B">
              <w:rPr>
                <w:b/>
                <w:bCs/>
              </w:rPr>
              <w:t>Date Approved</w:t>
            </w:r>
          </w:p>
        </w:tc>
        <w:tc>
          <w:tcPr>
            <w:tcW w:w="2610" w:type="dxa"/>
          </w:tcPr>
          <w:p w14:paraId="486496FC" w14:textId="77777777" w:rsidR="003300B3" w:rsidRPr="0062122B" w:rsidRDefault="003300B3" w:rsidP="00720F28">
            <w:pPr>
              <w:jc w:val="center"/>
              <w:rPr>
                <w:b/>
                <w:bCs/>
              </w:rPr>
            </w:pPr>
            <w:r w:rsidRPr="0062122B">
              <w:rPr>
                <w:b/>
                <w:bCs/>
              </w:rPr>
              <w:t>Approved By</w:t>
            </w:r>
          </w:p>
        </w:tc>
        <w:tc>
          <w:tcPr>
            <w:tcW w:w="4680" w:type="dxa"/>
          </w:tcPr>
          <w:p w14:paraId="560129D9" w14:textId="77777777" w:rsidR="003300B3" w:rsidRPr="0062122B" w:rsidRDefault="003300B3" w:rsidP="00720F28">
            <w:pPr>
              <w:jc w:val="center"/>
              <w:rPr>
                <w:b/>
                <w:bCs/>
              </w:rPr>
            </w:pPr>
            <w:r w:rsidRPr="0062122B">
              <w:rPr>
                <w:b/>
                <w:bCs/>
              </w:rPr>
              <w:t>List of Approved</w:t>
            </w:r>
            <w:r>
              <w:rPr>
                <w:b/>
                <w:bCs/>
              </w:rPr>
              <w:t xml:space="preserve"> Amendments / Review</w:t>
            </w:r>
          </w:p>
        </w:tc>
      </w:tr>
      <w:tr w:rsidR="003300B3" w14:paraId="21E1749A" w14:textId="77777777" w:rsidTr="00E35732">
        <w:tc>
          <w:tcPr>
            <w:tcW w:w="2065" w:type="dxa"/>
          </w:tcPr>
          <w:p w14:paraId="2EDDF981" w14:textId="72845B59" w:rsidR="003300B3" w:rsidRDefault="00FD024D" w:rsidP="00720F28">
            <w:r>
              <w:t>June 2019</w:t>
            </w:r>
          </w:p>
        </w:tc>
        <w:tc>
          <w:tcPr>
            <w:tcW w:w="2610" w:type="dxa"/>
          </w:tcPr>
          <w:p w14:paraId="14B993AC" w14:textId="75594CA6" w:rsidR="003300B3" w:rsidRDefault="00FD024D" w:rsidP="00720F28">
            <w:r>
              <w:t>SMT</w:t>
            </w:r>
          </w:p>
        </w:tc>
        <w:tc>
          <w:tcPr>
            <w:tcW w:w="4680" w:type="dxa"/>
          </w:tcPr>
          <w:p w14:paraId="2E62DDBD" w14:textId="05BE1F95" w:rsidR="003300B3" w:rsidRDefault="00FD024D" w:rsidP="00720F28">
            <w:r>
              <w:t>NEW</w:t>
            </w:r>
          </w:p>
        </w:tc>
      </w:tr>
      <w:tr w:rsidR="00E35732" w14:paraId="20160D69" w14:textId="77777777" w:rsidTr="00E35732">
        <w:tc>
          <w:tcPr>
            <w:tcW w:w="2065" w:type="dxa"/>
          </w:tcPr>
          <w:p w14:paraId="0692F574" w14:textId="564B2DD3" w:rsidR="00E35732" w:rsidRDefault="00E35732" w:rsidP="00720F28">
            <w:r>
              <w:t>October 22, 2024</w:t>
            </w:r>
          </w:p>
        </w:tc>
        <w:tc>
          <w:tcPr>
            <w:tcW w:w="2610" w:type="dxa"/>
          </w:tcPr>
          <w:p w14:paraId="4EDF09F4" w14:textId="01E85822" w:rsidR="00E35732" w:rsidRDefault="00E35732" w:rsidP="00720F28">
            <w:r>
              <w:t>SMT</w:t>
            </w:r>
          </w:p>
        </w:tc>
        <w:tc>
          <w:tcPr>
            <w:tcW w:w="4680" w:type="dxa"/>
          </w:tcPr>
          <w:p w14:paraId="5D8DB2ED" w14:textId="68AF0E24" w:rsidR="00E35732" w:rsidRDefault="00E35732" w:rsidP="00720F28">
            <w:r>
              <w:t>Updated to current formatting. Substantive changes.</w:t>
            </w:r>
          </w:p>
        </w:tc>
      </w:tr>
    </w:tbl>
    <w:p w14:paraId="5DDA15E7" w14:textId="77777777" w:rsidR="002F0168" w:rsidRPr="007C3E8F" w:rsidRDefault="002F0168"/>
    <w:sectPr w:rsidR="002F0168" w:rsidRPr="007C3E8F" w:rsidSect="0099514D">
      <w:footerReference w:type="default" r:id="rId10"/>
      <w:headerReference w:type="first" r:id="rId11"/>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4A16B" w14:textId="77777777" w:rsidR="000B1479" w:rsidRDefault="000B1479" w:rsidP="005E7A7C">
      <w:r>
        <w:separator/>
      </w:r>
    </w:p>
  </w:endnote>
  <w:endnote w:type="continuationSeparator" w:id="0">
    <w:p w14:paraId="31F1DD01" w14:textId="77777777" w:rsidR="000B1479" w:rsidRDefault="000B1479" w:rsidP="005E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38F9" w14:textId="393F71E2" w:rsidR="00D96D72" w:rsidRDefault="00471604" w:rsidP="00D96D72">
    <w:pPr>
      <w:spacing w:line="204" w:lineRule="exact"/>
      <w:ind w:left="20"/>
      <w:rPr>
        <w:b/>
        <w:i/>
        <w:sz w:val="18"/>
      </w:rPr>
    </w:pPr>
    <w:r w:rsidRPr="0099514D">
      <w:rPr>
        <w:b/>
        <w:bCs/>
        <w:sz w:val="18"/>
        <w:szCs w:val="18"/>
      </w:rPr>
      <w:t xml:space="preserve">College Operating Procedure </w:t>
    </w:r>
    <w:r w:rsidR="0099514D" w:rsidRPr="0099514D">
      <w:rPr>
        <w:b/>
        <w:bCs/>
        <w:sz w:val="18"/>
        <w:szCs w:val="18"/>
      </w:rPr>
      <w:t>#</w:t>
    </w:r>
    <w:r w:rsidR="00135B3A">
      <w:rPr>
        <w:b/>
        <w:bCs/>
        <w:sz w:val="18"/>
        <w:szCs w:val="18"/>
      </w:rPr>
      <w:t>2-213F Program of Instruction and College Credentials</w:t>
    </w:r>
  </w:p>
  <w:p w14:paraId="28C681E9" w14:textId="2A985BF8" w:rsidR="005E7A7C" w:rsidRDefault="005E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DED35" w14:textId="77777777" w:rsidR="000B1479" w:rsidRDefault="000B1479" w:rsidP="005E7A7C">
      <w:r>
        <w:separator/>
      </w:r>
    </w:p>
  </w:footnote>
  <w:footnote w:type="continuationSeparator" w:id="0">
    <w:p w14:paraId="77900659" w14:textId="77777777" w:rsidR="000B1479" w:rsidRDefault="000B1479" w:rsidP="005E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C4A6" w14:textId="736EF0DF" w:rsidR="00100DF6" w:rsidRDefault="00100DF6" w:rsidP="00FF3C4D">
    <w:pPr>
      <w:pStyle w:val="Header"/>
      <w:jc w:val="right"/>
    </w:pPr>
    <w:r>
      <w:rPr>
        <w:noProof/>
      </w:rPr>
      <w:drawing>
        <wp:inline distT="0" distB="0" distL="0" distR="0" wp14:anchorId="021B9214" wp14:editId="3D6349D5">
          <wp:extent cx="5162550" cy="794238"/>
          <wp:effectExtent l="0" t="0" r="0" b="6350"/>
          <wp:docPr id="4" name="Picture 4" descr="Flem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eming College"/>
                  <pic:cNvPicPr/>
                </pic:nvPicPr>
                <pic:blipFill>
                  <a:blip r:embed="rId1">
                    <a:extLst>
                      <a:ext uri="{28A0092B-C50C-407E-A947-70E740481C1C}">
                        <a14:useLocalDpi xmlns:a14="http://schemas.microsoft.com/office/drawing/2010/main" val="0"/>
                      </a:ext>
                    </a:extLst>
                  </a:blip>
                  <a:stretch>
                    <a:fillRect/>
                  </a:stretch>
                </pic:blipFill>
                <pic:spPr>
                  <a:xfrm>
                    <a:off x="0" y="0"/>
                    <a:ext cx="5201665" cy="80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51F8"/>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27F2"/>
    <w:multiLevelType w:val="multilevel"/>
    <w:tmpl w:val="5636B0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90353C"/>
    <w:multiLevelType w:val="multilevel"/>
    <w:tmpl w:val="BAC804E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F6F46"/>
    <w:multiLevelType w:val="multilevel"/>
    <w:tmpl w:val="F71698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27860"/>
    <w:multiLevelType w:val="hybridMultilevel"/>
    <w:tmpl w:val="85101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01894"/>
    <w:multiLevelType w:val="multilevel"/>
    <w:tmpl w:val="1EB45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B1293"/>
    <w:multiLevelType w:val="hybridMultilevel"/>
    <w:tmpl w:val="785A84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354717"/>
    <w:multiLevelType w:val="hybridMultilevel"/>
    <w:tmpl w:val="10E0C0AE"/>
    <w:lvl w:ilvl="0" w:tplc="0A9E91C0">
      <w:start w:val="1"/>
      <w:numFmt w:val="lowerLetter"/>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F471C"/>
    <w:multiLevelType w:val="hybridMultilevel"/>
    <w:tmpl w:val="36FCF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1031D8"/>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4F1BED"/>
    <w:multiLevelType w:val="hybridMultilevel"/>
    <w:tmpl w:val="008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E2F6A"/>
    <w:multiLevelType w:val="hybridMultilevel"/>
    <w:tmpl w:val="039CCEB8"/>
    <w:lvl w:ilvl="0" w:tplc="1794F88A">
      <w:start w:val="1"/>
      <w:numFmt w:val="lowerLetter"/>
      <w:lvlText w:val="%1)"/>
      <w:lvlJc w:val="left"/>
      <w:pPr>
        <w:ind w:left="1440" w:hanging="360"/>
      </w:pPr>
      <w:rPr>
        <w:rFonts w:ascii="Arial" w:eastAsia="Calibr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1B4515"/>
    <w:multiLevelType w:val="hybridMultilevel"/>
    <w:tmpl w:val="D0FCE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F35BC8"/>
    <w:multiLevelType w:val="hybridMultilevel"/>
    <w:tmpl w:val="0AC21D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738FC"/>
    <w:multiLevelType w:val="hybridMultilevel"/>
    <w:tmpl w:val="D6E6C4A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7067E0"/>
    <w:multiLevelType w:val="hybridMultilevel"/>
    <w:tmpl w:val="AFD03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326D5A"/>
    <w:multiLevelType w:val="hybridMultilevel"/>
    <w:tmpl w:val="AE36F3F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FB0CC8"/>
    <w:multiLevelType w:val="hybridMultilevel"/>
    <w:tmpl w:val="56902510"/>
    <w:lvl w:ilvl="0" w:tplc="EAD81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DB39B2"/>
    <w:multiLevelType w:val="hybridMultilevel"/>
    <w:tmpl w:val="641E42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8F20531"/>
    <w:multiLevelType w:val="hybridMultilevel"/>
    <w:tmpl w:val="EA2E8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9A4A1F"/>
    <w:multiLevelType w:val="hybridMultilevel"/>
    <w:tmpl w:val="FD6CC2B4"/>
    <w:lvl w:ilvl="0" w:tplc="FFFFFFFF">
      <w:start w:val="1"/>
      <w:numFmt w:val="lowerLetter"/>
      <w:lvlText w:val="%1)"/>
      <w:lvlJc w:val="left"/>
      <w:pPr>
        <w:ind w:left="720" w:hanging="360"/>
      </w:pPr>
      <w:rPr>
        <w:rFonts w:eastAsia="Aria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934FCF"/>
    <w:multiLevelType w:val="hybridMultilevel"/>
    <w:tmpl w:val="1C487A0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BB3E90"/>
    <w:multiLevelType w:val="hybridMultilevel"/>
    <w:tmpl w:val="A83464B6"/>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6F304FA4"/>
    <w:multiLevelType w:val="hybridMultilevel"/>
    <w:tmpl w:val="0748A7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5D6ACD"/>
    <w:multiLevelType w:val="hybridMultilevel"/>
    <w:tmpl w:val="F45047D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72B42753"/>
    <w:multiLevelType w:val="hybridMultilevel"/>
    <w:tmpl w:val="2DA6AF56"/>
    <w:lvl w:ilvl="0" w:tplc="13B67D84">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2C66289"/>
    <w:multiLevelType w:val="hybridMultilevel"/>
    <w:tmpl w:val="BF2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A424A"/>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D9473C"/>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32353"/>
    <w:multiLevelType w:val="multilevel"/>
    <w:tmpl w:val="2116D26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B6F14E0"/>
    <w:multiLevelType w:val="hybridMultilevel"/>
    <w:tmpl w:val="2DC4327C"/>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8328EB"/>
    <w:multiLevelType w:val="hybridMultilevel"/>
    <w:tmpl w:val="058636C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50478487">
    <w:abstractNumId w:val="26"/>
  </w:num>
  <w:num w:numId="2" w16cid:durableId="457987604">
    <w:abstractNumId w:val="22"/>
  </w:num>
  <w:num w:numId="3" w16cid:durableId="1568875427">
    <w:abstractNumId w:val="4"/>
  </w:num>
  <w:num w:numId="4" w16cid:durableId="1501238977">
    <w:abstractNumId w:val="28"/>
  </w:num>
  <w:num w:numId="5" w16cid:durableId="1167090565">
    <w:abstractNumId w:val="0"/>
  </w:num>
  <w:num w:numId="6" w16cid:durableId="2041662432">
    <w:abstractNumId w:val="30"/>
  </w:num>
  <w:num w:numId="7" w16cid:durableId="237324649">
    <w:abstractNumId w:val="24"/>
  </w:num>
  <w:num w:numId="8" w16cid:durableId="1450930765">
    <w:abstractNumId w:val="18"/>
  </w:num>
  <w:num w:numId="9" w16cid:durableId="951937428">
    <w:abstractNumId w:val="15"/>
  </w:num>
  <w:num w:numId="10" w16cid:durableId="1800101372">
    <w:abstractNumId w:val="12"/>
  </w:num>
  <w:num w:numId="11" w16cid:durableId="1870022220">
    <w:abstractNumId w:val="31"/>
  </w:num>
  <w:num w:numId="12" w16cid:durableId="13923205">
    <w:abstractNumId w:val="25"/>
  </w:num>
  <w:num w:numId="13" w16cid:durableId="1941529025">
    <w:abstractNumId w:val="23"/>
  </w:num>
  <w:num w:numId="14" w16cid:durableId="761485504">
    <w:abstractNumId w:val="16"/>
  </w:num>
  <w:num w:numId="15" w16cid:durableId="1933854264">
    <w:abstractNumId w:val="14"/>
  </w:num>
  <w:num w:numId="16" w16cid:durableId="97680240">
    <w:abstractNumId w:val="21"/>
  </w:num>
  <w:num w:numId="17" w16cid:durableId="1228803381">
    <w:abstractNumId w:val="6"/>
  </w:num>
  <w:num w:numId="18" w16cid:durableId="765465716">
    <w:abstractNumId w:val="11"/>
  </w:num>
  <w:num w:numId="19" w16cid:durableId="1601373537">
    <w:abstractNumId w:val="1"/>
  </w:num>
  <w:num w:numId="20" w16cid:durableId="1240824557">
    <w:abstractNumId w:val="5"/>
  </w:num>
  <w:num w:numId="21" w16cid:durableId="368649296">
    <w:abstractNumId w:val="13"/>
  </w:num>
  <w:num w:numId="22" w16cid:durableId="688070264">
    <w:abstractNumId w:val="2"/>
  </w:num>
  <w:num w:numId="23" w16cid:durableId="2015256107">
    <w:abstractNumId w:val="9"/>
  </w:num>
  <w:num w:numId="24" w16cid:durableId="181287805">
    <w:abstractNumId w:val="27"/>
  </w:num>
  <w:num w:numId="25" w16cid:durableId="876044070">
    <w:abstractNumId w:val="17"/>
  </w:num>
  <w:num w:numId="26" w16cid:durableId="1187985696">
    <w:abstractNumId w:val="8"/>
  </w:num>
  <w:num w:numId="27" w16cid:durableId="338583198">
    <w:abstractNumId w:val="3"/>
  </w:num>
  <w:num w:numId="28" w16cid:durableId="684787288">
    <w:abstractNumId w:val="7"/>
  </w:num>
  <w:num w:numId="29" w16cid:durableId="1312370617">
    <w:abstractNumId w:val="20"/>
  </w:num>
  <w:num w:numId="30" w16cid:durableId="1060597902">
    <w:abstractNumId w:val="10"/>
  </w:num>
  <w:num w:numId="31" w16cid:durableId="1301885602">
    <w:abstractNumId w:val="29"/>
  </w:num>
  <w:num w:numId="32" w16cid:durableId="16653537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68"/>
    <w:rsid w:val="00033B24"/>
    <w:rsid w:val="00040FEE"/>
    <w:rsid w:val="00050DAF"/>
    <w:rsid w:val="00051182"/>
    <w:rsid w:val="000B1479"/>
    <w:rsid w:val="00100DF6"/>
    <w:rsid w:val="0011757A"/>
    <w:rsid w:val="00135B3A"/>
    <w:rsid w:val="00137DA4"/>
    <w:rsid w:val="00145FD2"/>
    <w:rsid w:val="00150E37"/>
    <w:rsid w:val="00174356"/>
    <w:rsid w:val="001B57E0"/>
    <w:rsid w:val="001F32E7"/>
    <w:rsid w:val="00202289"/>
    <w:rsid w:val="002646E1"/>
    <w:rsid w:val="0027285F"/>
    <w:rsid w:val="002826A8"/>
    <w:rsid w:val="002F0168"/>
    <w:rsid w:val="003235C4"/>
    <w:rsid w:val="003300B3"/>
    <w:rsid w:val="00361616"/>
    <w:rsid w:val="00377E92"/>
    <w:rsid w:val="003A42AA"/>
    <w:rsid w:val="003F32D3"/>
    <w:rsid w:val="003F5985"/>
    <w:rsid w:val="00403322"/>
    <w:rsid w:val="00446925"/>
    <w:rsid w:val="00451A4B"/>
    <w:rsid w:val="004534D2"/>
    <w:rsid w:val="00464AAE"/>
    <w:rsid w:val="00471604"/>
    <w:rsid w:val="00473E5B"/>
    <w:rsid w:val="004835F0"/>
    <w:rsid w:val="004D3F45"/>
    <w:rsid w:val="00504F13"/>
    <w:rsid w:val="00533183"/>
    <w:rsid w:val="005345CB"/>
    <w:rsid w:val="00561D19"/>
    <w:rsid w:val="005D19C4"/>
    <w:rsid w:val="005E630E"/>
    <w:rsid w:val="005E7A7C"/>
    <w:rsid w:val="00613783"/>
    <w:rsid w:val="006178EA"/>
    <w:rsid w:val="006363EE"/>
    <w:rsid w:val="006B7D92"/>
    <w:rsid w:val="006C3741"/>
    <w:rsid w:val="006C5B07"/>
    <w:rsid w:val="006E0FE1"/>
    <w:rsid w:val="006F01BA"/>
    <w:rsid w:val="0070021B"/>
    <w:rsid w:val="00726178"/>
    <w:rsid w:val="007659F1"/>
    <w:rsid w:val="007756A2"/>
    <w:rsid w:val="00796512"/>
    <w:rsid w:val="007976F3"/>
    <w:rsid w:val="007C3E8F"/>
    <w:rsid w:val="007C6285"/>
    <w:rsid w:val="007E2469"/>
    <w:rsid w:val="00805FD8"/>
    <w:rsid w:val="00816FB3"/>
    <w:rsid w:val="00874D7A"/>
    <w:rsid w:val="008D38FD"/>
    <w:rsid w:val="008D5570"/>
    <w:rsid w:val="008E2EE6"/>
    <w:rsid w:val="00903B4A"/>
    <w:rsid w:val="009279C1"/>
    <w:rsid w:val="00935A29"/>
    <w:rsid w:val="00936FCD"/>
    <w:rsid w:val="0094157A"/>
    <w:rsid w:val="00967390"/>
    <w:rsid w:val="00973CB5"/>
    <w:rsid w:val="0098055B"/>
    <w:rsid w:val="0099514D"/>
    <w:rsid w:val="009B0225"/>
    <w:rsid w:val="009C416D"/>
    <w:rsid w:val="00A22991"/>
    <w:rsid w:val="00AB5EEB"/>
    <w:rsid w:val="00BC5C32"/>
    <w:rsid w:val="00BC5CEB"/>
    <w:rsid w:val="00C032BE"/>
    <w:rsid w:val="00C35951"/>
    <w:rsid w:val="00C3604A"/>
    <w:rsid w:val="00C44F06"/>
    <w:rsid w:val="00C7627E"/>
    <w:rsid w:val="00C8453B"/>
    <w:rsid w:val="00CC13FD"/>
    <w:rsid w:val="00D05882"/>
    <w:rsid w:val="00D80C3A"/>
    <w:rsid w:val="00D96D72"/>
    <w:rsid w:val="00DA1132"/>
    <w:rsid w:val="00DA4B97"/>
    <w:rsid w:val="00DE6377"/>
    <w:rsid w:val="00E160E8"/>
    <w:rsid w:val="00E16637"/>
    <w:rsid w:val="00E31939"/>
    <w:rsid w:val="00E35732"/>
    <w:rsid w:val="00E37284"/>
    <w:rsid w:val="00EA04FC"/>
    <w:rsid w:val="00EF2693"/>
    <w:rsid w:val="00F57531"/>
    <w:rsid w:val="00F74C33"/>
    <w:rsid w:val="00FD024D"/>
    <w:rsid w:val="00FE5B8A"/>
    <w:rsid w:val="00FF3C4D"/>
    <w:rsid w:val="00FF62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6A285"/>
  <w15:chartTrackingRefBased/>
  <w15:docId w15:val="{03B9E32B-3E0B-4EB1-9604-6F0B618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04"/>
    <w:pPr>
      <w:widowControl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168"/>
  </w:style>
  <w:style w:type="character" w:customStyle="1" w:styleId="BodyTextChar">
    <w:name w:val="Body Text Char"/>
    <w:basedOn w:val="DefaultParagraphFont"/>
    <w:link w:val="BodyText"/>
    <w:uiPriority w:val="1"/>
    <w:rsid w:val="002F0168"/>
    <w:rPr>
      <w:rFonts w:ascii="Arial" w:eastAsia="Arial" w:hAnsi="Arial" w:cs="Arial"/>
      <w:lang w:val="en-US"/>
    </w:rPr>
  </w:style>
  <w:style w:type="paragraph" w:customStyle="1" w:styleId="TableParagraph">
    <w:name w:val="Table Paragraph"/>
    <w:basedOn w:val="Normal"/>
    <w:uiPriority w:val="1"/>
    <w:qFormat/>
    <w:rsid w:val="002F0168"/>
    <w:pPr>
      <w:ind w:left="105"/>
    </w:pPr>
  </w:style>
  <w:style w:type="paragraph" w:styleId="ListParagraph">
    <w:name w:val="List Paragraph"/>
    <w:basedOn w:val="Normal"/>
    <w:uiPriority w:val="1"/>
    <w:qFormat/>
    <w:rsid w:val="002F0168"/>
    <w:pPr>
      <w:ind w:left="359" w:hanging="180"/>
    </w:pPr>
  </w:style>
  <w:style w:type="character" w:styleId="CommentReference">
    <w:name w:val="annotation reference"/>
    <w:basedOn w:val="DefaultParagraphFont"/>
    <w:uiPriority w:val="99"/>
    <w:semiHidden/>
    <w:unhideWhenUsed/>
    <w:rsid w:val="002F0168"/>
    <w:rPr>
      <w:sz w:val="16"/>
      <w:szCs w:val="16"/>
    </w:rPr>
  </w:style>
  <w:style w:type="paragraph" w:styleId="CommentText">
    <w:name w:val="annotation text"/>
    <w:basedOn w:val="Normal"/>
    <w:link w:val="CommentTextChar"/>
    <w:uiPriority w:val="99"/>
    <w:unhideWhenUsed/>
    <w:rsid w:val="002F0168"/>
    <w:rPr>
      <w:sz w:val="20"/>
      <w:szCs w:val="20"/>
    </w:rPr>
  </w:style>
  <w:style w:type="character" w:customStyle="1" w:styleId="CommentTextChar">
    <w:name w:val="Comment Text Char"/>
    <w:basedOn w:val="DefaultParagraphFont"/>
    <w:link w:val="CommentText"/>
    <w:uiPriority w:val="99"/>
    <w:rsid w:val="002F0168"/>
    <w:rPr>
      <w:rFonts w:ascii="Arial" w:eastAsia="Arial" w:hAnsi="Arial" w:cs="Arial"/>
      <w:sz w:val="20"/>
      <w:szCs w:val="20"/>
      <w:lang w:val="en-US"/>
    </w:rPr>
  </w:style>
  <w:style w:type="paragraph" w:styleId="NormalWeb">
    <w:name w:val="Normal (Web)"/>
    <w:basedOn w:val="Normal"/>
    <w:uiPriority w:val="99"/>
    <w:unhideWhenUsed/>
    <w:rsid w:val="002F0168"/>
    <w:pPr>
      <w:widowControl/>
      <w:spacing w:before="100" w:beforeAutospacing="1" w:after="100" w:afterAutospacing="1"/>
    </w:pPr>
    <w:rPr>
      <w:rFonts w:ascii="Times New Roman" w:eastAsiaTheme="minorHAnsi" w:hAnsi="Times New Roman" w:cs="Times New Roman"/>
      <w:sz w:val="20"/>
      <w:szCs w:val="20"/>
      <w:lang w:val="en-CA"/>
    </w:rPr>
  </w:style>
  <w:style w:type="table" w:styleId="TableGrid">
    <w:name w:val="Table Grid"/>
    <w:basedOn w:val="TableNormal"/>
    <w:uiPriority w:val="39"/>
    <w:rsid w:val="002F01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68"/>
    <w:rPr>
      <w:rFonts w:ascii="Segoe UI" w:eastAsia="Arial" w:hAnsi="Segoe UI" w:cs="Segoe UI"/>
      <w:sz w:val="18"/>
      <w:szCs w:val="18"/>
      <w:lang w:val="en-US"/>
    </w:rPr>
  </w:style>
  <w:style w:type="paragraph" w:customStyle="1" w:styleId="section-e">
    <w:name w:val="section-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e">
    <w:name w:val="paragraph-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F45"/>
    <w:rPr>
      <w:color w:val="0000FF"/>
      <w:u w:val="single"/>
    </w:rPr>
  </w:style>
  <w:style w:type="paragraph" w:styleId="Header">
    <w:name w:val="header"/>
    <w:basedOn w:val="Normal"/>
    <w:link w:val="HeaderChar"/>
    <w:uiPriority w:val="99"/>
    <w:unhideWhenUsed/>
    <w:rsid w:val="005E7A7C"/>
    <w:pPr>
      <w:tabs>
        <w:tab w:val="center" w:pos="4680"/>
        <w:tab w:val="right" w:pos="9360"/>
      </w:tabs>
    </w:pPr>
  </w:style>
  <w:style w:type="character" w:customStyle="1" w:styleId="HeaderChar">
    <w:name w:val="Header Char"/>
    <w:basedOn w:val="DefaultParagraphFont"/>
    <w:link w:val="Header"/>
    <w:uiPriority w:val="99"/>
    <w:rsid w:val="005E7A7C"/>
    <w:rPr>
      <w:rFonts w:ascii="Arial" w:eastAsia="Arial" w:hAnsi="Arial" w:cs="Arial"/>
      <w:lang w:val="en-US"/>
    </w:rPr>
  </w:style>
  <w:style w:type="paragraph" w:styleId="Footer">
    <w:name w:val="footer"/>
    <w:basedOn w:val="Normal"/>
    <w:link w:val="FooterChar"/>
    <w:uiPriority w:val="99"/>
    <w:unhideWhenUsed/>
    <w:rsid w:val="005E7A7C"/>
    <w:pPr>
      <w:tabs>
        <w:tab w:val="center" w:pos="4680"/>
        <w:tab w:val="right" w:pos="9360"/>
      </w:tabs>
    </w:pPr>
  </w:style>
  <w:style w:type="character" w:customStyle="1" w:styleId="FooterChar">
    <w:name w:val="Footer Char"/>
    <w:basedOn w:val="DefaultParagraphFont"/>
    <w:link w:val="Footer"/>
    <w:uiPriority w:val="99"/>
    <w:rsid w:val="005E7A7C"/>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5E630E"/>
    <w:rPr>
      <w:b/>
      <w:bCs/>
    </w:rPr>
  </w:style>
  <w:style w:type="character" w:customStyle="1" w:styleId="CommentSubjectChar">
    <w:name w:val="Comment Subject Char"/>
    <w:basedOn w:val="CommentTextChar"/>
    <w:link w:val="CommentSubject"/>
    <w:uiPriority w:val="99"/>
    <w:semiHidden/>
    <w:rsid w:val="005E630E"/>
    <w:rPr>
      <w:rFonts w:ascii="Arial" w:eastAsia="Arial" w:hAnsi="Arial" w:cs="Arial"/>
      <w:b/>
      <w:bCs/>
      <w:sz w:val="20"/>
      <w:szCs w:val="20"/>
      <w:lang w:val="en-US"/>
    </w:rPr>
  </w:style>
  <w:style w:type="table" w:styleId="TableGridLight">
    <w:name w:val="Grid Table Light"/>
    <w:basedOn w:val="TableNormal"/>
    <w:uiPriority w:val="40"/>
    <w:rsid w:val="007261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135B3A"/>
    <w:pPr>
      <w:spacing w:after="0" w:line="240" w:lineRule="auto"/>
    </w:pPr>
    <w:rPr>
      <w:rFonts w:ascii="Times New Roman" w:eastAsia="Times New Roman" w:hAnsi="Times New Roman" w:cs="Times New Roman"/>
      <w:color w:val="000000"/>
      <w:sz w:val="24"/>
      <w:szCs w:val="24"/>
      <w:lang w:val="en-US"/>
    </w:rPr>
  </w:style>
  <w:style w:type="character" w:customStyle="1" w:styleId="normaltextrun">
    <w:name w:val="normaltextrun"/>
    <w:basedOn w:val="DefaultParagraphFont"/>
    <w:rsid w:val="00135B3A"/>
  </w:style>
  <w:style w:type="character" w:customStyle="1" w:styleId="eop">
    <w:name w:val="eop"/>
    <w:basedOn w:val="DefaultParagraphFont"/>
    <w:rsid w:val="00135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553144E3E5141AB80530DC5118D03" ma:contentTypeVersion="12" ma:contentTypeDescription="Create a new document." ma:contentTypeScope="" ma:versionID="88e73864b670a3720c8e9446577244ea">
  <xsd:schema xmlns:xsd="http://www.w3.org/2001/XMLSchema" xmlns:xs="http://www.w3.org/2001/XMLSchema" xmlns:p="http://schemas.microsoft.com/office/2006/metadata/properties" xmlns:ns2="e942478a-bd65-495f-96da-df31ee20b1ad" xmlns:ns3="de5540b5-46e3-4610-b238-db7773fd5fbc" targetNamespace="http://schemas.microsoft.com/office/2006/metadata/properties" ma:root="true" ma:fieldsID="99108a6abcfeff284fba65260ad4ad18" ns2:_="" ns3:_="">
    <xsd:import namespace="e942478a-bd65-495f-96da-df31ee20b1ad"/>
    <xsd:import namespace="de5540b5-46e3-4610-b238-db7773fd5f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478a-bd65-495f-96da-df31ee20b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56efba-1ecb-47e9-9e4b-7518106d5b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5540b5-46e3-4610-b238-db7773fd5f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938c9e-0816-40ac-8728-ee231782f2a0}" ma:internalName="TaxCatchAll" ma:showField="CatchAllData" ma:web="de5540b5-46e3-4610-b238-db7773fd5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2478a-bd65-495f-96da-df31ee20b1ad">
      <Terms xmlns="http://schemas.microsoft.com/office/infopath/2007/PartnerControls"/>
    </lcf76f155ced4ddcb4097134ff3c332f>
    <TaxCatchAll xmlns="de5540b5-46e3-4610-b238-db7773fd5f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B8C22-421D-4C68-8C52-865B5D717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478a-bd65-495f-96da-df31ee20b1ad"/>
    <ds:schemaRef ds:uri="de5540b5-46e3-4610-b238-db7773fd5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AFD51-665C-4350-8CBA-44D98512DE6A}">
  <ds:schemaRefs>
    <ds:schemaRef ds:uri="http://schemas.microsoft.com/office/2006/metadata/properties"/>
    <ds:schemaRef ds:uri="http://schemas.microsoft.com/office/infopath/2007/PartnerControls"/>
    <ds:schemaRef ds:uri="e942478a-bd65-495f-96da-df31ee20b1ad"/>
    <ds:schemaRef ds:uri="de5540b5-46e3-4610-b238-db7773fd5fbc"/>
  </ds:schemaRefs>
</ds:datastoreItem>
</file>

<file path=customXml/itemProps3.xml><?xml version="1.0" encoding="utf-8"?>
<ds:datastoreItem xmlns:ds="http://schemas.openxmlformats.org/officeDocument/2006/customXml" ds:itemID="{93721A2D-516C-4B12-AD8E-1CA15A496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Shamess</dc:creator>
  <cp:keywords/>
  <dc:description/>
  <cp:lastModifiedBy>Vanessa Craig</cp:lastModifiedBy>
  <cp:revision>7</cp:revision>
  <cp:lastPrinted>2020-02-20T23:22:00Z</cp:lastPrinted>
  <dcterms:created xsi:type="dcterms:W3CDTF">2023-01-19T20:53:00Z</dcterms:created>
  <dcterms:modified xsi:type="dcterms:W3CDTF">2024-11-04T20:10:00Z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0x010100F0B553144E3E5141AB80530DC5118D03</vt:lpwstr>
  </property>
</Properties>
</file>