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2F48" w14:textId="6A15D471" w:rsidR="002F0168" w:rsidRPr="007C3E8F" w:rsidRDefault="002F0168" w:rsidP="002F0168">
      <w:pPr>
        <w:pStyle w:val="BodyText"/>
        <w:ind w:left="-142"/>
        <w:rPr>
          <w:b/>
        </w:rPr>
      </w:pPr>
      <w:r w:rsidRPr="007C3E8F">
        <w:rPr>
          <w:b/>
        </w:rPr>
        <w:t xml:space="preserve"> </w:t>
      </w:r>
    </w:p>
    <w:p w14:paraId="0D74D57F" w14:textId="77777777" w:rsidR="002F0168" w:rsidRPr="007C3E8F" w:rsidRDefault="002F0168" w:rsidP="002F0168">
      <w:pPr>
        <w:pStyle w:val="BodyText"/>
        <w:rPr>
          <w:b/>
        </w:rPr>
      </w:pPr>
    </w:p>
    <w:p w14:paraId="562F11D2" w14:textId="77777777" w:rsidR="002F0168" w:rsidRPr="007C3E8F" w:rsidRDefault="002F0168" w:rsidP="002F0168">
      <w:pPr>
        <w:pStyle w:val="BodyText"/>
        <w:ind w:left="-142"/>
        <w:rPr>
          <w:b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2F0168" w:rsidRPr="007C3E8F" w14:paraId="69ED5577" w14:textId="77777777" w:rsidTr="0047634B">
        <w:trPr>
          <w:trHeight w:val="283"/>
        </w:trPr>
        <w:tc>
          <w:tcPr>
            <w:tcW w:w="4820" w:type="dxa"/>
          </w:tcPr>
          <w:p w14:paraId="66CB9754" w14:textId="2630E779" w:rsidR="002F0168" w:rsidRPr="007C3E8F" w:rsidRDefault="004534D2" w:rsidP="0047634B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Procedure </w:t>
            </w:r>
            <w:r w:rsidR="002F0168" w:rsidRPr="007C3E8F">
              <w:rPr>
                <w:b/>
              </w:rPr>
              <w:t>Title:</w:t>
            </w:r>
          </w:p>
        </w:tc>
        <w:tc>
          <w:tcPr>
            <w:tcW w:w="4820" w:type="dxa"/>
          </w:tcPr>
          <w:p w14:paraId="2B795CE4" w14:textId="3C6B1187" w:rsidR="002F0168" w:rsidRPr="007C3E8F" w:rsidRDefault="004534D2" w:rsidP="0047634B">
            <w:pPr>
              <w:pStyle w:val="TableParagraph"/>
              <w:ind w:left="142"/>
            </w:pPr>
            <w:r>
              <w:t>Name of the Procedure</w:t>
            </w:r>
          </w:p>
        </w:tc>
      </w:tr>
      <w:tr w:rsidR="002F0168" w:rsidRPr="007C3E8F" w14:paraId="1B914D57" w14:textId="77777777" w:rsidTr="0047634B">
        <w:trPr>
          <w:trHeight w:val="314"/>
        </w:trPr>
        <w:tc>
          <w:tcPr>
            <w:tcW w:w="4820" w:type="dxa"/>
          </w:tcPr>
          <w:p w14:paraId="50F4B0BD" w14:textId="76AFA13C" w:rsidR="002F0168" w:rsidRPr="007C3E8F" w:rsidRDefault="004534D2" w:rsidP="0047634B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Procedure</w:t>
            </w:r>
            <w:r w:rsidR="002F0168" w:rsidRPr="007C3E8F">
              <w:rPr>
                <w:b/>
              </w:rPr>
              <w:t xml:space="preserve"> ID:</w:t>
            </w:r>
          </w:p>
        </w:tc>
        <w:tc>
          <w:tcPr>
            <w:tcW w:w="4820" w:type="dxa"/>
          </w:tcPr>
          <w:p w14:paraId="2377BF30" w14:textId="34CDDDE7" w:rsidR="004534D2" w:rsidRDefault="002F0168" w:rsidP="00F74C33">
            <w:pPr>
              <w:pStyle w:val="TableParagraph"/>
              <w:ind w:left="142"/>
            </w:pPr>
            <w:r w:rsidRPr="007C3E8F">
              <w:t>#</w:t>
            </w:r>
            <w:r w:rsidR="00F74C33">
              <w:t xml:space="preserve">OP </w:t>
            </w:r>
            <w:r w:rsidR="00E160E8">
              <w:t xml:space="preserve">X-XXX </w:t>
            </w:r>
            <w:r w:rsidR="004534D2">
              <w:t xml:space="preserve">– if there is only </w:t>
            </w:r>
            <w:r w:rsidR="004534D2" w:rsidRPr="004534D2">
              <w:rPr>
                <w:b/>
                <w:bCs/>
              </w:rPr>
              <w:t>one</w:t>
            </w:r>
            <w:r w:rsidR="004534D2">
              <w:t xml:space="preserve"> operating procedure</w:t>
            </w:r>
          </w:p>
          <w:p w14:paraId="6A5F823D" w14:textId="4220C0C8" w:rsidR="004534D2" w:rsidRDefault="004534D2" w:rsidP="004534D2">
            <w:pPr>
              <w:pStyle w:val="TableParagraph"/>
              <w:ind w:left="142"/>
            </w:pPr>
            <w:r>
              <w:t xml:space="preserve">#OP X-XXX </w:t>
            </w:r>
            <w:r w:rsidRPr="004534D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- </w:t>
            </w:r>
            <w:r>
              <w:t xml:space="preserve">if there is only </w:t>
            </w:r>
            <w:r w:rsidRPr="004534D2">
              <w:rPr>
                <w:b/>
                <w:bCs/>
              </w:rPr>
              <w:t>more than one</w:t>
            </w:r>
            <w:r>
              <w:t xml:space="preserve"> operating procedure</w:t>
            </w:r>
            <w:r w:rsidR="0098055B">
              <w:t xml:space="preserve">, use </w:t>
            </w:r>
            <w:r w:rsidR="0098055B" w:rsidRPr="0098055B">
              <w:rPr>
                <w:b/>
                <w:bCs/>
              </w:rPr>
              <w:t>A, B, C, D</w:t>
            </w:r>
            <w:r w:rsidR="0098055B">
              <w:t xml:space="preserve"> </w:t>
            </w:r>
            <w:proofErr w:type="spellStart"/>
            <w:r w:rsidR="0098055B">
              <w:t>etc</w:t>
            </w:r>
            <w:proofErr w:type="spellEnd"/>
            <w:r w:rsidR="0098055B">
              <w:t xml:space="preserve"> sequentially as required for each procedure</w:t>
            </w:r>
          </w:p>
          <w:p w14:paraId="562D1BD3" w14:textId="26E439C6" w:rsidR="002F0168" w:rsidRPr="0098055B" w:rsidRDefault="006178EA" w:rsidP="004534D2">
            <w:pPr>
              <w:pStyle w:val="TableParagraph"/>
              <w:ind w:left="135"/>
            </w:pPr>
            <w:r>
              <w:t xml:space="preserve">NOTE: </w:t>
            </w:r>
            <w:r w:rsidR="00E160E8" w:rsidRPr="0098055B">
              <w:t>Procedure</w:t>
            </w:r>
            <w:r w:rsidR="0098055B">
              <w:t xml:space="preserve"> ID numbers </w:t>
            </w:r>
            <w:r w:rsidR="0098055B" w:rsidRPr="0098055B">
              <w:rPr>
                <w:b/>
                <w:bCs/>
              </w:rPr>
              <w:t>“X-XXX</w:t>
            </w:r>
            <w:r w:rsidR="0098055B">
              <w:rPr>
                <w:b/>
                <w:bCs/>
              </w:rPr>
              <w:t>”</w:t>
            </w:r>
            <w:r w:rsidR="0098055B" w:rsidRPr="0098055B">
              <w:t xml:space="preserve"> </w:t>
            </w:r>
            <w:r w:rsidR="004534D2" w:rsidRPr="0098055B">
              <w:t xml:space="preserve">are </w:t>
            </w:r>
            <w:r w:rsidR="00E160E8" w:rsidRPr="0098055B">
              <w:t>the same as the</w:t>
            </w:r>
            <w:r w:rsidR="0098055B">
              <w:t xml:space="preserve"> affiliated </w:t>
            </w:r>
            <w:r w:rsidR="004534D2" w:rsidRPr="0098055B">
              <w:t>policy</w:t>
            </w:r>
            <w:r w:rsidR="0098055B" w:rsidRPr="0098055B">
              <w:t xml:space="preserve">. </w:t>
            </w:r>
            <w:r w:rsidR="0098055B">
              <w:t>If no overarching policy exists contact the College Policy Coordinator</w:t>
            </w:r>
          </w:p>
        </w:tc>
      </w:tr>
      <w:tr w:rsidR="002F0168" w:rsidRPr="007C3E8F" w14:paraId="35F880E1" w14:textId="77777777" w:rsidTr="0047634B">
        <w:trPr>
          <w:trHeight w:val="283"/>
        </w:trPr>
        <w:tc>
          <w:tcPr>
            <w:tcW w:w="4820" w:type="dxa"/>
          </w:tcPr>
          <w:p w14:paraId="3050B45C" w14:textId="77777777" w:rsidR="002F0168" w:rsidRPr="007C3E8F" w:rsidRDefault="002F0168" w:rsidP="0047634B">
            <w:pPr>
              <w:pStyle w:val="TableParagraph"/>
              <w:ind w:left="0"/>
              <w:rPr>
                <w:b/>
              </w:rPr>
            </w:pPr>
            <w:r w:rsidRPr="007C3E8F">
              <w:rPr>
                <w:b/>
              </w:rPr>
              <w:t>Manual Classification:</w:t>
            </w:r>
          </w:p>
        </w:tc>
        <w:tc>
          <w:tcPr>
            <w:tcW w:w="4820" w:type="dxa"/>
          </w:tcPr>
          <w:p w14:paraId="2323F847" w14:textId="5DE1B67F" w:rsidR="002F0168" w:rsidRPr="007C3E8F" w:rsidRDefault="002F0168" w:rsidP="0047634B">
            <w:pPr>
              <w:pStyle w:val="TableParagraph"/>
              <w:ind w:left="142"/>
            </w:pPr>
            <w:r w:rsidRPr="007C3E8F">
              <w:t xml:space="preserve">Section </w:t>
            </w:r>
            <w:r w:rsidR="00E160E8">
              <w:t>X – Section Name</w:t>
            </w:r>
            <w:r w:rsidR="004534D2">
              <w:t xml:space="preserve"> (i.e. Section 1 – College Policies)</w:t>
            </w:r>
            <w:r w:rsidR="00473E5B">
              <w:t xml:space="preserve"> If unsure contact the College Policy Coordinator</w:t>
            </w:r>
          </w:p>
        </w:tc>
      </w:tr>
      <w:tr w:rsidR="002F0168" w:rsidRPr="007C3E8F" w14:paraId="73E1EF98" w14:textId="77777777" w:rsidTr="0047634B">
        <w:trPr>
          <w:trHeight w:val="283"/>
        </w:trPr>
        <w:tc>
          <w:tcPr>
            <w:tcW w:w="4820" w:type="dxa"/>
          </w:tcPr>
          <w:p w14:paraId="1974FD59" w14:textId="77777777" w:rsidR="002F0168" w:rsidRPr="007C3E8F" w:rsidRDefault="00DE6377" w:rsidP="00DE6377">
            <w:pPr>
              <w:pStyle w:val="TableParagraph"/>
              <w:ind w:left="0"/>
              <w:rPr>
                <w:b/>
              </w:rPr>
            </w:pPr>
            <w:r w:rsidRPr="007C3E8F">
              <w:rPr>
                <w:b/>
              </w:rPr>
              <w:t>Linked to Policy:</w:t>
            </w:r>
          </w:p>
        </w:tc>
        <w:tc>
          <w:tcPr>
            <w:tcW w:w="4820" w:type="dxa"/>
          </w:tcPr>
          <w:p w14:paraId="38280F5B" w14:textId="77823D5E" w:rsidR="002F0168" w:rsidRPr="007C3E8F" w:rsidRDefault="004534D2" w:rsidP="0047634B">
            <w:pPr>
              <w:pStyle w:val="TableParagraph"/>
              <w:ind w:left="142"/>
            </w:pPr>
            <w:r>
              <w:t xml:space="preserve">If Yes includes the Policy # </w:t>
            </w:r>
            <w:r w:rsidR="0098055B" w:rsidRPr="0098055B">
              <w:rPr>
                <w:b/>
                <w:bCs/>
              </w:rPr>
              <w:t>X-XXX</w:t>
            </w:r>
            <w:r w:rsidR="0098055B">
              <w:rPr>
                <w:b/>
                <w:bCs/>
              </w:rPr>
              <w:t>”</w:t>
            </w:r>
            <w:r w:rsidR="0098055B" w:rsidRPr="0098055B">
              <w:t xml:space="preserve"> </w:t>
            </w:r>
            <w:r>
              <w:t xml:space="preserve">and </w:t>
            </w:r>
            <w:r w:rsidR="00137DA4">
              <w:t>Policy n</w:t>
            </w:r>
            <w:r>
              <w:t>ame</w:t>
            </w:r>
            <w:r w:rsidR="00473E5B">
              <w:t>. If No, N/A</w:t>
            </w:r>
          </w:p>
        </w:tc>
      </w:tr>
      <w:tr w:rsidR="002F0168" w:rsidRPr="007C3E8F" w14:paraId="12691A07" w14:textId="77777777" w:rsidTr="0047634B">
        <w:trPr>
          <w:trHeight w:val="283"/>
        </w:trPr>
        <w:tc>
          <w:tcPr>
            <w:tcW w:w="4820" w:type="dxa"/>
          </w:tcPr>
          <w:p w14:paraId="3DB19CBF" w14:textId="046FDA6E" w:rsidR="002F0168" w:rsidRPr="007C3E8F" w:rsidRDefault="002F0168" w:rsidP="0047634B">
            <w:pPr>
              <w:pStyle w:val="TableParagraph"/>
              <w:ind w:left="0"/>
              <w:rPr>
                <w:b/>
              </w:rPr>
            </w:pPr>
            <w:r w:rsidRPr="007C3E8F">
              <w:rPr>
                <w:b/>
              </w:rPr>
              <w:t>Approved by</w:t>
            </w:r>
            <w:r w:rsidR="006178EA">
              <w:rPr>
                <w:b/>
              </w:rPr>
              <w:t xml:space="preserve"> Senior Management Team</w:t>
            </w:r>
            <w:r w:rsidRPr="007C3E8F">
              <w:rPr>
                <w:b/>
              </w:rPr>
              <w:t>:</w:t>
            </w:r>
          </w:p>
        </w:tc>
        <w:tc>
          <w:tcPr>
            <w:tcW w:w="4820" w:type="dxa"/>
          </w:tcPr>
          <w:p w14:paraId="61D70F0C" w14:textId="77603D68" w:rsidR="002F0168" w:rsidRPr="007C3E8F" w:rsidRDefault="004534D2" w:rsidP="0047634B">
            <w:pPr>
              <w:pStyle w:val="TableParagraph"/>
              <w:ind w:left="142"/>
            </w:pPr>
            <w:r>
              <w:t xml:space="preserve">Date of </w:t>
            </w:r>
            <w:r w:rsidR="006178EA">
              <w:t xml:space="preserve">SMT approval </w:t>
            </w:r>
          </w:p>
        </w:tc>
      </w:tr>
      <w:tr w:rsidR="002F0168" w:rsidRPr="007C3E8F" w14:paraId="1B3B03D4" w14:textId="77777777" w:rsidTr="0047634B">
        <w:trPr>
          <w:trHeight w:val="283"/>
        </w:trPr>
        <w:tc>
          <w:tcPr>
            <w:tcW w:w="4820" w:type="dxa"/>
          </w:tcPr>
          <w:p w14:paraId="651829C6" w14:textId="77777777" w:rsidR="002F0168" w:rsidRPr="007C3E8F" w:rsidRDefault="002F0168" w:rsidP="0047634B">
            <w:pPr>
              <w:pStyle w:val="TableParagraph"/>
              <w:ind w:left="0"/>
              <w:rPr>
                <w:b/>
              </w:rPr>
            </w:pPr>
            <w:r w:rsidRPr="007C3E8F">
              <w:rPr>
                <w:b/>
              </w:rPr>
              <w:t>Revision Date(s):</w:t>
            </w:r>
          </w:p>
        </w:tc>
        <w:tc>
          <w:tcPr>
            <w:tcW w:w="4820" w:type="dxa"/>
          </w:tcPr>
          <w:p w14:paraId="6B0789B6" w14:textId="1F3E7AED" w:rsidR="002F0168" w:rsidRPr="007C3E8F" w:rsidRDefault="004534D2" w:rsidP="0047634B">
            <w:pPr>
              <w:pStyle w:val="TableParagraph"/>
              <w:ind w:left="142"/>
            </w:pPr>
            <w:r>
              <w:t>List chronologically as applicable</w:t>
            </w:r>
          </w:p>
        </w:tc>
      </w:tr>
      <w:tr w:rsidR="002F0168" w:rsidRPr="007C3E8F" w14:paraId="503999D1" w14:textId="77777777" w:rsidTr="0047634B">
        <w:trPr>
          <w:trHeight w:val="283"/>
        </w:trPr>
        <w:tc>
          <w:tcPr>
            <w:tcW w:w="4820" w:type="dxa"/>
          </w:tcPr>
          <w:p w14:paraId="420EA778" w14:textId="77777777" w:rsidR="002F0168" w:rsidRPr="007C3E8F" w:rsidRDefault="002F0168" w:rsidP="0047634B">
            <w:pPr>
              <w:pStyle w:val="TableParagraph"/>
              <w:ind w:left="0"/>
              <w:rPr>
                <w:b/>
              </w:rPr>
            </w:pPr>
            <w:r w:rsidRPr="007C3E8F">
              <w:rPr>
                <w:b/>
              </w:rPr>
              <w:t>Effective Date:</w:t>
            </w:r>
          </w:p>
        </w:tc>
        <w:tc>
          <w:tcPr>
            <w:tcW w:w="4820" w:type="dxa"/>
          </w:tcPr>
          <w:p w14:paraId="473B7D10" w14:textId="620759B8" w:rsidR="002F0168" w:rsidRPr="007C3E8F" w:rsidRDefault="004534D2" w:rsidP="0047634B">
            <w:pPr>
              <w:pStyle w:val="TableParagraph"/>
              <w:ind w:left="142"/>
            </w:pPr>
            <w:r>
              <w:t>Must be on, or after, the date of approval</w:t>
            </w:r>
          </w:p>
        </w:tc>
      </w:tr>
      <w:tr w:rsidR="002F0168" w:rsidRPr="007C3E8F" w14:paraId="3BAEF6B7" w14:textId="77777777" w:rsidTr="0047634B">
        <w:trPr>
          <w:trHeight w:val="283"/>
        </w:trPr>
        <w:tc>
          <w:tcPr>
            <w:tcW w:w="4820" w:type="dxa"/>
          </w:tcPr>
          <w:p w14:paraId="4CCEB9F2" w14:textId="29C9B736" w:rsidR="002F0168" w:rsidRPr="007C3E8F" w:rsidRDefault="002F0168" w:rsidP="0047634B">
            <w:pPr>
              <w:pStyle w:val="TableParagraph"/>
              <w:ind w:left="0"/>
              <w:rPr>
                <w:b/>
              </w:rPr>
            </w:pPr>
            <w:r w:rsidRPr="007C3E8F">
              <w:rPr>
                <w:b/>
              </w:rPr>
              <w:t>Next Review Date:</w:t>
            </w:r>
          </w:p>
        </w:tc>
        <w:tc>
          <w:tcPr>
            <w:tcW w:w="4820" w:type="dxa"/>
          </w:tcPr>
          <w:p w14:paraId="31C05CA5" w14:textId="12F21D30" w:rsidR="002F0168" w:rsidRPr="007C3E8F" w:rsidRDefault="007C6285" w:rsidP="0047634B">
            <w:pPr>
              <w:pStyle w:val="TableParagraph"/>
              <w:ind w:left="142"/>
            </w:pPr>
            <w:r>
              <w:t>Should be the same date (or earlier) than the ‘attached’ policy)</w:t>
            </w:r>
          </w:p>
        </w:tc>
      </w:tr>
      <w:tr w:rsidR="00E160E8" w:rsidRPr="007C3E8F" w14:paraId="0BD0017C" w14:textId="77777777" w:rsidTr="0047634B">
        <w:trPr>
          <w:trHeight w:hRule="exact" w:val="926"/>
        </w:trPr>
        <w:tc>
          <w:tcPr>
            <w:tcW w:w="4820" w:type="dxa"/>
          </w:tcPr>
          <w:p w14:paraId="423B9CFA" w14:textId="3375D985" w:rsidR="00E160E8" w:rsidRPr="007C3E8F" w:rsidRDefault="00E160E8" w:rsidP="0047634B">
            <w:pPr>
              <w:pStyle w:val="TableParagraph"/>
              <w:ind w:left="0" w:right="820"/>
              <w:rPr>
                <w:b/>
              </w:rPr>
            </w:pPr>
            <w:r w:rsidRPr="007C3E8F">
              <w:rPr>
                <w:b/>
              </w:rPr>
              <w:t xml:space="preserve">Contacts for </w:t>
            </w:r>
            <w:r w:rsidR="006178EA">
              <w:rPr>
                <w:b/>
              </w:rPr>
              <w:t xml:space="preserve">Procedure </w:t>
            </w:r>
            <w:r w:rsidRPr="007C3E8F">
              <w:rPr>
                <w:b/>
              </w:rPr>
              <w:t>Interpretation:</w:t>
            </w:r>
          </w:p>
        </w:tc>
        <w:tc>
          <w:tcPr>
            <w:tcW w:w="4820" w:type="dxa"/>
          </w:tcPr>
          <w:p w14:paraId="3E16CD55" w14:textId="6D566D76" w:rsidR="00E160E8" w:rsidRPr="007C3E8F" w:rsidRDefault="007C6285" w:rsidP="0047634B">
            <w:pPr>
              <w:pStyle w:val="TableParagraph"/>
              <w:tabs>
                <w:tab w:val="left" w:pos="774"/>
              </w:tabs>
              <w:ind w:left="142"/>
            </w:pPr>
            <w:r>
              <w:t>May include additional individuals not listed on the ‘attached’ policy (</w:t>
            </w:r>
            <w:proofErr w:type="spellStart"/>
            <w:r>
              <w:t>ie</w:t>
            </w:r>
            <w:proofErr w:type="spellEnd"/>
            <w:r>
              <w:t xml:space="preserve">. Manager or director responsible for </w:t>
            </w:r>
            <w:r w:rsidR="00A22991">
              <w:t>day-to-day operations)</w:t>
            </w:r>
          </w:p>
        </w:tc>
      </w:tr>
    </w:tbl>
    <w:p w14:paraId="1CF7F083" w14:textId="66604AB2" w:rsidR="007C3E8F" w:rsidRPr="007C3E8F" w:rsidRDefault="007C3E8F" w:rsidP="002F0168">
      <w:pPr>
        <w:pStyle w:val="BodyText"/>
        <w:tabs>
          <w:tab w:val="left" w:pos="9356"/>
        </w:tabs>
        <w:ind w:right="4"/>
      </w:pPr>
    </w:p>
    <w:p w14:paraId="3F89C3AB" w14:textId="45B1CCC6" w:rsidR="002F0168" w:rsidRPr="007C3E8F" w:rsidRDefault="002F0168" w:rsidP="002F0168">
      <w:pPr>
        <w:pStyle w:val="BodyText"/>
        <w:pBdr>
          <w:bottom w:val="single" w:sz="12" w:space="1" w:color="auto"/>
        </w:pBdr>
        <w:tabs>
          <w:tab w:val="left" w:pos="9214"/>
          <w:tab w:val="left" w:pos="10046"/>
        </w:tabs>
        <w:ind w:right="4"/>
        <w:rPr>
          <w:b/>
        </w:rPr>
      </w:pPr>
      <w:r w:rsidRPr="007C3E8F">
        <w:rPr>
          <w:b/>
        </w:rPr>
        <w:t xml:space="preserve">1.0 </w:t>
      </w:r>
      <w:r w:rsidR="007C3E8F" w:rsidRPr="007C3E8F">
        <w:rPr>
          <w:b/>
        </w:rPr>
        <w:t xml:space="preserve">– </w:t>
      </w:r>
      <w:r w:rsidRPr="007C3E8F">
        <w:rPr>
          <w:b/>
        </w:rPr>
        <w:t xml:space="preserve">Purpose </w:t>
      </w:r>
    </w:p>
    <w:p w14:paraId="232453CF" w14:textId="77777777" w:rsidR="002F0168" w:rsidRPr="007C3E8F" w:rsidRDefault="002F0168" w:rsidP="002F0168">
      <w:pPr>
        <w:pStyle w:val="BodyText"/>
        <w:tabs>
          <w:tab w:val="left" w:pos="9214"/>
          <w:tab w:val="left" w:pos="10046"/>
        </w:tabs>
      </w:pPr>
    </w:p>
    <w:p w14:paraId="62D540C4" w14:textId="74DA6E3B" w:rsidR="00A22991" w:rsidRPr="00A22991" w:rsidRDefault="00A22991" w:rsidP="009B0225">
      <w:pPr>
        <w:pStyle w:val="BodyText"/>
        <w:tabs>
          <w:tab w:val="left" w:pos="9214"/>
          <w:tab w:val="left" w:pos="10046"/>
        </w:tabs>
        <w:ind w:right="4"/>
      </w:pPr>
      <w:r>
        <w:t xml:space="preserve">State </w:t>
      </w:r>
      <w:r>
        <w:rPr>
          <w:b/>
          <w:bCs/>
        </w:rPr>
        <w:t>why</w:t>
      </w:r>
      <w:r>
        <w:t xml:space="preserve"> this procedure exists – this will typically be similar/the same as the </w:t>
      </w:r>
      <w:r>
        <w:rPr>
          <w:b/>
          <w:bCs/>
        </w:rPr>
        <w:t>Purpose</w:t>
      </w:r>
      <w:r>
        <w:t xml:space="preserve"> for the ‘attached’ </w:t>
      </w:r>
      <w:r w:rsidR="00145FD2">
        <w:t xml:space="preserve">Policy. For example, you may wish to write a </w:t>
      </w:r>
      <w:r w:rsidR="00145FD2" w:rsidRPr="00137DA4">
        <w:rPr>
          <w:b/>
          <w:bCs/>
          <w:u w:val="single"/>
        </w:rPr>
        <w:t>brief</w:t>
      </w:r>
      <w:r w:rsidR="00145FD2" w:rsidRPr="00137DA4">
        <w:rPr>
          <w:b/>
          <w:bCs/>
        </w:rPr>
        <w:t xml:space="preserve"> </w:t>
      </w:r>
      <w:r w:rsidR="00145FD2">
        <w:t>paragraph that begins with the following prompt:</w:t>
      </w:r>
    </w:p>
    <w:p w14:paraId="04BE71A0" w14:textId="77777777" w:rsidR="00A22991" w:rsidRDefault="00A22991" w:rsidP="009B0225">
      <w:pPr>
        <w:pStyle w:val="BodyText"/>
        <w:tabs>
          <w:tab w:val="left" w:pos="9214"/>
          <w:tab w:val="left" w:pos="10046"/>
        </w:tabs>
        <w:ind w:right="4"/>
      </w:pPr>
    </w:p>
    <w:p w14:paraId="43AFFA20" w14:textId="423EF80A" w:rsidR="009B0225" w:rsidRPr="007C3E8F" w:rsidRDefault="009B0225" w:rsidP="009B0225">
      <w:pPr>
        <w:pStyle w:val="BodyText"/>
        <w:tabs>
          <w:tab w:val="left" w:pos="9214"/>
          <w:tab w:val="left" w:pos="10046"/>
        </w:tabs>
        <w:ind w:right="4"/>
      </w:pPr>
      <w:r w:rsidRPr="007C3E8F">
        <w:t>The purpose of this procedure (the “</w:t>
      </w:r>
      <w:r w:rsidRPr="007C3E8F">
        <w:rPr>
          <w:b/>
        </w:rPr>
        <w:t>Procedure</w:t>
      </w:r>
      <w:r w:rsidRPr="007C3E8F">
        <w:t>”) is to set out instructions for</w:t>
      </w:r>
      <w:r w:rsidR="00A22991">
        <w:t>…</w:t>
      </w:r>
    </w:p>
    <w:p w14:paraId="511B73DE" w14:textId="77777777" w:rsidR="009B0225" w:rsidRPr="007C3E8F" w:rsidRDefault="009B0225" w:rsidP="009B0225">
      <w:pPr>
        <w:pStyle w:val="BodyText"/>
        <w:tabs>
          <w:tab w:val="left" w:pos="9214"/>
          <w:tab w:val="left" w:pos="10046"/>
        </w:tabs>
        <w:ind w:right="4"/>
      </w:pPr>
    </w:p>
    <w:p w14:paraId="44055FED" w14:textId="30B2D2D1" w:rsidR="00145FD2" w:rsidRPr="00145FD2" w:rsidRDefault="00145FD2" w:rsidP="009B0225">
      <w:pPr>
        <w:pStyle w:val="BodyText"/>
        <w:tabs>
          <w:tab w:val="left" w:pos="9214"/>
          <w:tab w:val="left" w:pos="10046"/>
        </w:tabs>
      </w:pPr>
      <w:r>
        <w:t>You might also want to include the following clause/statement if there are terms used in the Procedure that may not be clear to someone who has not read the ‘attached’ Policy:</w:t>
      </w:r>
    </w:p>
    <w:p w14:paraId="69612F11" w14:textId="77777777" w:rsidR="00145FD2" w:rsidRDefault="00145FD2" w:rsidP="009B0225">
      <w:pPr>
        <w:pStyle w:val="BodyText"/>
        <w:tabs>
          <w:tab w:val="left" w:pos="9214"/>
          <w:tab w:val="left" w:pos="10046"/>
        </w:tabs>
      </w:pPr>
    </w:p>
    <w:p w14:paraId="2538E81D" w14:textId="1D3DDD58" w:rsidR="009B0225" w:rsidRPr="007C3E8F" w:rsidRDefault="00A22991" w:rsidP="009B0225">
      <w:pPr>
        <w:pStyle w:val="BodyText"/>
        <w:tabs>
          <w:tab w:val="left" w:pos="9214"/>
          <w:tab w:val="left" w:pos="10046"/>
        </w:tabs>
      </w:pPr>
      <w:r>
        <w:t>Terms</w:t>
      </w:r>
      <w:r w:rsidR="009B0225" w:rsidRPr="007C3E8F">
        <w:t xml:space="preserve"> not defined in this Procedure have the same meaning found in the College’s Access to Information and Protection of Privacy Policy. </w:t>
      </w:r>
    </w:p>
    <w:p w14:paraId="79095623" w14:textId="182C324C" w:rsidR="00207AFA" w:rsidRDefault="00504F13"/>
    <w:p w14:paraId="72924E0C" w14:textId="4637DF62" w:rsidR="00145FD2" w:rsidRPr="00145FD2" w:rsidRDefault="00145FD2">
      <w:pPr>
        <w:rPr>
          <w:b/>
          <w:bCs/>
        </w:rPr>
      </w:pPr>
      <w:r>
        <w:rPr>
          <w:b/>
          <w:bCs/>
        </w:rPr>
        <w:t xml:space="preserve">You may wish to include a Scope or Definitions section if either would differ from those found in the ‘attached’ Policy (whenever possible, Scope and Definitions should be consistent across </w:t>
      </w:r>
      <w:r w:rsidR="006363EE">
        <w:rPr>
          <w:b/>
          <w:bCs/>
        </w:rPr>
        <w:t>a Policy and all ‘attached’ Procedures).</w:t>
      </w:r>
    </w:p>
    <w:p w14:paraId="55A23010" w14:textId="61C7B22C" w:rsidR="007C3E8F" w:rsidRDefault="007C3E8F"/>
    <w:p w14:paraId="450B31B4" w14:textId="597E998F" w:rsidR="00137DA4" w:rsidRDefault="00137DA4"/>
    <w:p w14:paraId="68D5F49D" w14:textId="731619ED" w:rsidR="00137DA4" w:rsidRDefault="00137DA4"/>
    <w:p w14:paraId="31ED92B5" w14:textId="0221FC1B" w:rsidR="00137DA4" w:rsidRDefault="00137DA4"/>
    <w:p w14:paraId="6CD13CD2" w14:textId="77777777" w:rsidR="00137DA4" w:rsidRPr="007C3E8F" w:rsidRDefault="00137DA4"/>
    <w:p w14:paraId="763A66A9" w14:textId="25F6050D" w:rsidR="002F0168" w:rsidRPr="007C3E8F" w:rsidRDefault="002F0168" w:rsidP="002F0168">
      <w:pPr>
        <w:pStyle w:val="BodyText"/>
        <w:pBdr>
          <w:bottom w:val="single" w:sz="12" w:space="1" w:color="auto"/>
        </w:pBdr>
        <w:tabs>
          <w:tab w:val="left" w:pos="9214"/>
          <w:tab w:val="left" w:pos="10046"/>
        </w:tabs>
        <w:ind w:right="4"/>
        <w:rPr>
          <w:b/>
        </w:rPr>
      </w:pPr>
      <w:r w:rsidRPr="007C3E8F">
        <w:rPr>
          <w:b/>
        </w:rPr>
        <w:lastRenderedPageBreak/>
        <w:t xml:space="preserve">2.0 </w:t>
      </w:r>
      <w:r w:rsidR="009B0225" w:rsidRPr="007C3E8F">
        <w:rPr>
          <w:b/>
        </w:rPr>
        <w:t>–</w:t>
      </w:r>
      <w:r w:rsidRPr="007C3E8F">
        <w:rPr>
          <w:b/>
        </w:rPr>
        <w:t xml:space="preserve"> </w:t>
      </w:r>
      <w:r w:rsidR="00145FD2">
        <w:rPr>
          <w:b/>
        </w:rPr>
        <w:t>Procedure</w:t>
      </w:r>
    </w:p>
    <w:p w14:paraId="39815B9A" w14:textId="77777777" w:rsidR="002F0168" w:rsidRPr="007C3E8F" w:rsidRDefault="002F0168"/>
    <w:p w14:paraId="7DE144C1" w14:textId="4F298E8D" w:rsidR="00145FD2" w:rsidRPr="00145FD2" w:rsidRDefault="00145FD2" w:rsidP="00145FD2">
      <w:pPr>
        <w:widowControl/>
        <w:rPr>
          <w:rFonts w:eastAsia="Calibri"/>
          <w:b/>
          <w:lang w:val="en-CA"/>
        </w:rPr>
      </w:pPr>
      <w:r>
        <w:rPr>
          <w:rFonts w:eastAsia="Calibri"/>
          <w:b/>
          <w:lang w:val="en-CA"/>
        </w:rPr>
        <w:t>2</w:t>
      </w:r>
      <w:r w:rsidRPr="00145FD2">
        <w:rPr>
          <w:rFonts w:eastAsia="Calibri"/>
          <w:b/>
          <w:lang w:val="en-CA"/>
        </w:rPr>
        <w:t xml:space="preserve">.1 - Overview </w:t>
      </w:r>
    </w:p>
    <w:p w14:paraId="46179B25" w14:textId="64833243" w:rsidR="00145FD2" w:rsidRPr="00145FD2" w:rsidRDefault="00145FD2" w:rsidP="00145FD2">
      <w:pPr>
        <w:widowControl/>
        <w:numPr>
          <w:ilvl w:val="0"/>
          <w:numId w:val="16"/>
        </w:numPr>
        <w:rPr>
          <w:rFonts w:eastAsia="Calibri"/>
          <w:lang w:val="en-CA"/>
        </w:rPr>
      </w:pPr>
      <w:r w:rsidRPr="00145FD2">
        <w:rPr>
          <w:rFonts w:eastAsia="Calibri"/>
          <w:lang w:val="en-CA"/>
        </w:rPr>
        <w:t xml:space="preserve">This is where you describe the relevant principles or ‘steps’ that the College will take to enact and fulfill the </w:t>
      </w:r>
      <w:r w:rsidRPr="00145FD2">
        <w:rPr>
          <w:rFonts w:eastAsia="Calibri"/>
          <w:b/>
          <w:bCs/>
          <w:lang w:val="en-CA"/>
        </w:rPr>
        <w:t>Purpose</w:t>
      </w:r>
      <w:r w:rsidRPr="00145FD2">
        <w:rPr>
          <w:rFonts w:eastAsia="Calibri"/>
          <w:lang w:val="en-CA"/>
        </w:rPr>
        <w:t xml:space="preserve"> of the </w:t>
      </w:r>
      <w:r>
        <w:rPr>
          <w:rFonts w:eastAsia="Calibri"/>
          <w:lang w:val="en-CA"/>
        </w:rPr>
        <w:t>Procedure</w:t>
      </w:r>
      <w:r w:rsidRPr="00145FD2">
        <w:rPr>
          <w:rFonts w:eastAsia="Calibri"/>
          <w:lang w:val="en-CA"/>
        </w:rPr>
        <w:t>.</w:t>
      </w:r>
    </w:p>
    <w:p w14:paraId="12A7BE2D" w14:textId="748109C9" w:rsidR="00145FD2" w:rsidRPr="00145FD2" w:rsidRDefault="00145FD2" w:rsidP="00145FD2">
      <w:pPr>
        <w:widowControl/>
        <w:numPr>
          <w:ilvl w:val="0"/>
          <w:numId w:val="16"/>
        </w:numPr>
        <w:rPr>
          <w:rFonts w:eastAsia="Calibri"/>
          <w:lang w:val="en-CA"/>
        </w:rPr>
      </w:pPr>
      <w:r w:rsidRPr="00145FD2">
        <w:rPr>
          <w:rFonts w:eastAsia="Calibri"/>
          <w:lang w:val="en-CA"/>
        </w:rPr>
        <w:t xml:space="preserve">Subsections of </w:t>
      </w:r>
      <w:r w:rsidR="00E31939">
        <w:rPr>
          <w:rFonts w:eastAsia="Calibri"/>
          <w:b/>
          <w:bCs/>
          <w:lang w:val="en-CA"/>
        </w:rPr>
        <w:t>2</w:t>
      </w:r>
      <w:r w:rsidRPr="00145FD2">
        <w:rPr>
          <w:rFonts w:eastAsia="Calibri"/>
          <w:b/>
          <w:bCs/>
          <w:lang w:val="en-CA"/>
        </w:rPr>
        <w:t>.0</w:t>
      </w:r>
      <w:r w:rsidRPr="00145FD2">
        <w:rPr>
          <w:rFonts w:eastAsia="Calibri"/>
          <w:lang w:val="en-CA"/>
        </w:rPr>
        <w:t xml:space="preserve"> are numbered sequentially </w:t>
      </w:r>
      <w:r w:rsidR="00E31939">
        <w:rPr>
          <w:rFonts w:eastAsia="Calibri"/>
          <w:b/>
          <w:bCs/>
          <w:lang w:val="en-CA"/>
        </w:rPr>
        <w:t>2</w:t>
      </w:r>
      <w:r w:rsidRPr="00145FD2">
        <w:rPr>
          <w:rFonts w:eastAsia="Calibri"/>
          <w:b/>
          <w:bCs/>
          <w:lang w:val="en-CA"/>
        </w:rPr>
        <w:t>.1</w:t>
      </w:r>
      <w:r w:rsidRPr="00145FD2">
        <w:rPr>
          <w:rFonts w:eastAsia="Calibri"/>
          <w:lang w:val="en-CA"/>
        </w:rPr>
        <w:t xml:space="preserve">, </w:t>
      </w:r>
      <w:r w:rsidR="00E31939">
        <w:rPr>
          <w:rFonts w:eastAsia="Calibri"/>
          <w:b/>
          <w:bCs/>
          <w:lang w:val="en-CA"/>
        </w:rPr>
        <w:t>2</w:t>
      </w:r>
      <w:r w:rsidRPr="00145FD2">
        <w:rPr>
          <w:rFonts w:eastAsia="Calibri"/>
          <w:b/>
          <w:bCs/>
          <w:lang w:val="en-CA"/>
        </w:rPr>
        <w:t>.2</w:t>
      </w:r>
      <w:r w:rsidRPr="00145FD2">
        <w:rPr>
          <w:rFonts w:eastAsia="Calibri"/>
          <w:lang w:val="en-CA"/>
        </w:rPr>
        <w:t xml:space="preserve">, etc. </w:t>
      </w:r>
    </w:p>
    <w:p w14:paraId="48376EC2" w14:textId="41822693" w:rsidR="00145FD2" w:rsidRDefault="00145FD2" w:rsidP="00145FD2">
      <w:pPr>
        <w:widowControl/>
        <w:numPr>
          <w:ilvl w:val="0"/>
          <w:numId w:val="16"/>
        </w:numPr>
        <w:rPr>
          <w:rFonts w:eastAsia="Calibri"/>
          <w:lang w:val="en-CA"/>
        </w:rPr>
      </w:pPr>
      <w:r w:rsidRPr="00145FD2">
        <w:rPr>
          <w:rFonts w:eastAsia="Calibri"/>
          <w:lang w:val="en-CA"/>
        </w:rPr>
        <w:t xml:space="preserve">Principles or ‘steps’ within subsections are listed alphabetically (as seen </w:t>
      </w:r>
      <w:r w:rsidR="004534D2">
        <w:rPr>
          <w:rFonts w:eastAsia="Calibri"/>
          <w:lang w:val="en-CA"/>
        </w:rPr>
        <w:t>in 2.1 example below)</w:t>
      </w:r>
    </w:p>
    <w:p w14:paraId="246E36D3" w14:textId="333A154B" w:rsidR="00E31939" w:rsidRDefault="00E31939" w:rsidP="00E31939">
      <w:pPr>
        <w:widowControl/>
        <w:rPr>
          <w:rFonts w:eastAsia="Calibri"/>
          <w:lang w:val="en-CA"/>
        </w:rPr>
      </w:pPr>
    </w:p>
    <w:p w14:paraId="4AA69D8D" w14:textId="679A627D" w:rsidR="00E31939" w:rsidRPr="00E31939" w:rsidRDefault="00E31939" w:rsidP="00E31939">
      <w:pPr>
        <w:pStyle w:val="ListParagraph"/>
        <w:widowControl/>
        <w:numPr>
          <w:ilvl w:val="1"/>
          <w:numId w:val="20"/>
        </w:numPr>
        <w:rPr>
          <w:rFonts w:eastAsiaTheme="minorHAnsi"/>
          <w:b/>
          <w:lang w:val="en-CA"/>
        </w:rPr>
      </w:pPr>
      <w:r w:rsidRPr="00E31939">
        <w:rPr>
          <w:rFonts w:eastAsiaTheme="minorHAnsi"/>
          <w:b/>
          <w:lang w:val="en-CA"/>
        </w:rPr>
        <w:t>– Subsection 2</w:t>
      </w:r>
    </w:p>
    <w:p w14:paraId="74F718D0" w14:textId="77777777" w:rsidR="00E31939" w:rsidRPr="00AB4CBD" w:rsidRDefault="00E31939" w:rsidP="00E31939">
      <w:pPr>
        <w:pStyle w:val="ListParagraph"/>
        <w:widowControl/>
        <w:numPr>
          <w:ilvl w:val="0"/>
          <w:numId w:val="17"/>
        </w:numPr>
        <w:rPr>
          <w:lang w:val="en-CA"/>
        </w:rPr>
      </w:pPr>
      <w:r>
        <w:rPr>
          <w:lang w:val="en-CA"/>
        </w:rPr>
        <w:t>If a principle or ‘step’ requires additional information (such as a list or sub-clauses that detail exceptions or limitations) then we use bullet points, as follows:</w:t>
      </w:r>
    </w:p>
    <w:p w14:paraId="467FE7A9" w14:textId="41F1B5E4" w:rsidR="00E31939" w:rsidRDefault="00E31939" w:rsidP="00E31939">
      <w:pPr>
        <w:pStyle w:val="ListParagraph"/>
        <w:widowControl/>
        <w:numPr>
          <w:ilvl w:val="0"/>
          <w:numId w:val="18"/>
        </w:numPr>
        <w:rPr>
          <w:rFonts w:eastAsiaTheme="minorHAnsi"/>
          <w:lang w:val="en-CA"/>
        </w:rPr>
      </w:pPr>
      <w:r>
        <w:rPr>
          <w:rFonts w:eastAsiaTheme="minorHAnsi"/>
          <w:lang w:val="en-CA"/>
        </w:rPr>
        <w:t xml:space="preserve">For example, maybe you need to clarify a common circumstance where </w:t>
      </w:r>
      <w:r>
        <w:rPr>
          <w:rFonts w:eastAsiaTheme="minorHAnsi"/>
          <w:b/>
          <w:bCs/>
          <w:lang w:val="en-CA"/>
        </w:rPr>
        <w:t>2.2</w:t>
      </w:r>
      <w:r>
        <w:rPr>
          <w:rFonts w:eastAsiaTheme="minorHAnsi"/>
          <w:lang w:val="en-CA"/>
        </w:rPr>
        <w:t xml:space="preserve"> </w:t>
      </w:r>
      <w:r>
        <w:rPr>
          <w:rFonts w:eastAsiaTheme="minorHAnsi"/>
          <w:b/>
          <w:bCs/>
          <w:lang w:val="en-CA"/>
        </w:rPr>
        <w:t xml:space="preserve">a </w:t>
      </w:r>
      <w:r>
        <w:rPr>
          <w:rFonts w:eastAsiaTheme="minorHAnsi"/>
          <w:lang w:val="en-CA"/>
        </w:rPr>
        <w:t xml:space="preserve"> may not apply;</w:t>
      </w:r>
    </w:p>
    <w:p w14:paraId="33E7213A" w14:textId="4E1110AA" w:rsidR="00E31939" w:rsidRPr="00F15B8E" w:rsidRDefault="00E31939" w:rsidP="00E31939">
      <w:pPr>
        <w:pStyle w:val="ListParagraph"/>
        <w:widowControl/>
        <w:numPr>
          <w:ilvl w:val="0"/>
          <w:numId w:val="18"/>
        </w:numPr>
        <w:rPr>
          <w:rFonts w:eastAsiaTheme="minorHAnsi"/>
          <w:lang w:val="en-CA"/>
        </w:rPr>
      </w:pPr>
      <w:r>
        <w:rPr>
          <w:rFonts w:eastAsiaTheme="minorHAnsi"/>
          <w:lang w:val="en-CA"/>
        </w:rPr>
        <w:t xml:space="preserve">Or, perhaps there are </w:t>
      </w:r>
      <w:r w:rsidR="00C44F06">
        <w:rPr>
          <w:rFonts w:eastAsiaTheme="minorHAnsi"/>
          <w:lang w:val="en-CA"/>
        </w:rPr>
        <w:t>several</w:t>
      </w:r>
      <w:r>
        <w:rPr>
          <w:rFonts w:eastAsiaTheme="minorHAnsi"/>
          <w:lang w:val="en-CA"/>
        </w:rPr>
        <w:t xml:space="preserve"> different ‘sub-steps’ that </w:t>
      </w:r>
      <w:r w:rsidR="00446925">
        <w:rPr>
          <w:rFonts w:eastAsiaTheme="minorHAnsi"/>
          <w:lang w:val="en-CA"/>
        </w:rPr>
        <w:t>would only be relevant</w:t>
      </w:r>
      <w:r>
        <w:rPr>
          <w:rFonts w:eastAsiaTheme="minorHAnsi"/>
          <w:lang w:val="en-CA"/>
        </w:rPr>
        <w:t xml:space="preserve"> in certain circumstances, that need to be detailed</w:t>
      </w:r>
    </w:p>
    <w:p w14:paraId="44397622" w14:textId="77777777" w:rsidR="007C3E8F" w:rsidRPr="007C3E8F" w:rsidRDefault="007C3E8F" w:rsidP="007C3E8F">
      <w:pPr>
        <w:pStyle w:val="ListParagraph"/>
        <w:widowControl/>
        <w:ind w:left="720" w:firstLine="0"/>
      </w:pPr>
    </w:p>
    <w:p w14:paraId="35A48921" w14:textId="77777777" w:rsidR="002F0168" w:rsidRPr="007C3E8F" w:rsidRDefault="002F0168" w:rsidP="002F0168">
      <w:pPr>
        <w:pStyle w:val="ListParagraph"/>
        <w:widowControl/>
        <w:ind w:left="0" w:firstLine="0"/>
      </w:pPr>
    </w:p>
    <w:p w14:paraId="042D7C87" w14:textId="401ED04C" w:rsidR="002F0168" w:rsidRPr="007C3E8F" w:rsidRDefault="006C5B07" w:rsidP="002F0168">
      <w:pPr>
        <w:pStyle w:val="BodyText"/>
        <w:pBdr>
          <w:bottom w:val="single" w:sz="12" w:space="1" w:color="auto"/>
        </w:pBdr>
        <w:tabs>
          <w:tab w:val="left" w:pos="9214"/>
          <w:tab w:val="left" w:pos="10046"/>
        </w:tabs>
        <w:ind w:right="4"/>
        <w:rPr>
          <w:b/>
        </w:rPr>
      </w:pPr>
      <w:r w:rsidRPr="007C3E8F">
        <w:rPr>
          <w:b/>
        </w:rPr>
        <w:t xml:space="preserve">3.0 – </w:t>
      </w:r>
      <w:r w:rsidR="00C44F06">
        <w:rPr>
          <w:b/>
        </w:rPr>
        <w:t>Additional Procedures (</w:t>
      </w:r>
      <w:r w:rsidR="00137DA4" w:rsidRPr="00137DA4">
        <w:rPr>
          <w:b/>
          <w:color w:val="FF0000"/>
        </w:rPr>
        <w:t>a</w:t>
      </w:r>
      <w:r w:rsidR="00C44F06" w:rsidRPr="00137DA4">
        <w:rPr>
          <w:b/>
          <w:color w:val="FF0000"/>
        </w:rPr>
        <w:t>s needed</w:t>
      </w:r>
      <w:r w:rsidR="00C44F06">
        <w:rPr>
          <w:b/>
        </w:rPr>
        <w:t>)</w:t>
      </w:r>
    </w:p>
    <w:p w14:paraId="600EE9BC" w14:textId="77777777" w:rsidR="002F0168" w:rsidRPr="007C3E8F" w:rsidRDefault="002F0168" w:rsidP="002F0168">
      <w:pPr>
        <w:pStyle w:val="ListParagraph"/>
        <w:widowControl/>
        <w:ind w:left="0" w:firstLine="0"/>
      </w:pPr>
    </w:p>
    <w:p w14:paraId="6969C01A" w14:textId="30DBE26A" w:rsidR="00C44F06" w:rsidRPr="00145FD2" w:rsidRDefault="0070021B" w:rsidP="00C44F06">
      <w:pPr>
        <w:widowControl/>
        <w:rPr>
          <w:rFonts w:eastAsia="Calibri"/>
          <w:b/>
          <w:lang w:val="en-CA"/>
        </w:rPr>
      </w:pPr>
      <w:r w:rsidRPr="007C3E8F">
        <w:t xml:space="preserve"> </w:t>
      </w:r>
      <w:r w:rsidR="00C44F06">
        <w:rPr>
          <w:rFonts w:eastAsia="Calibri"/>
          <w:b/>
          <w:lang w:val="en-CA"/>
        </w:rPr>
        <w:t>3</w:t>
      </w:r>
      <w:r w:rsidR="00C44F06" w:rsidRPr="00145FD2">
        <w:rPr>
          <w:rFonts w:eastAsia="Calibri"/>
          <w:b/>
          <w:lang w:val="en-CA"/>
        </w:rPr>
        <w:t xml:space="preserve">.1 - Overview </w:t>
      </w:r>
    </w:p>
    <w:p w14:paraId="1FF76C9F" w14:textId="190A146B" w:rsidR="00C44F06" w:rsidRDefault="00C44F06" w:rsidP="00C44F06">
      <w:pPr>
        <w:widowControl/>
        <w:numPr>
          <w:ilvl w:val="0"/>
          <w:numId w:val="21"/>
        </w:numPr>
        <w:rPr>
          <w:rFonts w:eastAsia="Calibri"/>
          <w:lang w:val="en-CA"/>
        </w:rPr>
      </w:pPr>
      <w:r>
        <w:rPr>
          <w:rFonts w:eastAsia="Calibri"/>
          <w:lang w:val="en-CA"/>
        </w:rPr>
        <w:t xml:space="preserve">Many College Procedures will involve multiple sections to detail </w:t>
      </w:r>
      <w:r w:rsidR="003F5985">
        <w:rPr>
          <w:rFonts w:eastAsia="Calibri"/>
          <w:lang w:val="en-CA"/>
        </w:rPr>
        <w:t xml:space="preserve">specific actions that the College will take. Whenever possible, it is preferable to include multiple sections in a single procedure rather than develop multiple, stand-alone procedures for each section. </w:t>
      </w:r>
    </w:p>
    <w:p w14:paraId="3D23F930" w14:textId="77777777" w:rsidR="007C3E8F" w:rsidRPr="007C3E8F" w:rsidRDefault="007C3E8F" w:rsidP="0070021B">
      <w:pPr>
        <w:widowControl/>
      </w:pPr>
    </w:p>
    <w:p w14:paraId="2FE6959A" w14:textId="77777777" w:rsidR="0070021B" w:rsidRPr="007C3E8F" w:rsidRDefault="0070021B"/>
    <w:p w14:paraId="744993E1" w14:textId="4272D637" w:rsidR="001B57E0" w:rsidRPr="007C3E8F" w:rsidRDefault="003F5985" w:rsidP="001B57E0">
      <w:pPr>
        <w:pStyle w:val="BodyText"/>
        <w:pBdr>
          <w:bottom w:val="single" w:sz="12" w:space="1" w:color="auto"/>
        </w:pBdr>
        <w:tabs>
          <w:tab w:val="left" w:pos="9214"/>
          <w:tab w:val="left" w:pos="10046"/>
        </w:tabs>
        <w:ind w:right="4"/>
        <w:rPr>
          <w:b/>
        </w:rPr>
      </w:pPr>
      <w:r>
        <w:rPr>
          <w:b/>
        </w:rPr>
        <w:t>4</w:t>
      </w:r>
      <w:r w:rsidR="001B57E0" w:rsidRPr="007C3E8F">
        <w:rPr>
          <w:b/>
        </w:rPr>
        <w:t>.0 – Related Documents</w:t>
      </w:r>
    </w:p>
    <w:p w14:paraId="6AA78B05" w14:textId="351B5C67" w:rsidR="001B57E0" w:rsidRDefault="001B57E0"/>
    <w:p w14:paraId="5BE07729" w14:textId="77777777" w:rsidR="003F5985" w:rsidRDefault="003F5985" w:rsidP="004534D2">
      <w:pPr>
        <w:widowControl/>
        <w:rPr>
          <w:rFonts w:eastAsiaTheme="minorHAnsi"/>
          <w:lang w:val="en-CA"/>
        </w:rPr>
      </w:pPr>
      <w:r>
        <w:rPr>
          <w:rFonts w:eastAsiaTheme="minorHAnsi"/>
          <w:lang w:val="en-CA"/>
        </w:rPr>
        <w:t>This is where you list, in order:</w:t>
      </w:r>
    </w:p>
    <w:p w14:paraId="4D4852FC" w14:textId="77777777" w:rsidR="003F5985" w:rsidRDefault="003F5985" w:rsidP="004534D2">
      <w:pPr>
        <w:widowControl/>
        <w:numPr>
          <w:ilvl w:val="1"/>
          <w:numId w:val="22"/>
        </w:numPr>
        <w:rPr>
          <w:rFonts w:eastAsiaTheme="minorHAnsi"/>
          <w:lang w:val="en-CA"/>
        </w:rPr>
      </w:pPr>
      <w:r>
        <w:rPr>
          <w:rFonts w:eastAsiaTheme="minorHAnsi"/>
          <w:lang w:val="en-CA"/>
        </w:rPr>
        <w:t>Relevant legislation,</w:t>
      </w:r>
    </w:p>
    <w:p w14:paraId="6AA46762" w14:textId="1794CD07" w:rsidR="003F5985" w:rsidRDefault="003F5985" w:rsidP="004534D2">
      <w:pPr>
        <w:widowControl/>
        <w:numPr>
          <w:ilvl w:val="1"/>
          <w:numId w:val="22"/>
        </w:numPr>
        <w:rPr>
          <w:rFonts w:eastAsiaTheme="minorHAnsi"/>
          <w:lang w:val="en-CA"/>
        </w:rPr>
      </w:pPr>
      <w:r>
        <w:rPr>
          <w:rFonts w:eastAsiaTheme="minorHAnsi"/>
          <w:lang w:val="en-CA"/>
        </w:rPr>
        <w:t>College Policies that are mentioned explicitly in this p</w:t>
      </w:r>
      <w:r w:rsidR="003235C4">
        <w:rPr>
          <w:rFonts w:eastAsiaTheme="minorHAnsi"/>
          <w:lang w:val="en-CA"/>
        </w:rPr>
        <w:t xml:space="preserve">rocedure </w:t>
      </w:r>
      <w:r>
        <w:rPr>
          <w:rFonts w:eastAsiaTheme="minorHAnsi"/>
          <w:lang w:val="en-CA"/>
        </w:rPr>
        <w:t xml:space="preserve">or that this </w:t>
      </w:r>
      <w:r w:rsidR="003235C4">
        <w:rPr>
          <w:rFonts w:eastAsiaTheme="minorHAnsi"/>
          <w:lang w:val="en-CA"/>
        </w:rPr>
        <w:t>procedure</w:t>
      </w:r>
      <w:r>
        <w:rPr>
          <w:rFonts w:eastAsiaTheme="minorHAnsi"/>
          <w:lang w:val="en-CA"/>
        </w:rPr>
        <w:t xml:space="preserve"> might ‘interact’ with,</w:t>
      </w:r>
    </w:p>
    <w:p w14:paraId="031AD09C" w14:textId="77777777" w:rsidR="003F5985" w:rsidRDefault="003F5985" w:rsidP="004534D2">
      <w:pPr>
        <w:widowControl/>
        <w:numPr>
          <w:ilvl w:val="1"/>
          <w:numId w:val="22"/>
        </w:numPr>
        <w:rPr>
          <w:rFonts w:eastAsiaTheme="minorHAnsi"/>
          <w:lang w:val="en-CA"/>
        </w:rPr>
      </w:pPr>
      <w:r>
        <w:rPr>
          <w:rFonts w:eastAsiaTheme="minorHAnsi"/>
          <w:lang w:val="en-CA"/>
        </w:rPr>
        <w:t>Operating Procedures that are mentioned explicitly in this policy or that this policy might ‘interact’ with (but that are not ‘attached’ to this policy)</w:t>
      </w:r>
    </w:p>
    <w:p w14:paraId="36C19889" w14:textId="77777777" w:rsidR="003F5985" w:rsidRDefault="003F5985" w:rsidP="004534D2">
      <w:pPr>
        <w:widowControl/>
        <w:numPr>
          <w:ilvl w:val="1"/>
          <w:numId w:val="22"/>
        </w:numPr>
        <w:rPr>
          <w:rFonts w:eastAsiaTheme="minorHAnsi"/>
          <w:lang w:val="en-CA"/>
        </w:rPr>
      </w:pPr>
      <w:r>
        <w:rPr>
          <w:rFonts w:eastAsiaTheme="minorHAnsi"/>
          <w:lang w:val="en-CA"/>
        </w:rPr>
        <w:t>Other documents, as appropriate (this can include forms and other publicly available documents)</w:t>
      </w:r>
    </w:p>
    <w:p w14:paraId="3C058B86" w14:textId="77777777" w:rsidR="003F5985" w:rsidRPr="00AB4CBD" w:rsidRDefault="003F5985" w:rsidP="004534D2">
      <w:pPr>
        <w:widowControl/>
        <w:numPr>
          <w:ilvl w:val="1"/>
          <w:numId w:val="22"/>
        </w:numPr>
        <w:rPr>
          <w:rFonts w:eastAsiaTheme="minorHAnsi"/>
          <w:lang w:val="en-CA"/>
        </w:rPr>
      </w:pPr>
      <w:r>
        <w:rPr>
          <w:rFonts w:eastAsiaTheme="minorHAnsi"/>
          <w:lang w:val="en-CA"/>
        </w:rPr>
        <w:t>Please DO NOT include hyperlinks</w:t>
      </w:r>
    </w:p>
    <w:p w14:paraId="75B4BB19" w14:textId="77777777" w:rsidR="003F5985" w:rsidRDefault="003F5985"/>
    <w:p w14:paraId="56F15F9F" w14:textId="77777777" w:rsidR="007C3E8F" w:rsidRPr="007C3E8F" w:rsidRDefault="007C3E8F"/>
    <w:p w14:paraId="763B5934" w14:textId="16CC4262" w:rsidR="002F0168" w:rsidRPr="007C3E8F" w:rsidRDefault="003F5985" w:rsidP="002F0168">
      <w:pPr>
        <w:pStyle w:val="BodyText"/>
        <w:pBdr>
          <w:bottom w:val="single" w:sz="12" w:space="1" w:color="auto"/>
        </w:pBdr>
        <w:tabs>
          <w:tab w:val="left" w:pos="9214"/>
          <w:tab w:val="left" w:pos="10046"/>
        </w:tabs>
        <w:ind w:right="4"/>
        <w:rPr>
          <w:b/>
        </w:rPr>
      </w:pPr>
      <w:r>
        <w:rPr>
          <w:b/>
        </w:rPr>
        <w:t>5</w:t>
      </w:r>
      <w:r w:rsidR="002F0168" w:rsidRPr="007C3E8F">
        <w:rPr>
          <w:b/>
        </w:rPr>
        <w:t>.0 – History of Amendments &amp; Reviews</w:t>
      </w:r>
    </w:p>
    <w:p w14:paraId="5012C7BE" w14:textId="1548AC71" w:rsidR="003F5985" w:rsidRPr="00244664" w:rsidRDefault="003F5985" w:rsidP="003F5985">
      <w:r>
        <w:t>If available, include a full list of amendments and/or reviews/revisions that were approved by the College</w:t>
      </w:r>
      <w:r w:rsidR="003235C4">
        <w:t>’s</w:t>
      </w:r>
      <w:r>
        <w:t xml:space="preserve"> Board of Governors and/or SMT.</w:t>
      </w:r>
    </w:p>
    <w:p w14:paraId="5DDA15E7" w14:textId="77777777" w:rsidR="002F0168" w:rsidRPr="007C3E8F" w:rsidRDefault="002F0168"/>
    <w:sectPr w:rsidR="002F0168" w:rsidRPr="007C3E8F" w:rsidSect="00100DF6">
      <w:footerReference w:type="default" r:id="rId7"/>
      <w:headerReference w:type="first" r:id="rId8"/>
      <w:pgSz w:w="12240" w:h="15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A064" w14:textId="77777777" w:rsidR="00504F13" w:rsidRDefault="00504F13" w:rsidP="005E7A7C">
      <w:r>
        <w:separator/>
      </w:r>
    </w:p>
  </w:endnote>
  <w:endnote w:type="continuationSeparator" w:id="0">
    <w:p w14:paraId="69EC54CE" w14:textId="77777777" w:rsidR="00504F13" w:rsidRDefault="00504F13" w:rsidP="005E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70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4D396" w14:textId="0A3DEC8B" w:rsidR="005E7A7C" w:rsidRDefault="005E7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5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681E9" w14:textId="77777777" w:rsidR="005E7A7C" w:rsidRDefault="005E7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2C98" w14:textId="77777777" w:rsidR="00504F13" w:rsidRDefault="00504F13" w:rsidP="005E7A7C">
      <w:r>
        <w:separator/>
      </w:r>
    </w:p>
  </w:footnote>
  <w:footnote w:type="continuationSeparator" w:id="0">
    <w:p w14:paraId="505DB166" w14:textId="77777777" w:rsidR="00504F13" w:rsidRDefault="00504F13" w:rsidP="005E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C4A6" w14:textId="736EF0DF" w:rsidR="00100DF6" w:rsidRDefault="00100DF6">
    <w:pPr>
      <w:pStyle w:val="Header"/>
    </w:pPr>
    <w:r>
      <w:rPr>
        <w:noProof/>
      </w:rPr>
      <w:drawing>
        <wp:inline distT="0" distB="0" distL="0" distR="0" wp14:anchorId="021B9214" wp14:editId="1D3D568A">
          <wp:extent cx="5943600" cy="914400"/>
          <wp:effectExtent l="0" t="0" r="0" b="0"/>
          <wp:docPr id="4" name="Picture 4" descr="Fleming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leming Colle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1F8"/>
    <w:multiLevelType w:val="hybridMultilevel"/>
    <w:tmpl w:val="F71CB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7F2"/>
    <w:multiLevelType w:val="multilevel"/>
    <w:tmpl w:val="5636B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790353C"/>
    <w:multiLevelType w:val="multilevel"/>
    <w:tmpl w:val="07D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F27860"/>
    <w:multiLevelType w:val="hybridMultilevel"/>
    <w:tmpl w:val="85101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1894"/>
    <w:multiLevelType w:val="multilevel"/>
    <w:tmpl w:val="1EB45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2B1293"/>
    <w:multiLevelType w:val="hybridMultilevel"/>
    <w:tmpl w:val="785A8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2F6A"/>
    <w:multiLevelType w:val="hybridMultilevel"/>
    <w:tmpl w:val="6E76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B4515"/>
    <w:multiLevelType w:val="hybridMultilevel"/>
    <w:tmpl w:val="D0FCE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35BC8"/>
    <w:multiLevelType w:val="hybridMultilevel"/>
    <w:tmpl w:val="0AC21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8FC"/>
    <w:multiLevelType w:val="hybridMultilevel"/>
    <w:tmpl w:val="D6E6C4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7067E0"/>
    <w:multiLevelType w:val="hybridMultilevel"/>
    <w:tmpl w:val="AFD03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326D5A"/>
    <w:multiLevelType w:val="hybridMultilevel"/>
    <w:tmpl w:val="AE36F3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B39B2"/>
    <w:multiLevelType w:val="hybridMultilevel"/>
    <w:tmpl w:val="641E42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34FCF"/>
    <w:multiLevelType w:val="hybridMultilevel"/>
    <w:tmpl w:val="0AC21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B3E90"/>
    <w:multiLevelType w:val="hybridMultilevel"/>
    <w:tmpl w:val="A8346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04FA4"/>
    <w:multiLevelType w:val="hybridMultilevel"/>
    <w:tmpl w:val="0748A7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D6ACD"/>
    <w:multiLevelType w:val="hybridMultilevel"/>
    <w:tmpl w:val="F45047D0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B42753"/>
    <w:multiLevelType w:val="hybridMultilevel"/>
    <w:tmpl w:val="2DA6AF56"/>
    <w:lvl w:ilvl="0" w:tplc="13B67D8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6289"/>
    <w:multiLevelType w:val="hybridMultilevel"/>
    <w:tmpl w:val="BF2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9473C"/>
    <w:multiLevelType w:val="hybridMultilevel"/>
    <w:tmpl w:val="F71CB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F14E0"/>
    <w:multiLevelType w:val="hybridMultilevel"/>
    <w:tmpl w:val="2DC4327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328EB"/>
    <w:multiLevelType w:val="hybridMultilevel"/>
    <w:tmpl w:val="058636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9"/>
  </w:num>
  <w:num w:numId="5">
    <w:abstractNumId w:val="0"/>
  </w:num>
  <w:num w:numId="6">
    <w:abstractNumId w:val="20"/>
  </w:num>
  <w:num w:numId="7">
    <w:abstractNumId w:val="16"/>
  </w:num>
  <w:num w:numId="8">
    <w:abstractNumId w:val="12"/>
  </w:num>
  <w:num w:numId="9">
    <w:abstractNumId w:val="10"/>
  </w:num>
  <w:num w:numId="10">
    <w:abstractNumId w:val="7"/>
  </w:num>
  <w:num w:numId="11">
    <w:abstractNumId w:val="21"/>
  </w:num>
  <w:num w:numId="12">
    <w:abstractNumId w:val="17"/>
  </w:num>
  <w:num w:numId="13">
    <w:abstractNumId w:val="15"/>
  </w:num>
  <w:num w:numId="14">
    <w:abstractNumId w:val="11"/>
  </w:num>
  <w:num w:numId="15">
    <w:abstractNumId w:val="9"/>
  </w:num>
  <w:num w:numId="16">
    <w:abstractNumId w:val="13"/>
  </w:num>
  <w:num w:numId="17">
    <w:abstractNumId w:val="5"/>
  </w:num>
  <w:num w:numId="18">
    <w:abstractNumId w:val="6"/>
  </w:num>
  <w:num w:numId="19">
    <w:abstractNumId w:val="1"/>
  </w:num>
  <w:num w:numId="20">
    <w:abstractNumId w:val="4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68"/>
    <w:rsid w:val="00050DAF"/>
    <w:rsid w:val="00051182"/>
    <w:rsid w:val="00100DF6"/>
    <w:rsid w:val="0011757A"/>
    <w:rsid w:val="00137DA4"/>
    <w:rsid w:val="00145FD2"/>
    <w:rsid w:val="001B57E0"/>
    <w:rsid w:val="002F0168"/>
    <w:rsid w:val="003235C4"/>
    <w:rsid w:val="003A42AA"/>
    <w:rsid w:val="003F32D3"/>
    <w:rsid w:val="003F5985"/>
    <w:rsid w:val="00403322"/>
    <w:rsid w:val="00446925"/>
    <w:rsid w:val="004534D2"/>
    <w:rsid w:val="00473E5B"/>
    <w:rsid w:val="004D3F45"/>
    <w:rsid w:val="00504F13"/>
    <w:rsid w:val="005345CB"/>
    <w:rsid w:val="00561D19"/>
    <w:rsid w:val="005E7A7C"/>
    <w:rsid w:val="006178EA"/>
    <w:rsid w:val="006363EE"/>
    <w:rsid w:val="006C5B07"/>
    <w:rsid w:val="0070021B"/>
    <w:rsid w:val="007C3E8F"/>
    <w:rsid w:val="007C6285"/>
    <w:rsid w:val="007E2469"/>
    <w:rsid w:val="00805FD8"/>
    <w:rsid w:val="00816FB3"/>
    <w:rsid w:val="008D38FD"/>
    <w:rsid w:val="008D5570"/>
    <w:rsid w:val="008E2EE6"/>
    <w:rsid w:val="00936FCD"/>
    <w:rsid w:val="0094157A"/>
    <w:rsid w:val="00967390"/>
    <w:rsid w:val="00973CB5"/>
    <w:rsid w:val="0098055B"/>
    <w:rsid w:val="009B0225"/>
    <w:rsid w:val="009C416D"/>
    <w:rsid w:val="00A22991"/>
    <w:rsid w:val="00AB5EEB"/>
    <w:rsid w:val="00BC5C32"/>
    <w:rsid w:val="00BC5CEB"/>
    <w:rsid w:val="00C44F06"/>
    <w:rsid w:val="00C7627E"/>
    <w:rsid w:val="00D05882"/>
    <w:rsid w:val="00D80C3A"/>
    <w:rsid w:val="00DA1132"/>
    <w:rsid w:val="00DE6377"/>
    <w:rsid w:val="00E160E8"/>
    <w:rsid w:val="00E31939"/>
    <w:rsid w:val="00E37284"/>
    <w:rsid w:val="00EA04FC"/>
    <w:rsid w:val="00EF2693"/>
    <w:rsid w:val="00F74C33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A285"/>
  <w15:chartTrackingRefBased/>
  <w15:docId w15:val="{03B9E32B-3E0B-4EB1-9604-6F0B618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6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0168"/>
  </w:style>
  <w:style w:type="character" w:customStyle="1" w:styleId="BodyTextChar">
    <w:name w:val="Body Text Char"/>
    <w:basedOn w:val="DefaultParagraphFont"/>
    <w:link w:val="BodyText"/>
    <w:uiPriority w:val="1"/>
    <w:rsid w:val="002F0168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F0168"/>
    <w:pPr>
      <w:ind w:left="105"/>
    </w:pPr>
  </w:style>
  <w:style w:type="paragraph" w:styleId="ListParagraph">
    <w:name w:val="List Paragraph"/>
    <w:basedOn w:val="Normal"/>
    <w:uiPriority w:val="1"/>
    <w:qFormat/>
    <w:rsid w:val="002F0168"/>
    <w:pPr>
      <w:ind w:left="359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2F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168"/>
    <w:rPr>
      <w:rFonts w:ascii="Arial" w:eastAsia="Arial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F0168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2F016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68"/>
    <w:rPr>
      <w:rFonts w:ascii="Segoe UI" w:eastAsia="Arial" w:hAnsi="Segoe UI" w:cs="Segoe UI"/>
      <w:sz w:val="18"/>
      <w:szCs w:val="18"/>
      <w:lang w:val="en-US"/>
    </w:rPr>
  </w:style>
  <w:style w:type="paragraph" w:customStyle="1" w:styleId="section-e">
    <w:name w:val="section-e"/>
    <w:basedOn w:val="Normal"/>
    <w:rsid w:val="00936F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e">
    <w:name w:val="paragraph-e"/>
    <w:basedOn w:val="Normal"/>
    <w:rsid w:val="00936F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F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7C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7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Shamess</dc:creator>
  <cp:keywords/>
  <dc:description/>
  <cp:lastModifiedBy>Luke Despatie</cp:lastModifiedBy>
  <cp:revision>5</cp:revision>
  <cp:lastPrinted>2020-02-20T23:22:00Z</cp:lastPrinted>
  <dcterms:created xsi:type="dcterms:W3CDTF">2021-02-09T14:00:00Z</dcterms:created>
  <dcterms:modified xsi:type="dcterms:W3CDTF">2021-07-13T19:11:00Z</dcterms:modified>
</cp:coreProperties>
</file>