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4BB2" w14:textId="77777777" w:rsidR="002B3D2D" w:rsidRDefault="002B3D2D" w:rsidP="002B3D2D">
      <w:pPr>
        <w:autoSpaceDE w:val="0"/>
        <w:autoSpaceDN w:val="0"/>
        <w:adjustRightInd w:val="0"/>
        <w:contextualSpacing/>
        <w:jc w:val="right"/>
        <w:rPr>
          <w:rFonts w:asciiTheme="minorHAnsi" w:eastAsia="Times New Roman" w:hAnsiTheme="minorHAnsi" w:cstheme="minorHAnsi"/>
          <w:b/>
        </w:rPr>
      </w:pPr>
      <w:r>
        <w:rPr>
          <w:rFonts w:asciiTheme="minorHAnsi" w:eastAsia="Times New Roman" w:hAnsiTheme="minorHAnsi" w:cstheme="minorHAnsi"/>
          <w:b/>
          <w:noProof/>
        </w:rPr>
        <w:drawing>
          <wp:anchor distT="0" distB="0" distL="114300" distR="114300" simplePos="0" relativeHeight="251658240" behindDoc="1" locked="0" layoutInCell="1" allowOverlap="1" wp14:anchorId="07BA4782" wp14:editId="1055E806">
            <wp:simplePos x="0" y="0"/>
            <wp:positionH relativeFrom="column">
              <wp:posOffset>3154957</wp:posOffset>
            </wp:positionH>
            <wp:positionV relativeFrom="paragraph">
              <wp:posOffset>-535305</wp:posOffset>
            </wp:positionV>
            <wp:extent cx="2584505" cy="571573"/>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b="33333"/>
                    <a:stretch/>
                  </pic:blipFill>
                  <pic:spPr bwMode="auto">
                    <a:xfrm>
                      <a:off x="0" y="0"/>
                      <a:ext cx="2584505" cy="5715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086A">
        <w:rPr>
          <w:rFonts w:asciiTheme="minorHAnsi" w:eastAsia="Times New Roman" w:hAnsiTheme="minorHAnsi" w:cstheme="minorHAnsi"/>
          <w:b/>
        </w:rPr>
        <w:t>*</w:t>
      </w:r>
    </w:p>
    <w:p w14:paraId="344ACB33" w14:textId="77777777" w:rsidR="002B3D2D" w:rsidRDefault="002B3D2D" w:rsidP="00426299">
      <w:pPr>
        <w:autoSpaceDE w:val="0"/>
        <w:autoSpaceDN w:val="0"/>
        <w:adjustRightInd w:val="0"/>
        <w:contextualSpacing/>
        <w:rPr>
          <w:rFonts w:asciiTheme="minorHAnsi" w:eastAsia="Times New Roman" w:hAnsiTheme="minorHAnsi" w:cstheme="minorHAnsi"/>
          <w:b/>
        </w:rPr>
      </w:pPr>
    </w:p>
    <w:p w14:paraId="34622DB5" w14:textId="77777777" w:rsidR="002B3D2D" w:rsidRPr="00FA00F9" w:rsidRDefault="00034FAF" w:rsidP="00FA00F9">
      <w:pPr>
        <w:rPr>
          <w:rFonts w:ascii="Arial" w:hAnsi="Arial" w:cs="Arial"/>
          <w:b/>
          <w:bCs/>
          <w:sz w:val="28"/>
          <w:szCs w:val="28"/>
        </w:rPr>
      </w:pPr>
      <w:r w:rsidRPr="00034FAF">
        <w:rPr>
          <w:rFonts w:ascii="Arial" w:hAnsi="Arial" w:cs="Arial"/>
          <w:b/>
          <w:bCs/>
          <w:sz w:val="28"/>
          <w:szCs w:val="28"/>
        </w:rPr>
        <w:t>Sexual Violence Prevention Annual Report 20</w:t>
      </w:r>
      <w:r w:rsidR="00FA00F9">
        <w:rPr>
          <w:rFonts w:ascii="Arial" w:hAnsi="Arial" w:cs="Arial"/>
          <w:b/>
          <w:bCs/>
          <w:sz w:val="28"/>
          <w:szCs w:val="28"/>
        </w:rPr>
        <w:t>20</w:t>
      </w:r>
      <w:r w:rsidRPr="00034FAF">
        <w:rPr>
          <w:rFonts w:ascii="Arial" w:hAnsi="Arial" w:cs="Arial"/>
          <w:b/>
          <w:bCs/>
          <w:sz w:val="28"/>
          <w:szCs w:val="28"/>
        </w:rPr>
        <w:t>-202</w:t>
      </w:r>
      <w:r w:rsidR="00FA00F9">
        <w:rPr>
          <w:rFonts w:ascii="Arial" w:hAnsi="Arial" w:cs="Arial"/>
          <w:b/>
          <w:bCs/>
          <w:sz w:val="28"/>
          <w:szCs w:val="28"/>
        </w:rPr>
        <w:t>1</w:t>
      </w:r>
    </w:p>
    <w:p w14:paraId="35804BDA" w14:textId="77777777" w:rsidR="00034FAF" w:rsidRDefault="00034FAF" w:rsidP="00034FAF">
      <w:pPr>
        <w:pStyle w:val="Default"/>
        <w:rPr>
          <w:rFonts w:ascii="Arial" w:hAnsi="Arial" w:cs="Arial"/>
        </w:rPr>
      </w:pPr>
    </w:p>
    <w:p w14:paraId="15EAAE88" w14:textId="77777777" w:rsidR="0079068C" w:rsidRPr="00034FAF" w:rsidRDefault="0079068C" w:rsidP="00034FAF">
      <w:pPr>
        <w:pStyle w:val="Default"/>
        <w:rPr>
          <w:rFonts w:ascii="Arial" w:hAnsi="Arial" w:cs="Arial"/>
        </w:rPr>
      </w:pPr>
    </w:p>
    <w:p w14:paraId="6736640E" w14:textId="77777777" w:rsidR="00034FAF" w:rsidRPr="0079068C" w:rsidRDefault="00034FAF" w:rsidP="00034FAF">
      <w:pPr>
        <w:pStyle w:val="Default"/>
        <w:rPr>
          <w:rFonts w:ascii="Arial" w:hAnsi="Arial" w:cs="Arial"/>
          <w:b/>
          <w:bCs/>
          <w:sz w:val="22"/>
          <w:szCs w:val="22"/>
        </w:rPr>
      </w:pPr>
      <w:r w:rsidRPr="00A4675F">
        <w:rPr>
          <w:rFonts w:ascii="Arial" w:hAnsi="Arial" w:cs="Arial"/>
          <w:b/>
          <w:bCs/>
          <w:sz w:val="22"/>
          <w:szCs w:val="22"/>
        </w:rPr>
        <w:t xml:space="preserve">Supports, Services, Accommodations: </w:t>
      </w:r>
    </w:p>
    <w:p w14:paraId="2CA96652" w14:textId="77777777" w:rsidR="0079068C" w:rsidRDefault="0079068C" w:rsidP="00034FAF">
      <w:pPr>
        <w:pStyle w:val="Default"/>
        <w:rPr>
          <w:rFonts w:ascii="Arial" w:hAnsi="Arial" w:cs="Arial"/>
          <w:sz w:val="22"/>
          <w:szCs w:val="22"/>
        </w:rPr>
      </w:pPr>
    </w:p>
    <w:p w14:paraId="79C72D94" w14:textId="77777777" w:rsidR="00034FAF" w:rsidRDefault="00645CEF" w:rsidP="00034FAF">
      <w:pPr>
        <w:pStyle w:val="Default"/>
        <w:rPr>
          <w:rFonts w:ascii="Arial" w:hAnsi="Arial" w:cs="Arial"/>
          <w:sz w:val="22"/>
          <w:szCs w:val="22"/>
        </w:rPr>
      </w:pPr>
      <w:r>
        <w:rPr>
          <w:rFonts w:ascii="Arial" w:hAnsi="Arial" w:cs="Arial"/>
          <w:sz w:val="22"/>
          <w:szCs w:val="22"/>
        </w:rPr>
        <w:t>Fleming College s</w:t>
      </w:r>
      <w:r w:rsidR="00034FAF" w:rsidRPr="00A4675F">
        <w:rPr>
          <w:rFonts w:ascii="Arial" w:hAnsi="Arial" w:cs="Arial"/>
          <w:sz w:val="22"/>
          <w:szCs w:val="22"/>
        </w:rPr>
        <w:t>tudents impacted by sexual violence, regardless of whether the</w:t>
      </w:r>
      <w:r w:rsidR="00F61B19">
        <w:rPr>
          <w:rFonts w:ascii="Arial" w:hAnsi="Arial" w:cs="Arial"/>
          <w:sz w:val="22"/>
          <w:szCs w:val="22"/>
        </w:rPr>
        <w:t>ir</w:t>
      </w:r>
      <w:r w:rsidR="00034FAF" w:rsidRPr="00A4675F">
        <w:rPr>
          <w:rFonts w:ascii="Arial" w:hAnsi="Arial" w:cs="Arial"/>
          <w:sz w:val="22"/>
          <w:szCs w:val="22"/>
        </w:rPr>
        <w:t xml:space="preserve"> </w:t>
      </w:r>
      <w:r w:rsidR="00F61B19">
        <w:rPr>
          <w:rFonts w:ascii="Arial" w:hAnsi="Arial" w:cs="Arial"/>
          <w:sz w:val="22"/>
          <w:szCs w:val="22"/>
        </w:rPr>
        <w:t xml:space="preserve">experience </w:t>
      </w:r>
      <w:r w:rsidR="00034FAF" w:rsidRPr="00A4675F">
        <w:rPr>
          <w:rFonts w:ascii="Arial" w:hAnsi="Arial" w:cs="Arial"/>
          <w:sz w:val="22"/>
          <w:szCs w:val="22"/>
        </w:rPr>
        <w:t>report</w:t>
      </w:r>
      <w:r w:rsidR="00F61B19">
        <w:rPr>
          <w:rFonts w:ascii="Arial" w:hAnsi="Arial" w:cs="Arial"/>
          <w:sz w:val="22"/>
          <w:szCs w:val="22"/>
        </w:rPr>
        <w:t>ed</w:t>
      </w:r>
      <w:r w:rsidR="00034FAF" w:rsidRPr="00A4675F">
        <w:rPr>
          <w:rFonts w:ascii="Arial" w:hAnsi="Arial" w:cs="Arial"/>
          <w:sz w:val="22"/>
          <w:szCs w:val="22"/>
        </w:rPr>
        <w:t xml:space="preserve"> is formal or informal, recent or historical, are supported with internal and external s</w:t>
      </w:r>
      <w:r w:rsidR="00F61B19">
        <w:rPr>
          <w:rFonts w:ascii="Arial" w:hAnsi="Arial" w:cs="Arial"/>
          <w:sz w:val="22"/>
          <w:szCs w:val="22"/>
        </w:rPr>
        <w:t>upports</w:t>
      </w:r>
      <w:r w:rsidR="00962453">
        <w:rPr>
          <w:rFonts w:ascii="Arial" w:hAnsi="Arial" w:cs="Arial"/>
          <w:sz w:val="22"/>
          <w:szCs w:val="22"/>
        </w:rPr>
        <w:t>, s</w:t>
      </w:r>
      <w:r w:rsidR="00F61B19">
        <w:rPr>
          <w:rFonts w:ascii="Arial" w:hAnsi="Arial" w:cs="Arial"/>
          <w:sz w:val="22"/>
          <w:szCs w:val="22"/>
        </w:rPr>
        <w:t>ervices, accommodations</w:t>
      </w:r>
      <w:r w:rsidR="00034FAF" w:rsidRPr="00A4675F">
        <w:rPr>
          <w:rFonts w:ascii="Arial" w:hAnsi="Arial" w:cs="Arial"/>
          <w:sz w:val="22"/>
          <w:szCs w:val="22"/>
        </w:rPr>
        <w:t xml:space="preserve"> and/or referrals. The cases listed in the reported incidents section of this document identify a minimum number of all relevant supports offered. Most frequently accessed supports* for 20</w:t>
      </w:r>
      <w:r w:rsidR="00FA00F9">
        <w:rPr>
          <w:rFonts w:ascii="Arial" w:hAnsi="Arial" w:cs="Arial"/>
          <w:sz w:val="22"/>
          <w:szCs w:val="22"/>
        </w:rPr>
        <w:t>20</w:t>
      </w:r>
      <w:r w:rsidR="00034FAF" w:rsidRPr="00A4675F">
        <w:rPr>
          <w:rFonts w:ascii="Arial" w:hAnsi="Arial" w:cs="Arial"/>
          <w:sz w:val="22"/>
          <w:szCs w:val="22"/>
        </w:rPr>
        <w:t>-2</w:t>
      </w:r>
      <w:r w:rsidR="00FA00F9">
        <w:rPr>
          <w:rFonts w:ascii="Arial" w:hAnsi="Arial" w:cs="Arial"/>
          <w:sz w:val="22"/>
          <w:szCs w:val="22"/>
        </w:rPr>
        <w:t>1</w:t>
      </w:r>
      <w:r w:rsidR="00034FAF" w:rsidRPr="00A4675F">
        <w:rPr>
          <w:rFonts w:ascii="Arial" w:hAnsi="Arial" w:cs="Arial"/>
          <w:sz w:val="22"/>
          <w:szCs w:val="22"/>
        </w:rPr>
        <w:t xml:space="preserve"> include</w:t>
      </w:r>
      <w:r w:rsidR="0079068C">
        <w:rPr>
          <w:rFonts w:ascii="Arial" w:hAnsi="Arial" w:cs="Arial"/>
          <w:sz w:val="22"/>
          <w:szCs w:val="22"/>
        </w:rPr>
        <w:t>d</w:t>
      </w:r>
      <w:r w:rsidR="00034FAF" w:rsidRPr="00A4675F">
        <w:rPr>
          <w:rFonts w:ascii="Arial" w:hAnsi="Arial" w:cs="Arial"/>
          <w:sz w:val="22"/>
          <w:szCs w:val="22"/>
        </w:rPr>
        <w:t xml:space="preserve">: </w:t>
      </w:r>
    </w:p>
    <w:p w14:paraId="692C8624" w14:textId="77777777" w:rsidR="0079068C" w:rsidRPr="00A4675F" w:rsidRDefault="0079068C" w:rsidP="00034FAF">
      <w:pPr>
        <w:pStyle w:val="Default"/>
        <w:rPr>
          <w:rFonts w:ascii="Arial" w:hAnsi="Arial" w:cs="Arial"/>
          <w:sz w:val="22"/>
          <w:szCs w:val="22"/>
        </w:rPr>
      </w:pPr>
    </w:p>
    <w:p w14:paraId="6C230B30" w14:textId="77777777" w:rsidR="00034FAF" w:rsidRDefault="00671249" w:rsidP="00A4675F">
      <w:pPr>
        <w:pStyle w:val="Default"/>
        <w:numPr>
          <w:ilvl w:val="0"/>
          <w:numId w:val="32"/>
        </w:numPr>
        <w:spacing w:before="240" w:after="34"/>
        <w:ind w:left="714" w:hanging="357"/>
        <w:rPr>
          <w:rFonts w:ascii="Arial" w:hAnsi="Arial" w:cs="Arial"/>
          <w:sz w:val="22"/>
          <w:szCs w:val="22"/>
        </w:rPr>
      </w:pPr>
      <w:r>
        <w:rPr>
          <w:rFonts w:ascii="Arial" w:hAnsi="Arial" w:cs="Arial"/>
          <w:sz w:val="22"/>
          <w:szCs w:val="22"/>
        </w:rPr>
        <w:t>C</w:t>
      </w:r>
      <w:r w:rsidR="00034FAF" w:rsidRPr="00A4675F">
        <w:rPr>
          <w:rFonts w:ascii="Arial" w:hAnsi="Arial" w:cs="Arial"/>
          <w:sz w:val="22"/>
          <w:szCs w:val="22"/>
        </w:rPr>
        <w:t xml:space="preserve">ampus Safe Walk program provided by Security services; </w:t>
      </w:r>
      <w:r w:rsidR="00FA00F9">
        <w:rPr>
          <w:rFonts w:ascii="Arial" w:hAnsi="Arial" w:cs="Arial"/>
          <w:sz w:val="22"/>
          <w:szCs w:val="22"/>
        </w:rPr>
        <w:t>11</w:t>
      </w:r>
      <w:r w:rsidR="00034FAF" w:rsidRPr="00A4675F">
        <w:rPr>
          <w:rFonts w:ascii="Arial" w:hAnsi="Arial" w:cs="Arial"/>
          <w:sz w:val="22"/>
          <w:szCs w:val="22"/>
        </w:rPr>
        <w:t xml:space="preserve"> students accessed this risk prevention program from May 20</w:t>
      </w:r>
      <w:r w:rsidR="00FA00F9">
        <w:rPr>
          <w:rFonts w:ascii="Arial" w:hAnsi="Arial" w:cs="Arial"/>
          <w:sz w:val="22"/>
          <w:szCs w:val="22"/>
        </w:rPr>
        <w:t>20</w:t>
      </w:r>
      <w:r w:rsidR="00034FAF" w:rsidRPr="00A4675F">
        <w:rPr>
          <w:rFonts w:ascii="Arial" w:hAnsi="Arial" w:cs="Arial"/>
          <w:sz w:val="22"/>
          <w:szCs w:val="22"/>
        </w:rPr>
        <w:t>-March 202</w:t>
      </w:r>
      <w:r w:rsidR="00FA00F9">
        <w:rPr>
          <w:rFonts w:ascii="Arial" w:hAnsi="Arial" w:cs="Arial"/>
          <w:sz w:val="22"/>
          <w:szCs w:val="22"/>
        </w:rPr>
        <w:t>1, down from 56 in 2019/20. COVID-19 impact</w:t>
      </w:r>
      <w:r>
        <w:rPr>
          <w:rFonts w:ascii="Arial" w:hAnsi="Arial" w:cs="Arial"/>
          <w:sz w:val="22"/>
          <w:szCs w:val="22"/>
        </w:rPr>
        <w:t>ed</w:t>
      </w:r>
      <w:r w:rsidR="008A7FF3">
        <w:rPr>
          <w:rFonts w:ascii="Arial" w:hAnsi="Arial" w:cs="Arial"/>
          <w:sz w:val="22"/>
          <w:szCs w:val="22"/>
        </w:rPr>
        <w:t xml:space="preserve"> students accessing this service</w:t>
      </w:r>
      <w:r w:rsidR="00FA00F9">
        <w:rPr>
          <w:rFonts w:ascii="Arial" w:hAnsi="Arial" w:cs="Arial"/>
          <w:sz w:val="22"/>
          <w:szCs w:val="22"/>
        </w:rPr>
        <w:t xml:space="preserve"> </w:t>
      </w:r>
      <w:r>
        <w:rPr>
          <w:rFonts w:ascii="Arial" w:hAnsi="Arial" w:cs="Arial"/>
          <w:sz w:val="22"/>
          <w:szCs w:val="22"/>
        </w:rPr>
        <w:t xml:space="preserve">due to </w:t>
      </w:r>
      <w:r w:rsidR="00FA00F9">
        <w:rPr>
          <w:rFonts w:ascii="Arial" w:hAnsi="Arial" w:cs="Arial"/>
          <w:sz w:val="22"/>
          <w:szCs w:val="22"/>
        </w:rPr>
        <w:t>temporary campus closures, reduced on campus activity and on-campus residence</w:t>
      </w:r>
      <w:r w:rsidR="008A7FF3">
        <w:rPr>
          <w:rFonts w:ascii="Arial" w:hAnsi="Arial" w:cs="Arial"/>
          <w:sz w:val="22"/>
          <w:szCs w:val="22"/>
        </w:rPr>
        <w:t>s</w:t>
      </w:r>
      <w:r w:rsidR="00FA00F9">
        <w:rPr>
          <w:rFonts w:ascii="Arial" w:hAnsi="Arial" w:cs="Arial"/>
          <w:sz w:val="22"/>
          <w:szCs w:val="22"/>
        </w:rPr>
        <w:t xml:space="preserve"> at 1/3 capacity</w:t>
      </w:r>
      <w:r>
        <w:rPr>
          <w:rFonts w:ascii="Arial" w:hAnsi="Arial" w:cs="Arial"/>
          <w:sz w:val="22"/>
          <w:szCs w:val="22"/>
        </w:rPr>
        <w:t>;</w:t>
      </w:r>
      <w:r w:rsidR="00034FAF" w:rsidRPr="00A4675F">
        <w:rPr>
          <w:rFonts w:ascii="Arial" w:hAnsi="Arial" w:cs="Arial"/>
          <w:sz w:val="22"/>
          <w:szCs w:val="22"/>
        </w:rPr>
        <w:t xml:space="preserve"> </w:t>
      </w:r>
    </w:p>
    <w:p w14:paraId="177110CC" w14:textId="77777777" w:rsidR="008A7FF3" w:rsidRDefault="008A7FF3" w:rsidP="00A4675F">
      <w:pPr>
        <w:pStyle w:val="Default"/>
        <w:numPr>
          <w:ilvl w:val="0"/>
          <w:numId w:val="32"/>
        </w:numPr>
        <w:spacing w:before="240" w:after="34"/>
        <w:ind w:left="714" w:hanging="357"/>
        <w:rPr>
          <w:rFonts w:ascii="Arial" w:hAnsi="Arial" w:cs="Arial"/>
          <w:sz w:val="22"/>
          <w:szCs w:val="22"/>
        </w:rPr>
      </w:pPr>
      <w:r>
        <w:rPr>
          <w:rFonts w:ascii="Arial" w:hAnsi="Arial" w:cs="Arial"/>
          <w:sz w:val="22"/>
          <w:szCs w:val="22"/>
        </w:rPr>
        <w:t>Fleming Safe App</w:t>
      </w:r>
      <w:r w:rsidR="00962453">
        <w:rPr>
          <w:rFonts w:ascii="Arial" w:hAnsi="Arial" w:cs="Arial"/>
          <w:sz w:val="22"/>
          <w:szCs w:val="22"/>
        </w:rPr>
        <w:t>; 7764 users as of April 14, 2021, up from 4694 users prior to campus re-opening for the final seven weeks of the fall semester. Fleming Safety App services also included 22 students accessing virtual safe walks, and 10 push notifications/safety alerts sent to students</w:t>
      </w:r>
      <w:r w:rsidR="00671249">
        <w:rPr>
          <w:rFonts w:ascii="Arial" w:hAnsi="Arial" w:cs="Arial"/>
          <w:sz w:val="22"/>
          <w:szCs w:val="22"/>
        </w:rPr>
        <w:t>;</w:t>
      </w:r>
      <w:r w:rsidR="00962453">
        <w:rPr>
          <w:rFonts w:ascii="Arial" w:hAnsi="Arial" w:cs="Arial"/>
          <w:sz w:val="22"/>
          <w:szCs w:val="22"/>
        </w:rPr>
        <w:t xml:space="preserve"> </w:t>
      </w:r>
      <w:r>
        <w:rPr>
          <w:rFonts w:ascii="Arial" w:hAnsi="Arial" w:cs="Arial"/>
          <w:sz w:val="22"/>
          <w:szCs w:val="22"/>
        </w:rPr>
        <w:t xml:space="preserve"> </w:t>
      </w:r>
    </w:p>
    <w:p w14:paraId="679E2C5C" w14:textId="77777777" w:rsidR="00671249" w:rsidRPr="00A4675F" w:rsidRDefault="00671249" w:rsidP="00A4675F">
      <w:pPr>
        <w:pStyle w:val="Default"/>
        <w:numPr>
          <w:ilvl w:val="0"/>
          <w:numId w:val="32"/>
        </w:numPr>
        <w:spacing w:before="240" w:after="34"/>
        <w:ind w:left="714" w:hanging="357"/>
        <w:rPr>
          <w:rFonts w:ascii="Arial" w:hAnsi="Arial" w:cs="Arial"/>
          <w:sz w:val="22"/>
          <w:szCs w:val="22"/>
        </w:rPr>
      </w:pPr>
      <w:r>
        <w:rPr>
          <w:rFonts w:ascii="Arial" w:hAnsi="Arial" w:cs="Arial"/>
          <w:sz w:val="22"/>
          <w:szCs w:val="22"/>
        </w:rPr>
        <w:t xml:space="preserve">Safety plans </w:t>
      </w:r>
      <w:r w:rsidR="0079068C">
        <w:rPr>
          <w:rFonts w:ascii="Arial" w:hAnsi="Arial" w:cs="Arial"/>
          <w:sz w:val="22"/>
          <w:szCs w:val="22"/>
        </w:rPr>
        <w:t xml:space="preserve">provided to students </w:t>
      </w:r>
      <w:r>
        <w:rPr>
          <w:rFonts w:ascii="Arial" w:hAnsi="Arial" w:cs="Arial"/>
          <w:sz w:val="22"/>
          <w:szCs w:val="22"/>
        </w:rPr>
        <w:t>on and off-campus;</w:t>
      </w:r>
    </w:p>
    <w:p w14:paraId="3A18C5DA" w14:textId="77777777" w:rsidR="00034FAF" w:rsidRPr="00A4675F" w:rsidRDefault="00034FAF" w:rsidP="00A4675F">
      <w:pPr>
        <w:pStyle w:val="Default"/>
        <w:numPr>
          <w:ilvl w:val="0"/>
          <w:numId w:val="32"/>
        </w:numPr>
        <w:spacing w:before="240" w:after="34"/>
        <w:ind w:left="714" w:hanging="357"/>
        <w:rPr>
          <w:rFonts w:ascii="Arial" w:hAnsi="Arial" w:cs="Arial"/>
          <w:sz w:val="22"/>
          <w:szCs w:val="22"/>
        </w:rPr>
      </w:pPr>
      <w:r w:rsidRPr="00A4675F">
        <w:rPr>
          <w:rFonts w:ascii="Arial" w:hAnsi="Arial" w:cs="Arial"/>
          <w:sz w:val="22"/>
          <w:szCs w:val="22"/>
        </w:rPr>
        <w:t xml:space="preserve">Health related services </w:t>
      </w:r>
      <w:r w:rsidR="0079068C">
        <w:rPr>
          <w:rFonts w:ascii="Arial" w:hAnsi="Arial" w:cs="Arial"/>
          <w:sz w:val="22"/>
          <w:szCs w:val="22"/>
        </w:rPr>
        <w:t xml:space="preserve">available </w:t>
      </w:r>
      <w:r w:rsidRPr="00A4675F">
        <w:rPr>
          <w:rFonts w:ascii="Arial" w:hAnsi="Arial" w:cs="Arial"/>
          <w:sz w:val="22"/>
          <w:szCs w:val="22"/>
        </w:rPr>
        <w:t xml:space="preserve">including referral to the Sexual Violence Response Team at the Peterborough Regional Health Centre (the College provides free transportation to students from all four campuses); </w:t>
      </w:r>
    </w:p>
    <w:p w14:paraId="636AFC68" w14:textId="77777777" w:rsidR="00034FAF" w:rsidRPr="00A4675F" w:rsidRDefault="00034FAF" w:rsidP="00A4675F">
      <w:pPr>
        <w:pStyle w:val="Default"/>
        <w:numPr>
          <w:ilvl w:val="0"/>
          <w:numId w:val="32"/>
        </w:numPr>
        <w:spacing w:before="240" w:after="34"/>
        <w:ind w:left="714" w:hanging="357"/>
        <w:rPr>
          <w:rFonts w:ascii="Arial" w:hAnsi="Arial" w:cs="Arial"/>
          <w:sz w:val="22"/>
          <w:szCs w:val="22"/>
        </w:rPr>
      </w:pPr>
      <w:r w:rsidRPr="00A4675F">
        <w:rPr>
          <w:rFonts w:ascii="Arial" w:hAnsi="Arial" w:cs="Arial"/>
          <w:sz w:val="22"/>
          <w:szCs w:val="22"/>
        </w:rPr>
        <w:t>Counselling services available</w:t>
      </w:r>
      <w:r w:rsidR="00645CEF">
        <w:rPr>
          <w:rFonts w:ascii="Arial" w:hAnsi="Arial" w:cs="Arial"/>
          <w:sz w:val="22"/>
          <w:szCs w:val="22"/>
        </w:rPr>
        <w:t xml:space="preserve"> virtually</w:t>
      </w:r>
      <w:r w:rsidRPr="00A4675F">
        <w:rPr>
          <w:rFonts w:ascii="Arial" w:hAnsi="Arial" w:cs="Arial"/>
          <w:sz w:val="22"/>
          <w:szCs w:val="22"/>
        </w:rPr>
        <w:t xml:space="preserve"> </w:t>
      </w:r>
      <w:r w:rsidR="0079068C">
        <w:rPr>
          <w:rFonts w:ascii="Arial" w:hAnsi="Arial" w:cs="Arial"/>
          <w:sz w:val="22"/>
          <w:szCs w:val="22"/>
        </w:rPr>
        <w:t xml:space="preserve">with a Fleming counsellor, </w:t>
      </w:r>
      <w:r w:rsidRPr="00A4675F">
        <w:rPr>
          <w:rFonts w:ascii="Arial" w:hAnsi="Arial" w:cs="Arial"/>
          <w:sz w:val="22"/>
          <w:szCs w:val="22"/>
        </w:rPr>
        <w:t xml:space="preserve">with the Kawartha Sexual Assault Centre, and/or other community resources; </w:t>
      </w:r>
    </w:p>
    <w:p w14:paraId="1A62152C" w14:textId="77777777" w:rsidR="00034FAF" w:rsidRPr="00A4675F" w:rsidRDefault="00034FAF" w:rsidP="00A4675F">
      <w:pPr>
        <w:pStyle w:val="Default"/>
        <w:numPr>
          <w:ilvl w:val="0"/>
          <w:numId w:val="32"/>
        </w:numPr>
        <w:spacing w:before="240" w:after="34"/>
        <w:ind w:left="714" w:hanging="357"/>
        <w:rPr>
          <w:rFonts w:ascii="Arial" w:hAnsi="Arial" w:cs="Arial"/>
          <w:sz w:val="22"/>
          <w:szCs w:val="22"/>
        </w:rPr>
      </w:pPr>
      <w:r w:rsidRPr="00A4675F">
        <w:rPr>
          <w:rFonts w:ascii="Arial" w:hAnsi="Arial" w:cs="Arial"/>
          <w:sz w:val="22"/>
          <w:szCs w:val="22"/>
        </w:rPr>
        <w:t xml:space="preserve">Assistance for students accessing police services to file a report. Students choosing to file a report at the police station </w:t>
      </w:r>
      <w:r w:rsidR="0079068C">
        <w:rPr>
          <w:rFonts w:ascii="Arial" w:hAnsi="Arial" w:cs="Arial"/>
          <w:sz w:val="22"/>
          <w:szCs w:val="22"/>
        </w:rPr>
        <w:t>are</w:t>
      </w:r>
      <w:r w:rsidRPr="00A4675F">
        <w:rPr>
          <w:rFonts w:ascii="Arial" w:hAnsi="Arial" w:cs="Arial"/>
          <w:sz w:val="22"/>
          <w:szCs w:val="22"/>
        </w:rPr>
        <w:t xml:space="preserve"> supported by the College, including transportation and advocacy</w:t>
      </w:r>
      <w:r w:rsidR="00962453">
        <w:rPr>
          <w:rFonts w:ascii="Arial" w:hAnsi="Arial" w:cs="Arial"/>
          <w:sz w:val="22"/>
          <w:szCs w:val="22"/>
        </w:rPr>
        <w:t xml:space="preserve"> upon request</w:t>
      </w:r>
      <w:r w:rsidRPr="00A4675F">
        <w:rPr>
          <w:rFonts w:ascii="Arial" w:hAnsi="Arial" w:cs="Arial"/>
          <w:sz w:val="22"/>
          <w:szCs w:val="22"/>
        </w:rPr>
        <w:t xml:space="preserve">; </w:t>
      </w:r>
    </w:p>
    <w:p w14:paraId="3FD30855" w14:textId="77777777" w:rsidR="00034FAF" w:rsidRPr="00A4675F" w:rsidRDefault="00034FAF" w:rsidP="00A4675F">
      <w:pPr>
        <w:pStyle w:val="Default"/>
        <w:numPr>
          <w:ilvl w:val="0"/>
          <w:numId w:val="32"/>
        </w:numPr>
        <w:spacing w:before="240" w:after="34"/>
        <w:ind w:left="714" w:hanging="357"/>
        <w:rPr>
          <w:rFonts w:ascii="Arial" w:hAnsi="Arial" w:cs="Arial"/>
          <w:sz w:val="22"/>
          <w:szCs w:val="22"/>
        </w:rPr>
      </w:pPr>
      <w:r w:rsidRPr="00A4675F">
        <w:rPr>
          <w:rFonts w:ascii="Arial" w:hAnsi="Arial" w:cs="Arial"/>
          <w:sz w:val="22"/>
          <w:szCs w:val="22"/>
        </w:rPr>
        <w:t xml:space="preserve">Referral to Victim Services for justice system support to assist in navigating the justice system, writing victim impact statements, and engaging the criminal injury compensation process; and, </w:t>
      </w:r>
    </w:p>
    <w:p w14:paraId="1DF38C6F" w14:textId="77777777" w:rsidR="00034FAF" w:rsidRPr="00A4675F" w:rsidRDefault="00034FAF" w:rsidP="00A4675F">
      <w:pPr>
        <w:pStyle w:val="Default"/>
        <w:numPr>
          <w:ilvl w:val="0"/>
          <w:numId w:val="32"/>
        </w:numPr>
        <w:spacing w:before="240"/>
        <w:ind w:left="714" w:hanging="357"/>
        <w:rPr>
          <w:rFonts w:ascii="Arial" w:hAnsi="Arial" w:cs="Arial"/>
          <w:sz w:val="22"/>
          <w:szCs w:val="22"/>
        </w:rPr>
      </w:pPr>
      <w:r w:rsidRPr="00A4675F">
        <w:rPr>
          <w:rFonts w:ascii="Arial" w:hAnsi="Arial" w:cs="Arial"/>
          <w:sz w:val="22"/>
          <w:szCs w:val="22"/>
        </w:rPr>
        <w:t xml:space="preserve">Academic support, that includes notifying faculty of an “approved” absence under the absence policy without violating the survivor’s privacy and assisting in short-term accommodations. </w:t>
      </w:r>
    </w:p>
    <w:p w14:paraId="235F32DA" w14:textId="77777777" w:rsidR="0079068C" w:rsidRDefault="00034FAF" w:rsidP="00034FAF">
      <w:pPr>
        <w:pStyle w:val="Default"/>
        <w:rPr>
          <w:rFonts w:ascii="Arial" w:hAnsi="Arial" w:cs="Arial"/>
          <w:i/>
          <w:sz w:val="18"/>
          <w:szCs w:val="18"/>
        </w:rPr>
      </w:pPr>
      <w:r w:rsidRPr="00A4675F">
        <w:rPr>
          <w:rFonts w:ascii="Arial" w:hAnsi="Arial" w:cs="Arial"/>
          <w:sz w:val="22"/>
          <w:szCs w:val="22"/>
        </w:rPr>
        <w:br/>
      </w:r>
    </w:p>
    <w:p w14:paraId="162E9556" w14:textId="77777777" w:rsidR="00034FAF" w:rsidRPr="00A4675F" w:rsidRDefault="00034FAF" w:rsidP="00034FAF">
      <w:pPr>
        <w:pStyle w:val="Default"/>
        <w:rPr>
          <w:rFonts w:ascii="Arial" w:hAnsi="Arial" w:cs="Arial"/>
          <w:i/>
          <w:sz w:val="18"/>
          <w:szCs w:val="18"/>
        </w:rPr>
      </w:pPr>
      <w:r w:rsidRPr="00A4675F">
        <w:rPr>
          <w:rFonts w:ascii="Arial" w:hAnsi="Arial" w:cs="Arial"/>
          <w:i/>
          <w:sz w:val="18"/>
          <w:szCs w:val="18"/>
        </w:rPr>
        <w:t>*This list is not exhaustive; every situation is responded to on a case-by-case basis</w:t>
      </w:r>
      <w:r w:rsidR="0079068C">
        <w:rPr>
          <w:rFonts w:ascii="Arial" w:hAnsi="Arial" w:cs="Arial"/>
          <w:i/>
          <w:sz w:val="18"/>
          <w:szCs w:val="18"/>
        </w:rPr>
        <w:t>. R</w:t>
      </w:r>
      <w:r w:rsidRPr="00A4675F">
        <w:rPr>
          <w:rFonts w:ascii="Arial" w:hAnsi="Arial" w:cs="Arial"/>
          <w:i/>
          <w:sz w:val="18"/>
          <w:szCs w:val="18"/>
        </w:rPr>
        <w:t xml:space="preserve">eferrals and supports are offered based on the specific needs presented by the individual student. </w:t>
      </w:r>
    </w:p>
    <w:p w14:paraId="1423CA4E" w14:textId="77777777" w:rsidR="00034FAF" w:rsidRPr="00A4675F" w:rsidRDefault="00034FAF" w:rsidP="00034FAF">
      <w:pPr>
        <w:autoSpaceDE w:val="0"/>
        <w:autoSpaceDN w:val="0"/>
        <w:adjustRightInd w:val="0"/>
        <w:contextualSpacing/>
        <w:rPr>
          <w:rFonts w:ascii="Arial" w:hAnsi="Arial" w:cs="Arial"/>
        </w:rPr>
      </w:pPr>
    </w:p>
    <w:p w14:paraId="3C14BF71" w14:textId="77777777" w:rsidR="00034FAF" w:rsidRDefault="00034FAF" w:rsidP="00034FAF">
      <w:pPr>
        <w:autoSpaceDE w:val="0"/>
        <w:autoSpaceDN w:val="0"/>
        <w:adjustRightInd w:val="0"/>
        <w:rPr>
          <w:rFonts w:ascii="Arial" w:hAnsi="Arial" w:cs="Arial"/>
          <w:b/>
          <w:bCs/>
          <w:color w:val="000000"/>
          <w:lang w:val="en-US" w:eastAsia="en-US"/>
        </w:rPr>
      </w:pPr>
    </w:p>
    <w:p w14:paraId="0301393B" w14:textId="77777777" w:rsidR="00962453" w:rsidRPr="00A4675F" w:rsidRDefault="00962453" w:rsidP="00034FAF">
      <w:pPr>
        <w:autoSpaceDE w:val="0"/>
        <w:autoSpaceDN w:val="0"/>
        <w:adjustRightInd w:val="0"/>
        <w:rPr>
          <w:rFonts w:ascii="Arial" w:hAnsi="Arial" w:cs="Arial"/>
          <w:b/>
          <w:bCs/>
          <w:color w:val="000000"/>
          <w:lang w:val="en-US" w:eastAsia="en-US"/>
        </w:rPr>
      </w:pPr>
    </w:p>
    <w:p w14:paraId="60FD447A" w14:textId="77777777" w:rsidR="00034FAF" w:rsidRPr="003F7CCA" w:rsidRDefault="00034FAF" w:rsidP="00034FAF">
      <w:pPr>
        <w:autoSpaceDE w:val="0"/>
        <w:autoSpaceDN w:val="0"/>
        <w:adjustRightInd w:val="0"/>
        <w:rPr>
          <w:rFonts w:ascii="Arial" w:hAnsi="Arial" w:cs="Arial"/>
          <w:b/>
          <w:bCs/>
          <w:color w:val="000000"/>
          <w:lang w:val="en-US" w:eastAsia="en-US"/>
        </w:rPr>
      </w:pPr>
      <w:r w:rsidRPr="003F7CCA">
        <w:rPr>
          <w:rFonts w:ascii="Arial" w:hAnsi="Arial" w:cs="Arial"/>
          <w:b/>
          <w:bCs/>
          <w:color w:val="000000"/>
          <w:lang w:val="en-US" w:eastAsia="en-US"/>
        </w:rPr>
        <w:lastRenderedPageBreak/>
        <w:t xml:space="preserve">Awareness Raising: </w:t>
      </w:r>
    </w:p>
    <w:p w14:paraId="6F38F76D" w14:textId="77777777" w:rsidR="00034FAF" w:rsidRPr="003F7CCA" w:rsidRDefault="00034FAF" w:rsidP="00034FAF">
      <w:pPr>
        <w:autoSpaceDE w:val="0"/>
        <w:autoSpaceDN w:val="0"/>
        <w:adjustRightInd w:val="0"/>
        <w:rPr>
          <w:rFonts w:ascii="Arial" w:hAnsi="Arial" w:cs="Arial"/>
          <w:color w:val="000000"/>
          <w:lang w:val="en-US" w:eastAsia="en-US"/>
        </w:rPr>
      </w:pPr>
    </w:p>
    <w:p w14:paraId="77791225" w14:textId="77777777" w:rsidR="00FA00F9" w:rsidRPr="003F7CCA" w:rsidRDefault="00645CEF" w:rsidP="00FA00F9">
      <w:pPr>
        <w:autoSpaceDE w:val="0"/>
        <w:autoSpaceDN w:val="0"/>
        <w:adjustRightInd w:val="0"/>
        <w:rPr>
          <w:rFonts w:ascii="Arial" w:hAnsi="Arial" w:cs="Arial"/>
          <w:color w:val="000000"/>
          <w:lang w:val="en-US" w:eastAsia="en-US"/>
        </w:rPr>
      </w:pPr>
      <w:r>
        <w:rPr>
          <w:rFonts w:ascii="Arial" w:hAnsi="Arial" w:cs="Arial"/>
          <w:color w:val="000000"/>
          <w:lang w:val="en-US" w:eastAsia="en-US"/>
        </w:rPr>
        <w:t>Fleming</w:t>
      </w:r>
      <w:r w:rsidR="00034FAF" w:rsidRPr="003F7CCA">
        <w:rPr>
          <w:rFonts w:ascii="Arial" w:hAnsi="Arial" w:cs="Arial"/>
          <w:color w:val="000000"/>
          <w:lang w:val="en-US" w:eastAsia="en-US"/>
        </w:rPr>
        <w:t xml:space="preserve"> College offers and participates in programs that raise awareness about sexual violence and promote a culture of consent. Programming </w:t>
      </w:r>
      <w:r>
        <w:rPr>
          <w:rFonts w:ascii="Arial" w:hAnsi="Arial" w:cs="Arial"/>
          <w:color w:val="000000"/>
          <w:lang w:val="en-US" w:eastAsia="en-US"/>
        </w:rPr>
        <w:t xml:space="preserve">intentionally </w:t>
      </w:r>
      <w:r w:rsidR="00034FAF" w:rsidRPr="003F7CCA">
        <w:rPr>
          <w:rFonts w:ascii="Arial" w:hAnsi="Arial" w:cs="Arial"/>
          <w:color w:val="000000"/>
          <w:lang w:val="en-US" w:eastAsia="en-US"/>
        </w:rPr>
        <w:t xml:space="preserve">draws attention to supports and services available to students </w:t>
      </w:r>
      <w:r w:rsidR="00962453" w:rsidRPr="003F7CCA">
        <w:rPr>
          <w:rFonts w:ascii="Arial" w:hAnsi="Arial" w:cs="Arial"/>
          <w:color w:val="000000"/>
          <w:lang w:val="en-US" w:eastAsia="en-US"/>
        </w:rPr>
        <w:t>through Fleming College and within the community</w:t>
      </w:r>
      <w:r w:rsidR="00034FAF" w:rsidRPr="003F7CCA">
        <w:rPr>
          <w:rFonts w:ascii="Arial" w:hAnsi="Arial" w:cs="Arial"/>
          <w:color w:val="000000"/>
          <w:lang w:val="en-US" w:eastAsia="en-US"/>
        </w:rPr>
        <w:t>. In 20</w:t>
      </w:r>
      <w:r w:rsidR="00FA00F9" w:rsidRPr="003F7CCA">
        <w:rPr>
          <w:rFonts w:ascii="Arial" w:hAnsi="Arial" w:cs="Arial"/>
          <w:color w:val="000000"/>
          <w:lang w:val="en-US" w:eastAsia="en-US"/>
        </w:rPr>
        <w:t>20</w:t>
      </w:r>
      <w:r w:rsidR="00034FAF" w:rsidRPr="003F7CCA">
        <w:rPr>
          <w:rFonts w:ascii="Arial" w:hAnsi="Arial" w:cs="Arial"/>
          <w:color w:val="000000"/>
          <w:lang w:val="en-US" w:eastAsia="en-US"/>
        </w:rPr>
        <w:t>-2</w:t>
      </w:r>
      <w:r w:rsidR="00FA00F9" w:rsidRPr="003F7CCA">
        <w:rPr>
          <w:rFonts w:ascii="Arial" w:hAnsi="Arial" w:cs="Arial"/>
          <w:color w:val="000000"/>
          <w:lang w:val="en-US" w:eastAsia="en-US"/>
        </w:rPr>
        <w:t>1</w:t>
      </w:r>
      <w:r w:rsidR="00034FAF" w:rsidRPr="003F7CCA">
        <w:rPr>
          <w:rFonts w:ascii="Arial" w:hAnsi="Arial" w:cs="Arial"/>
          <w:color w:val="000000"/>
          <w:lang w:val="en-US" w:eastAsia="en-US"/>
        </w:rPr>
        <w:t>, the college offered and/or collaborated on</w:t>
      </w:r>
      <w:r w:rsidR="00FA00F9" w:rsidRPr="003F7CCA">
        <w:rPr>
          <w:rFonts w:ascii="Arial" w:hAnsi="Arial" w:cs="Arial"/>
          <w:color w:val="000000"/>
          <w:lang w:val="en-US" w:eastAsia="en-US"/>
        </w:rPr>
        <w:t xml:space="preserve"> the following educational programming and communications</w:t>
      </w:r>
      <w:r w:rsidR="00034FAF" w:rsidRPr="003F7CCA">
        <w:rPr>
          <w:rFonts w:ascii="Arial" w:hAnsi="Arial" w:cs="Arial"/>
          <w:color w:val="000000"/>
          <w:lang w:val="en-US" w:eastAsia="en-US"/>
        </w:rPr>
        <w:t xml:space="preserve">: </w:t>
      </w:r>
      <w:r w:rsidR="00135F8D" w:rsidRPr="003F7CCA">
        <w:rPr>
          <w:rFonts w:ascii="Arial" w:hAnsi="Arial" w:cs="Arial"/>
          <w:color w:val="000000"/>
          <w:lang w:val="en-US" w:eastAsia="en-US"/>
        </w:rPr>
        <w:br/>
      </w:r>
    </w:p>
    <w:p w14:paraId="7ABA17E3"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Take Back the Night:</w:t>
      </w:r>
      <w:r w:rsidRPr="003F7CCA">
        <w:rPr>
          <w:rFonts w:ascii="Arial" w:hAnsi="Arial" w:cs="Arial"/>
          <w:sz w:val="22"/>
          <w:lang w:val="en-US"/>
        </w:rPr>
        <w:t xml:space="preserve"> Promoted this virtual event organized by Kawartha Sexual Assault Centre in</w:t>
      </w:r>
      <w:r w:rsidR="003F7CCA">
        <w:rPr>
          <w:rFonts w:ascii="Arial" w:hAnsi="Arial" w:cs="Arial"/>
          <w:sz w:val="22"/>
          <w:lang w:val="en-US"/>
        </w:rPr>
        <w:t xml:space="preserve"> </w:t>
      </w:r>
      <w:proofErr w:type="gramStart"/>
      <w:r w:rsidRPr="003F7CCA">
        <w:rPr>
          <w:rFonts w:ascii="Arial" w:hAnsi="Arial" w:cs="Arial"/>
          <w:sz w:val="22"/>
          <w:lang w:val="en-US"/>
        </w:rPr>
        <w:t>September</w:t>
      </w:r>
      <w:r w:rsidR="003F7CCA">
        <w:rPr>
          <w:rFonts w:ascii="Arial" w:hAnsi="Arial" w:cs="Arial"/>
          <w:sz w:val="22"/>
          <w:lang w:val="en-US"/>
        </w:rPr>
        <w:t>,</w:t>
      </w:r>
      <w:proofErr w:type="gramEnd"/>
      <w:r w:rsidR="001E49D5" w:rsidRPr="003F7CCA">
        <w:rPr>
          <w:rFonts w:ascii="Arial" w:hAnsi="Arial" w:cs="Arial"/>
          <w:sz w:val="22"/>
          <w:lang w:val="en-US"/>
        </w:rPr>
        <w:t xml:space="preserve"> 2020</w:t>
      </w:r>
    </w:p>
    <w:p w14:paraId="503368CF"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Residence Move-In:</w:t>
      </w:r>
      <w:r w:rsidRPr="003F7CCA">
        <w:rPr>
          <w:rFonts w:ascii="Arial" w:hAnsi="Arial" w:cs="Arial"/>
          <w:sz w:val="22"/>
          <w:lang w:val="en-US"/>
        </w:rPr>
        <w:t xml:space="preserve"> As </w:t>
      </w:r>
      <w:r w:rsidR="001E49D5" w:rsidRPr="003F7CCA">
        <w:rPr>
          <w:rFonts w:ascii="Arial" w:hAnsi="Arial" w:cs="Arial"/>
          <w:sz w:val="22"/>
          <w:lang w:val="en-US"/>
        </w:rPr>
        <w:t>a reduced</w:t>
      </w:r>
      <w:r w:rsidRPr="003F7CCA">
        <w:rPr>
          <w:rFonts w:ascii="Arial" w:hAnsi="Arial" w:cs="Arial"/>
          <w:sz w:val="22"/>
          <w:lang w:val="en-US"/>
        </w:rPr>
        <w:t xml:space="preserve"> number of students were able to live on campus this year</w:t>
      </w:r>
      <w:r w:rsidR="001E49D5" w:rsidRPr="003F7CCA">
        <w:rPr>
          <w:rFonts w:ascii="Arial" w:hAnsi="Arial" w:cs="Arial"/>
          <w:sz w:val="22"/>
          <w:lang w:val="en-US"/>
        </w:rPr>
        <w:t xml:space="preserve"> </w:t>
      </w:r>
      <w:r w:rsidRPr="003F7CCA">
        <w:rPr>
          <w:rFonts w:ascii="Arial" w:hAnsi="Arial" w:cs="Arial"/>
          <w:sz w:val="22"/>
          <w:lang w:val="en-US"/>
        </w:rPr>
        <w:t xml:space="preserve">(220), educational activities during move-in were limited to a mandatory online session, awareness posters, and a Safe Party Tips educational campaign for Halloween. Residence Life Mentors (student staff) were fully trained in </w:t>
      </w:r>
      <w:r w:rsidR="008F1E6C">
        <w:rPr>
          <w:rFonts w:ascii="Arial" w:hAnsi="Arial" w:cs="Arial"/>
          <w:sz w:val="22"/>
          <w:lang w:val="en-US"/>
        </w:rPr>
        <w:t xml:space="preserve">Sexual Violence Prevention </w:t>
      </w:r>
      <w:r w:rsidRPr="003F7CCA">
        <w:rPr>
          <w:rFonts w:ascii="Arial" w:hAnsi="Arial" w:cs="Arial"/>
          <w:sz w:val="22"/>
          <w:lang w:val="en-US"/>
        </w:rPr>
        <w:t>Level</w:t>
      </w:r>
      <w:r w:rsidR="004F6E68">
        <w:rPr>
          <w:rFonts w:ascii="Arial" w:hAnsi="Arial" w:cs="Arial"/>
          <w:sz w:val="22"/>
          <w:lang w:val="en-US"/>
        </w:rPr>
        <w:t>s</w:t>
      </w:r>
      <w:r w:rsidRPr="003F7CCA">
        <w:rPr>
          <w:rFonts w:ascii="Arial" w:hAnsi="Arial" w:cs="Arial"/>
          <w:sz w:val="22"/>
          <w:lang w:val="en-US"/>
        </w:rPr>
        <w:t xml:space="preserve"> One and Two (see table below for description)</w:t>
      </w:r>
    </w:p>
    <w:p w14:paraId="5F48A517"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16 Days of Activism Awareness:</w:t>
      </w:r>
      <w:r w:rsidRPr="003F7CCA">
        <w:rPr>
          <w:rFonts w:ascii="Arial" w:hAnsi="Arial" w:cs="Arial"/>
          <w:sz w:val="22"/>
          <w:lang w:val="en-US"/>
        </w:rPr>
        <w:t xml:space="preserve"> Fleming organized a print poster campaign and a social media campaign designed by a Fleming Visual &amp; Graphic Design student. Open workshops were also held online during the event </w:t>
      </w:r>
      <w:r w:rsidR="00962453" w:rsidRPr="003F7CCA">
        <w:rPr>
          <w:rFonts w:ascii="Arial" w:hAnsi="Arial" w:cs="Arial"/>
          <w:sz w:val="22"/>
          <w:lang w:val="en-US"/>
        </w:rPr>
        <w:t xml:space="preserve">between </w:t>
      </w:r>
      <w:r w:rsidRPr="003F7CCA">
        <w:rPr>
          <w:rFonts w:ascii="Arial" w:hAnsi="Arial" w:cs="Arial"/>
          <w:sz w:val="22"/>
          <w:lang w:val="en-US"/>
        </w:rPr>
        <w:t>November 25th-December 10th</w:t>
      </w:r>
    </w:p>
    <w:p w14:paraId="00F23FAC"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Mixed Company Theatre:</w:t>
      </w:r>
      <w:r w:rsidRPr="003F7CCA">
        <w:rPr>
          <w:rFonts w:ascii="Arial" w:hAnsi="Arial" w:cs="Arial"/>
          <w:sz w:val="22"/>
          <w:lang w:val="en-US"/>
        </w:rPr>
        <w:t xml:space="preserve"> this forum theatre company was </w:t>
      </w:r>
      <w:r w:rsidR="004C6608" w:rsidRPr="003F7CCA">
        <w:rPr>
          <w:rFonts w:ascii="Arial" w:hAnsi="Arial" w:cs="Arial"/>
          <w:sz w:val="22"/>
          <w:lang w:val="en-US"/>
        </w:rPr>
        <w:t>secured</w:t>
      </w:r>
      <w:r w:rsidRPr="003F7CCA">
        <w:rPr>
          <w:rFonts w:ascii="Arial" w:hAnsi="Arial" w:cs="Arial"/>
          <w:sz w:val="22"/>
          <w:lang w:val="en-US"/>
        </w:rPr>
        <w:t xml:space="preserve"> to deliver an engaging online Consent/Bystander Intervention session </w:t>
      </w:r>
      <w:r w:rsidR="004C6608" w:rsidRPr="003F7CCA">
        <w:rPr>
          <w:rFonts w:ascii="Arial" w:hAnsi="Arial" w:cs="Arial"/>
          <w:sz w:val="22"/>
          <w:lang w:val="en-US"/>
        </w:rPr>
        <w:t>for students during winter orientation in January 2021</w:t>
      </w:r>
    </w:p>
    <w:p w14:paraId="68815491"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rPr>
        <w:t>Missing and Murdered Indigenous Women, Girls, and Two Spirit Persons:</w:t>
      </w:r>
      <w:r w:rsidRPr="003F7CCA">
        <w:rPr>
          <w:rFonts w:ascii="Arial" w:hAnsi="Arial" w:cs="Arial"/>
          <w:sz w:val="22"/>
        </w:rPr>
        <w:t xml:space="preserve"> Indigenous Student Services and Diversity &amp; Inclusion Services partnered </w:t>
      </w:r>
      <w:r w:rsidR="004C6608" w:rsidRPr="003F7CCA">
        <w:rPr>
          <w:rFonts w:ascii="Arial" w:hAnsi="Arial" w:cs="Arial"/>
          <w:sz w:val="22"/>
        </w:rPr>
        <w:t>to</w:t>
      </w:r>
      <w:r w:rsidRPr="003F7CCA">
        <w:rPr>
          <w:rFonts w:ascii="Arial" w:hAnsi="Arial" w:cs="Arial"/>
          <w:sz w:val="22"/>
        </w:rPr>
        <w:t xml:space="preserve"> host a week of online events in February</w:t>
      </w:r>
      <w:r w:rsidR="004C6608" w:rsidRPr="003F7CCA">
        <w:rPr>
          <w:rFonts w:ascii="Arial" w:hAnsi="Arial" w:cs="Arial"/>
          <w:sz w:val="22"/>
        </w:rPr>
        <w:t xml:space="preserve"> 2021</w:t>
      </w:r>
      <w:r w:rsidRPr="003F7CCA">
        <w:rPr>
          <w:rFonts w:ascii="Arial" w:hAnsi="Arial" w:cs="Arial"/>
          <w:sz w:val="22"/>
        </w:rPr>
        <w:t xml:space="preserve"> to raise awareness for MMIWGT.</w:t>
      </w:r>
      <w:r w:rsidR="004C6608" w:rsidRPr="003F7CCA">
        <w:rPr>
          <w:rFonts w:ascii="Arial" w:hAnsi="Arial" w:cs="Arial"/>
          <w:sz w:val="22"/>
        </w:rPr>
        <w:t xml:space="preserve"> </w:t>
      </w:r>
      <w:r w:rsidRPr="003F7CCA">
        <w:rPr>
          <w:rFonts w:ascii="Arial" w:hAnsi="Arial" w:cs="Arial"/>
          <w:sz w:val="22"/>
        </w:rPr>
        <w:t xml:space="preserve">The week included an outdoor </w:t>
      </w:r>
      <w:r w:rsidR="004C6608" w:rsidRPr="003F7CCA">
        <w:rPr>
          <w:rFonts w:ascii="Arial" w:hAnsi="Arial" w:cs="Arial"/>
          <w:sz w:val="22"/>
        </w:rPr>
        <w:t>display</w:t>
      </w:r>
      <w:r w:rsidRPr="003F7CCA">
        <w:rPr>
          <w:rFonts w:ascii="Arial" w:hAnsi="Arial" w:cs="Arial"/>
          <w:sz w:val="22"/>
        </w:rPr>
        <w:t xml:space="preserve"> of red dresses at Peterborough and Frost campus main </w:t>
      </w:r>
      <w:r w:rsidR="004C6608" w:rsidRPr="003F7CCA">
        <w:rPr>
          <w:rFonts w:ascii="Arial" w:hAnsi="Arial" w:cs="Arial"/>
          <w:sz w:val="22"/>
        </w:rPr>
        <w:t>entrances</w:t>
      </w:r>
      <w:r w:rsidRPr="003F7CCA">
        <w:rPr>
          <w:rFonts w:ascii="Arial" w:hAnsi="Arial" w:cs="Arial"/>
          <w:sz w:val="22"/>
        </w:rPr>
        <w:t xml:space="preserve"> and Residence walkways</w:t>
      </w:r>
    </w:p>
    <w:p w14:paraId="44962986"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Kawartha Sexual Assault Centre (KSAC) services:</w:t>
      </w:r>
      <w:r w:rsidRPr="003F7CCA">
        <w:rPr>
          <w:rFonts w:ascii="Arial" w:hAnsi="Arial" w:cs="Arial"/>
          <w:sz w:val="22"/>
          <w:lang w:val="en-US"/>
        </w:rPr>
        <w:t xml:space="preserve"> KSAC was contracted to provide virtual workshops on Healthy Relationships and Bystander Intervention, which were organized in partnership with Enactus, a Fleming </w:t>
      </w:r>
      <w:r w:rsidR="004C6608" w:rsidRPr="003F7CCA">
        <w:rPr>
          <w:rFonts w:ascii="Arial" w:hAnsi="Arial" w:cs="Arial"/>
          <w:sz w:val="22"/>
          <w:lang w:val="en-US"/>
        </w:rPr>
        <w:t xml:space="preserve">student </w:t>
      </w:r>
      <w:r w:rsidRPr="003F7CCA">
        <w:rPr>
          <w:rFonts w:ascii="Arial" w:hAnsi="Arial" w:cs="Arial"/>
          <w:sz w:val="22"/>
          <w:lang w:val="en-US"/>
        </w:rPr>
        <w:t>club. KSAC also created recorded videos for use in our Orientation programming for new students, addressing “How to Help a Friend Who Discloses” and a KSAC service overview. Fleming and KSAC also began a collaboration on a series of workshops called Young Men Leading Change for racialized male students, which addresses male allyship in ending gender-based violence, which will launch in May 2021</w:t>
      </w:r>
    </w:p>
    <w:p w14:paraId="4FC3DFBB"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 xml:space="preserve">Positive Space Education Program: </w:t>
      </w:r>
      <w:r w:rsidRPr="003F7CCA">
        <w:rPr>
          <w:rFonts w:ascii="Arial" w:hAnsi="Arial" w:cs="Arial"/>
          <w:sz w:val="22"/>
          <w:lang w:val="en-US"/>
        </w:rPr>
        <w:t>Diversity &amp; Inclusion Services integrated sexual violence information specific to LGBT2SQ+ youth to their educational programming for student and employees. These workshops were also delivered in an online format throughout the year.</w:t>
      </w:r>
    </w:p>
    <w:p w14:paraId="286AF1E9" w14:textId="77777777" w:rsidR="00FA00F9" w:rsidRPr="003F7CCA" w:rsidRDefault="00FA00F9" w:rsidP="00FA00F9">
      <w:pPr>
        <w:pStyle w:val="NoSpacing"/>
        <w:numPr>
          <w:ilvl w:val="0"/>
          <w:numId w:val="37"/>
        </w:numPr>
        <w:spacing w:before="120"/>
        <w:ind w:left="714" w:hanging="357"/>
        <w:rPr>
          <w:rFonts w:ascii="Arial" w:hAnsi="Arial" w:cs="Arial"/>
          <w:sz w:val="22"/>
          <w:lang w:val="en-US"/>
        </w:rPr>
      </w:pPr>
      <w:r w:rsidRPr="003F7CCA">
        <w:rPr>
          <w:rFonts w:ascii="Arial" w:hAnsi="Arial" w:cs="Arial"/>
          <w:b/>
          <w:bCs/>
          <w:sz w:val="22"/>
          <w:lang w:val="en-US"/>
        </w:rPr>
        <w:t>Sexual Violence Prevention Website:</w:t>
      </w:r>
      <w:r w:rsidRPr="003F7CCA">
        <w:rPr>
          <w:rFonts w:ascii="Arial" w:hAnsi="Arial" w:cs="Arial"/>
          <w:sz w:val="22"/>
          <w:lang w:val="en-US"/>
        </w:rPr>
        <w:t xml:space="preserve"> this online resource was maintained and promoted, which has information about the College policy, facts and myths, FAQ, online reporting tool (can be anonymous), internal and external support services, and training options.</w:t>
      </w:r>
      <w:r w:rsidR="00645CEF">
        <w:rPr>
          <w:rFonts w:ascii="Arial" w:hAnsi="Arial" w:cs="Arial"/>
          <w:sz w:val="22"/>
          <w:lang w:val="en-US"/>
        </w:rPr>
        <w:t xml:space="preserve"> </w:t>
      </w:r>
      <w:r w:rsidRPr="003F7CCA">
        <w:rPr>
          <w:rFonts w:ascii="Arial" w:hAnsi="Arial" w:cs="Arial"/>
          <w:sz w:val="22"/>
          <w:lang w:val="en-US"/>
        </w:rPr>
        <w:t xml:space="preserve">This includes </w:t>
      </w:r>
      <w:r w:rsidR="00645CEF">
        <w:rPr>
          <w:rFonts w:ascii="Arial" w:hAnsi="Arial" w:cs="Arial"/>
          <w:sz w:val="22"/>
          <w:lang w:val="en-US"/>
        </w:rPr>
        <w:t>three</w:t>
      </w:r>
      <w:r w:rsidRPr="003F7CCA">
        <w:rPr>
          <w:rFonts w:ascii="Arial" w:hAnsi="Arial" w:cs="Arial"/>
          <w:sz w:val="22"/>
          <w:lang w:val="en-US"/>
        </w:rPr>
        <w:t xml:space="preserve"> </w:t>
      </w:r>
      <w:r w:rsidR="00645CEF">
        <w:rPr>
          <w:rFonts w:ascii="Arial" w:hAnsi="Arial" w:cs="Arial"/>
          <w:sz w:val="22"/>
          <w:lang w:val="en-US"/>
        </w:rPr>
        <w:t>c</w:t>
      </w:r>
      <w:r w:rsidRPr="003F7CCA">
        <w:rPr>
          <w:rFonts w:ascii="Arial" w:hAnsi="Arial" w:cs="Arial"/>
          <w:sz w:val="22"/>
          <w:lang w:val="en-US"/>
        </w:rPr>
        <w:t>lickable flowcharts</w:t>
      </w:r>
      <w:r w:rsidR="004F6E68">
        <w:rPr>
          <w:rFonts w:ascii="Arial" w:hAnsi="Arial" w:cs="Arial"/>
          <w:sz w:val="22"/>
          <w:lang w:val="en-US"/>
        </w:rPr>
        <w:t xml:space="preserve"> - </w:t>
      </w:r>
      <w:r w:rsidRPr="003F7CCA">
        <w:rPr>
          <w:rFonts w:ascii="Arial" w:hAnsi="Arial" w:cs="Arial"/>
          <w:sz w:val="22"/>
          <w:lang w:val="en-US"/>
        </w:rPr>
        <w:t>online tools for faculty, staff or student</w:t>
      </w:r>
      <w:r w:rsidR="004F6E68">
        <w:rPr>
          <w:rFonts w:ascii="Arial" w:hAnsi="Arial" w:cs="Arial"/>
          <w:sz w:val="22"/>
          <w:lang w:val="en-US"/>
        </w:rPr>
        <w:t xml:space="preserve">s </w:t>
      </w:r>
      <w:r w:rsidRPr="003F7CCA">
        <w:rPr>
          <w:rFonts w:ascii="Arial" w:hAnsi="Arial" w:cs="Arial"/>
          <w:sz w:val="22"/>
          <w:lang w:val="en-US"/>
        </w:rPr>
        <w:t>to use to navigate through how to receive a disclosure, what happens after a disclosure is made, and what to do if you witness sexual violence</w:t>
      </w:r>
      <w:r w:rsidR="00645CEF">
        <w:rPr>
          <w:rFonts w:ascii="Arial" w:hAnsi="Arial" w:cs="Arial"/>
          <w:sz w:val="22"/>
          <w:lang w:val="en-US"/>
        </w:rPr>
        <w:t>.</w:t>
      </w:r>
    </w:p>
    <w:p w14:paraId="29CF3D7B" w14:textId="77777777" w:rsidR="006B4EAC" w:rsidRDefault="00FA00F9" w:rsidP="006B4EAC">
      <w:pPr>
        <w:pStyle w:val="NoSpacing"/>
        <w:numPr>
          <w:ilvl w:val="0"/>
          <w:numId w:val="37"/>
        </w:numPr>
        <w:spacing w:before="120"/>
        <w:ind w:left="714" w:hanging="357"/>
        <w:rPr>
          <w:rFonts w:cstheme="minorHAnsi"/>
          <w:lang w:val="en-US"/>
        </w:rPr>
      </w:pPr>
      <w:r w:rsidRPr="003F7CCA">
        <w:rPr>
          <w:rFonts w:ascii="Arial" w:hAnsi="Arial" w:cs="Arial"/>
          <w:b/>
          <w:bCs/>
          <w:sz w:val="22"/>
          <w:lang w:val="en-US"/>
        </w:rPr>
        <w:lastRenderedPageBreak/>
        <w:t>Online training development:</w:t>
      </w:r>
      <w:r w:rsidRPr="003F7CCA">
        <w:rPr>
          <w:rFonts w:ascii="Arial" w:hAnsi="Arial" w:cs="Arial"/>
          <w:sz w:val="22"/>
          <w:lang w:val="en-US"/>
        </w:rPr>
        <w:t xml:space="preserve"> Fleming </w:t>
      </w:r>
      <w:r w:rsidR="00723E0E">
        <w:rPr>
          <w:rFonts w:ascii="Arial" w:hAnsi="Arial" w:cs="Arial"/>
          <w:sz w:val="22"/>
          <w:lang w:val="en-US"/>
        </w:rPr>
        <w:t xml:space="preserve">secured a licensing agreement with </w:t>
      </w:r>
      <w:r w:rsidRPr="003F7CCA">
        <w:rPr>
          <w:rFonts w:ascii="Arial" w:hAnsi="Arial" w:cs="Arial"/>
          <w:sz w:val="22"/>
          <w:lang w:val="en-US"/>
        </w:rPr>
        <w:t>Concordia University</w:t>
      </w:r>
      <w:r w:rsidR="00723E0E">
        <w:rPr>
          <w:rFonts w:ascii="Arial" w:hAnsi="Arial" w:cs="Arial"/>
          <w:sz w:val="22"/>
          <w:lang w:val="en-US"/>
        </w:rPr>
        <w:t xml:space="preserve"> for access to and</w:t>
      </w:r>
      <w:r w:rsidRPr="003F7CCA">
        <w:rPr>
          <w:rFonts w:ascii="Arial" w:hAnsi="Arial" w:cs="Arial"/>
          <w:sz w:val="22"/>
          <w:lang w:val="en-US"/>
        </w:rPr>
        <w:t xml:space="preserve"> </w:t>
      </w:r>
      <w:r w:rsidR="00723E0E">
        <w:rPr>
          <w:rFonts w:ascii="Arial" w:hAnsi="Arial" w:cs="Arial"/>
          <w:sz w:val="22"/>
          <w:lang w:val="en-US"/>
        </w:rPr>
        <w:t xml:space="preserve">modifications of their </w:t>
      </w:r>
      <w:r w:rsidRPr="003F7CCA">
        <w:rPr>
          <w:rFonts w:ascii="Arial" w:hAnsi="Arial" w:cs="Arial"/>
          <w:sz w:val="22"/>
          <w:lang w:val="en-US"/>
        </w:rPr>
        <w:t xml:space="preserve">online training module </w:t>
      </w:r>
      <w:r w:rsidR="00723E0E">
        <w:rPr>
          <w:rFonts w:ascii="Arial" w:hAnsi="Arial" w:cs="Arial"/>
          <w:sz w:val="22"/>
          <w:lang w:val="en-US"/>
        </w:rPr>
        <w:t xml:space="preserve">“It Takes All of Us–Creating a Campus Community Free of Sexual Violence”. This module will be </w:t>
      </w:r>
      <w:r w:rsidRPr="003F7CCA">
        <w:rPr>
          <w:rFonts w:ascii="Arial" w:hAnsi="Arial" w:cs="Arial"/>
          <w:sz w:val="22"/>
          <w:lang w:val="en-US"/>
        </w:rPr>
        <w:t xml:space="preserve">mandatory for all students beginning </w:t>
      </w:r>
      <w:r w:rsidR="0020163F">
        <w:rPr>
          <w:rFonts w:ascii="Arial" w:hAnsi="Arial" w:cs="Arial"/>
          <w:sz w:val="22"/>
          <w:lang w:val="en-US"/>
        </w:rPr>
        <w:t>fa</w:t>
      </w:r>
      <w:r w:rsidR="00723E0E">
        <w:rPr>
          <w:rFonts w:ascii="Arial" w:hAnsi="Arial" w:cs="Arial"/>
          <w:sz w:val="22"/>
          <w:lang w:val="en-US"/>
        </w:rPr>
        <w:t>ll</w:t>
      </w:r>
      <w:r w:rsidRPr="003F7CCA">
        <w:rPr>
          <w:rFonts w:ascii="Arial" w:hAnsi="Arial" w:cs="Arial"/>
          <w:sz w:val="22"/>
          <w:lang w:val="en-US"/>
        </w:rPr>
        <w:t xml:space="preserve"> 2021. The program will address four themes: understanding sexual violence, consent, bystander intervention, and responding to a disclosure. </w:t>
      </w:r>
      <w:r w:rsidR="00723E0E">
        <w:rPr>
          <w:rFonts w:ascii="Arial" w:hAnsi="Arial" w:cs="Arial"/>
          <w:sz w:val="22"/>
          <w:lang w:val="en-US"/>
        </w:rPr>
        <w:t xml:space="preserve">A subsequent plan to </w:t>
      </w:r>
      <w:r w:rsidRPr="003F7CCA">
        <w:rPr>
          <w:rFonts w:ascii="Arial" w:hAnsi="Arial" w:cs="Arial"/>
          <w:sz w:val="22"/>
          <w:lang w:val="en-US"/>
        </w:rPr>
        <w:t>develop a</w:t>
      </w:r>
      <w:r w:rsidR="00723E0E">
        <w:rPr>
          <w:rFonts w:ascii="Arial" w:hAnsi="Arial" w:cs="Arial"/>
          <w:sz w:val="22"/>
          <w:lang w:val="en-US"/>
        </w:rPr>
        <w:t>n on-line training module</w:t>
      </w:r>
      <w:r w:rsidRPr="003F7CCA">
        <w:rPr>
          <w:rFonts w:ascii="Arial" w:hAnsi="Arial" w:cs="Arial"/>
          <w:sz w:val="22"/>
          <w:lang w:val="en-US"/>
        </w:rPr>
        <w:t xml:space="preserve"> for </w:t>
      </w:r>
      <w:r w:rsidR="00723E0E">
        <w:rPr>
          <w:rFonts w:ascii="Arial" w:hAnsi="Arial" w:cs="Arial"/>
          <w:sz w:val="22"/>
          <w:lang w:val="en-US"/>
        </w:rPr>
        <w:t>staff</w:t>
      </w:r>
      <w:r w:rsidRPr="003F7CCA">
        <w:rPr>
          <w:rFonts w:ascii="Arial" w:hAnsi="Arial" w:cs="Arial"/>
          <w:sz w:val="22"/>
          <w:lang w:val="en-US"/>
        </w:rPr>
        <w:t xml:space="preserve"> </w:t>
      </w:r>
      <w:r w:rsidR="00723E0E">
        <w:rPr>
          <w:rFonts w:ascii="Arial" w:hAnsi="Arial" w:cs="Arial"/>
          <w:sz w:val="22"/>
          <w:lang w:val="en-US"/>
        </w:rPr>
        <w:t xml:space="preserve">will be established during 2021-22. </w:t>
      </w:r>
    </w:p>
    <w:p w14:paraId="0E765641" w14:textId="77777777" w:rsidR="00034FAF" w:rsidRPr="006B4EAC" w:rsidRDefault="00FA00F9" w:rsidP="006B4EAC">
      <w:pPr>
        <w:pStyle w:val="NoSpacing"/>
        <w:spacing w:before="120"/>
        <w:rPr>
          <w:rFonts w:cstheme="minorHAnsi"/>
          <w:lang w:val="en-US"/>
        </w:rPr>
      </w:pPr>
      <w:r>
        <w:br w:type="page"/>
      </w:r>
    </w:p>
    <w:p w14:paraId="6CD7A26C" w14:textId="77777777" w:rsidR="00471B96" w:rsidRPr="00471B96" w:rsidRDefault="00471B96" w:rsidP="00471B96">
      <w:pPr>
        <w:pStyle w:val="Heading2"/>
        <w:rPr>
          <w:rFonts w:asciiTheme="minorHAnsi" w:hAnsiTheme="minorHAnsi" w:cstheme="minorHAnsi"/>
          <w:sz w:val="24"/>
          <w:szCs w:val="24"/>
        </w:rPr>
      </w:pPr>
      <w:r w:rsidRPr="00471B96">
        <w:rPr>
          <w:rFonts w:asciiTheme="minorHAnsi" w:hAnsiTheme="minorHAnsi" w:cstheme="minorHAnsi"/>
          <w:sz w:val="24"/>
          <w:szCs w:val="24"/>
        </w:rPr>
        <w:lastRenderedPageBreak/>
        <w:t>2020-21 Workshops/Training:</w:t>
      </w:r>
    </w:p>
    <w:p w14:paraId="277F0CE3" w14:textId="77777777" w:rsidR="00471B96" w:rsidRPr="00471B96" w:rsidRDefault="00471B96" w:rsidP="00471B96">
      <w:pPr>
        <w:pStyle w:val="ListParagraph"/>
        <w:rPr>
          <w:lang w:val="en-US"/>
        </w:rPr>
      </w:pPr>
    </w:p>
    <w:p w14:paraId="501E197C" w14:textId="77777777" w:rsidR="00471B96" w:rsidRPr="00471B96" w:rsidRDefault="00471B96" w:rsidP="00471B96">
      <w:pPr>
        <w:rPr>
          <w:rFonts w:ascii="Arial" w:hAnsi="Arial" w:cs="Arial"/>
          <w:bCs/>
          <w:sz w:val="24"/>
          <w:szCs w:val="24"/>
        </w:rPr>
      </w:pPr>
      <w:r w:rsidRPr="00471B96">
        <w:rPr>
          <w:rFonts w:ascii="Arial" w:hAnsi="Arial" w:cs="Arial"/>
          <w:bCs/>
          <w:sz w:val="24"/>
          <w:szCs w:val="24"/>
        </w:rPr>
        <w:t>During the 2020-2021 academic year, Fleming provided 3</w:t>
      </w:r>
      <w:r w:rsidR="00FA4F23">
        <w:rPr>
          <w:rFonts w:ascii="Arial" w:hAnsi="Arial" w:cs="Arial"/>
          <w:bCs/>
          <w:sz w:val="24"/>
          <w:szCs w:val="24"/>
        </w:rPr>
        <w:t>7 total</w:t>
      </w:r>
      <w:r w:rsidRPr="00471B96">
        <w:rPr>
          <w:rFonts w:ascii="Arial" w:hAnsi="Arial" w:cs="Arial"/>
          <w:bCs/>
          <w:sz w:val="24"/>
          <w:szCs w:val="24"/>
        </w:rPr>
        <w:t xml:space="preserve"> workshops for students </w:t>
      </w:r>
      <w:r w:rsidR="00FA4F23">
        <w:rPr>
          <w:rFonts w:ascii="Arial" w:hAnsi="Arial" w:cs="Arial"/>
          <w:bCs/>
          <w:sz w:val="24"/>
          <w:szCs w:val="24"/>
        </w:rPr>
        <w:t>and</w:t>
      </w:r>
      <w:r w:rsidRPr="00471B96">
        <w:rPr>
          <w:rFonts w:ascii="Arial" w:hAnsi="Arial" w:cs="Arial"/>
          <w:bCs/>
          <w:sz w:val="24"/>
          <w:szCs w:val="24"/>
        </w:rPr>
        <w:t xml:space="preserve"> employees</w:t>
      </w:r>
      <w:r w:rsidR="00CB07F8">
        <w:rPr>
          <w:rFonts w:ascii="Arial" w:hAnsi="Arial" w:cs="Arial"/>
          <w:bCs/>
          <w:sz w:val="24"/>
          <w:szCs w:val="24"/>
        </w:rPr>
        <w:t xml:space="preserve"> to</w:t>
      </w:r>
      <w:r w:rsidRPr="00471B96">
        <w:rPr>
          <w:rFonts w:ascii="Arial" w:hAnsi="Arial" w:cs="Arial"/>
          <w:bCs/>
          <w:sz w:val="24"/>
          <w:szCs w:val="24"/>
        </w:rPr>
        <w:t xml:space="preserve"> approximately 904 people. </w:t>
      </w:r>
    </w:p>
    <w:p w14:paraId="2DC48CA7" w14:textId="77777777" w:rsidR="00471B96" w:rsidRPr="00471B96" w:rsidRDefault="00471B96" w:rsidP="00471B96">
      <w:pPr>
        <w:rPr>
          <w:rFonts w:asciiTheme="minorHAnsi" w:hAnsiTheme="minorHAnsi"/>
          <w:b/>
          <w:bCs/>
        </w:rPr>
      </w:pPr>
    </w:p>
    <w:tbl>
      <w:tblPr>
        <w:tblStyle w:val="TableGrid"/>
        <w:tblW w:w="0" w:type="auto"/>
        <w:tblLook w:val="04A0" w:firstRow="1" w:lastRow="0" w:firstColumn="1" w:lastColumn="0" w:noHBand="0" w:noVBand="1"/>
      </w:tblPr>
      <w:tblGrid>
        <w:gridCol w:w="1474"/>
        <w:gridCol w:w="1434"/>
        <w:gridCol w:w="1466"/>
        <w:gridCol w:w="1609"/>
        <w:gridCol w:w="1387"/>
        <w:gridCol w:w="1492"/>
      </w:tblGrid>
      <w:tr w:rsidR="00471B96" w14:paraId="1E8C941C" w14:textId="77777777" w:rsidTr="00266408">
        <w:tc>
          <w:tcPr>
            <w:tcW w:w="1544" w:type="dxa"/>
          </w:tcPr>
          <w:p w14:paraId="6854BE01"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Target group and type of session</w:t>
            </w:r>
          </w:p>
        </w:tc>
        <w:tc>
          <w:tcPr>
            <w:tcW w:w="1536" w:type="dxa"/>
          </w:tcPr>
          <w:p w14:paraId="160A1651"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Sexual Violence Prevention Level 1:</w:t>
            </w:r>
          </w:p>
          <w:p w14:paraId="1C06CEC3"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Informed</w:t>
            </w:r>
          </w:p>
          <w:p w14:paraId="4C36BE32"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 xml:space="preserve">Support </w:t>
            </w:r>
          </w:p>
        </w:tc>
        <w:tc>
          <w:tcPr>
            <w:tcW w:w="1549" w:type="dxa"/>
          </w:tcPr>
          <w:p w14:paraId="6B2B5635"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Sexual Violence Prevention Level 2: Bystander intervention</w:t>
            </w:r>
          </w:p>
        </w:tc>
        <w:tc>
          <w:tcPr>
            <w:tcW w:w="1661" w:type="dxa"/>
          </w:tcPr>
          <w:p w14:paraId="78972B7B"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Healthy Relationships/ Healthy Sexuality</w:t>
            </w:r>
          </w:p>
          <w:p w14:paraId="5A6C142E"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Workshops</w:t>
            </w:r>
          </w:p>
        </w:tc>
        <w:tc>
          <w:tcPr>
            <w:tcW w:w="1521" w:type="dxa"/>
          </w:tcPr>
          <w:p w14:paraId="7F4F0458" w14:textId="77777777" w:rsidR="00471B96" w:rsidRPr="00CB07F8" w:rsidRDefault="00471B96" w:rsidP="00266408">
            <w:pPr>
              <w:rPr>
                <w:rFonts w:asciiTheme="majorHAnsi" w:eastAsiaTheme="majorEastAsia" w:hAnsiTheme="majorHAnsi" w:cstheme="majorHAnsi"/>
                <w:sz w:val="20"/>
                <w:szCs w:val="20"/>
                <w:lang w:val="en-US"/>
              </w:rPr>
            </w:pPr>
            <w:proofErr w:type="spellStart"/>
            <w:r w:rsidRPr="00CB07F8">
              <w:rPr>
                <w:rFonts w:asciiTheme="majorHAnsi" w:eastAsiaTheme="majorEastAsia" w:hAnsiTheme="majorHAnsi" w:cstheme="majorHAnsi"/>
                <w:sz w:val="20"/>
                <w:szCs w:val="20"/>
                <w:lang w:val="en-US"/>
              </w:rPr>
              <w:t>MENding</w:t>
            </w:r>
            <w:proofErr w:type="spellEnd"/>
            <w:r w:rsidRPr="00CB07F8">
              <w:rPr>
                <w:rFonts w:asciiTheme="majorHAnsi" w:eastAsiaTheme="majorEastAsia" w:hAnsiTheme="majorHAnsi" w:cstheme="majorHAnsi"/>
                <w:sz w:val="20"/>
                <w:szCs w:val="20"/>
                <w:lang w:val="en-US"/>
              </w:rPr>
              <w:t xml:space="preserve"> or Young Men Leading Change Series (men only)</w:t>
            </w:r>
          </w:p>
        </w:tc>
        <w:tc>
          <w:tcPr>
            <w:tcW w:w="1521" w:type="dxa"/>
          </w:tcPr>
          <w:p w14:paraId="1566A9CB"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Positive Space Training (marginalized sexuality &amp; gender minorities)</w:t>
            </w:r>
          </w:p>
        </w:tc>
      </w:tr>
      <w:tr w:rsidR="00471B96" w14:paraId="1C74F1DA" w14:textId="77777777" w:rsidTr="00266408">
        <w:tc>
          <w:tcPr>
            <w:tcW w:w="1544" w:type="dxa"/>
          </w:tcPr>
          <w:p w14:paraId="121AB4F7"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Residence Life Staff</w:t>
            </w:r>
          </w:p>
          <w:p w14:paraId="259D2373" w14:textId="77777777" w:rsidR="00471B96" w:rsidRPr="00CB07F8" w:rsidRDefault="00471B96" w:rsidP="00266408">
            <w:pPr>
              <w:rPr>
                <w:rFonts w:asciiTheme="majorHAnsi" w:eastAsiaTheme="majorEastAsia" w:hAnsiTheme="majorHAnsi" w:cstheme="majorHAnsi"/>
                <w:sz w:val="20"/>
                <w:szCs w:val="20"/>
                <w:lang w:val="en-US"/>
              </w:rPr>
            </w:pPr>
          </w:p>
        </w:tc>
        <w:tc>
          <w:tcPr>
            <w:tcW w:w="1536" w:type="dxa"/>
          </w:tcPr>
          <w:p w14:paraId="1865C3B4" w14:textId="77777777" w:rsidR="00471B96" w:rsidRPr="00CB07F8" w:rsidRDefault="00471B96" w:rsidP="00266408">
            <w:pPr>
              <w:jc w:val="center"/>
              <w:rPr>
                <w:rFonts w:asciiTheme="majorHAnsi" w:eastAsiaTheme="majorEastAsia" w:hAnsiTheme="majorHAnsi" w:cstheme="majorHAnsi"/>
                <w:sz w:val="20"/>
                <w:szCs w:val="20"/>
                <w:lang w:val="en-US"/>
              </w:rPr>
            </w:pPr>
          </w:p>
          <w:p w14:paraId="13118A77"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49" w:type="dxa"/>
          </w:tcPr>
          <w:p w14:paraId="22F9A1F1" w14:textId="77777777" w:rsidR="00471B96" w:rsidRPr="00CB07F8" w:rsidRDefault="00471B96" w:rsidP="00266408">
            <w:pPr>
              <w:jc w:val="center"/>
              <w:rPr>
                <w:rFonts w:asciiTheme="majorHAnsi" w:eastAsiaTheme="majorEastAsia" w:hAnsiTheme="majorHAnsi" w:cstheme="majorHAnsi"/>
                <w:sz w:val="20"/>
                <w:szCs w:val="20"/>
                <w:lang w:val="en-US"/>
              </w:rPr>
            </w:pPr>
          </w:p>
          <w:p w14:paraId="5DC6628E"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661" w:type="dxa"/>
          </w:tcPr>
          <w:p w14:paraId="1EBFD0C8"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3FB95169"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4375114C" w14:textId="77777777" w:rsidR="00471B96" w:rsidRPr="00CB07F8" w:rsidRDefault="00471B96" w:rsidP="00266408">
            <w:pPr>
              <w:jc w:val="center"/>
              <w:rPr>
                <w:rFonts w:asciiTheme="majorHAnsi" w:eastAsiaTheme="majorEastAsia" w:hAnsiTheme="majorHAnsi" w:cstheme="majorHAnsi"/>
                <w:sz w:val="20"/>
                <w:szCs w:val="20"/>
                <w:lang w:val="en-US"/>
              </w:rPr>
            </w:pPr>
          </w:p>
          <w:p w14:paraId="7D255684"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r>
      <w:tr w:rsidR="00471B96" w14:paraId="62F4A15E" w14:textId="77777777" w:rsidTr="00266408">
        <w:tc>
          <w:tcPr>
            <w:tcW w:w="1544" w:type="dxa"/>
          </w:tcPr>
          <w:p w14:paraId="4D6F0140"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Students in Residence (mandatory)</w:t>
            </w:r>
          </w:p>
        </w:tc>
        <w:tc>
          <w:tcPr>
            <w:tcW w:w="1536" w:type="dxa"/>
          </w:tcPr>
          <w:p w14:paraId="368FD1E9" w14:textId="77777777" w:rsidR="00471B96" w:rsidRPr="00CB07F8" w:rsidRDefault="00471B96" w:rsidP="00266408">
            <w:pPr>
              <w:jc w:val="center"/>
              <w:rPr>
                <w:rFonts w:asciiTheme="majorHAnsi" w:eastAsiaTheme="majorEastAsia" w:hAnsiTheme="majorHAnsi" w:cstheme="majorHAnsi"/>
                <w:sz w:val="20"/>
                <w:szCs w:val="20"/>
                <w:lang w:val="en-US"/>
              </w:rPr>
            </w:pPr>
          </w:p>
          <w:p w14:paraId="4674B36E"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49" w:type="dxa"/>
          </w:tcPr>
          <w:p w14:paraId="0614705C" w14:textId="77777777" w:rsidR="00471B96" w:rsidRPr="00CB07F8" w:rsidRDefault="00471B96" w:rsidP="00266408">
            <w:pPr>
              <w:jc w:val="center"/>
              <w:rPr>
                <w:rFonts w:asciiTheme="majorHAnsi" w:eastAsiaTheme="majorEastAsia" w:hAnsiTheme="majorHAnsi" w:cstheme="majorHAnsi"/>
                <w:sz w:val="20"/>
                <w:szCs w:val="20"/>
                <w:lang w:val="en-US"/>
              </w:rPr>
            </w:pPr>
          </w:p>
          <w:p w14:paraId="59273464"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661" w:type="dxa"/>
          </w:tcPr>
          <w:p w14:paraId="5011B84B"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52D7F886"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4266205F" w14:textId="77777777" w:rsidR="00471B96" w:rsidRPr="00CB07F8" w:rsidRDefault="00471B96" w:rsidP="00266408">
            <w:pPr>
              <w:jc w:val="center"/>
              <w:rPr>
                <w:rFonts w:asciiTheme="majorHAnsi" w:eastAsiaTheme="majorEastAsia" w:hAnsiTheme="majorHAnsi" w:cstheme="majorHAnsi"/>
                <w:sz w:val="20"/>
                <w:szCs w:val="20"/>
                <w:lang w:val="en-US"/>
              </w:rPr>
            </w:pPr>
          </w:p>
        </w:tc>
      </w:tr>
      <w:tr w:rsidR="00471B96" w14:paraId="7A23C651" w14:textId="77777777" w:rsidTr="00266408">
        <w:tc>
          <w:tcPr>
            <w:tcW w:w="1544" w:type="dxa"/>
          </w:tcPr>
          <w:p w14:paraId="5DDF9094"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Coaches &amp; Athletes * (mandatory)</w:t>
            </w:r>
          </w:p>
        </w:tc>
        <w:tc>
          <w:tcPr>
            <w:tcW w:w="1536" w:type="dxa"/>
          </w:tcPr>
          <w:p w14:paraId="64BA5A26"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49" w:type="dxa"/>
          </w:tcPr>
          <w:p w14:paraId="5C216295"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661" w:type="dxa"/>
          </w:tcPr>
          <w:p w14:paraId="07CFD4DC"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4B25B085"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7FF1CBC8" w14:textId="77777777" w:rsidR="00471B96" w:rsidRPr="00CB07F8" w:rsidRDefault="00471B96" w:rsidP="00266408">
            <w:pPr>
              <w:jc w:val="center"/>
              <w:rPr>
                <w:rFonts w:asciiTheme="majorHAnsi" w:eastAsiaTheme="majorEastAsia" w:hAnsiTheme="majorHAnsi" w:cstheme="majorHAnsi"/>
                <w:sz w:val="20"/>
                <w:szCs w:val="20"/>
                <w:lang w:val="en-US"/>
              </w:rPr>
            </w:pPr>
          </w:p>
        </w:tc>
      </w:tr>
      <w:tr w:rsidR="00471B96" w14:paraId="39E8CAF6" w14:textId="77777777" w:rsidTr="00266408">
        <w:tc>
          <w:tcPr>
            <w:tcW w:w="1544" w:type="dxa"/>
          </w:tcPr>
          <w:p w14:paraId="497C0BA2"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Faculty Onboarding</w:t>
            </w:r>
          </w:p>
          <w:p w14:paraId="36D72995" w14:textId="77777777" w:rsidR="00471B96" w:rsidRPr="00CB07F8" w:rsidRDefault="00471B96" w:rsidP="00266408">
            <w:pPr>
              <w:rPr>
                <w:rFonts w:asciiTheme="majorHAnsi" w:eastAsiaTheme="majorEastAsia" w:hAnsiTheme="majorHAnsi" w:cstheme="majorHAnsi"/>
                <w:sz w:val="20"/>
                <w:szCs w:val="20"/>
                <w:lang w:val="en-US"/>
              </w:rPr>
            </w:pPr>
          </w:p>
        </w:tc>
        <w:tc>
          <w:tcPr>
            <w:tcW w:w="1536" w:type="dxa"/>
          </w:tcPr>
          <w:p w14:paraId="776309E6" w14:textId="77777777" w:rsidR="00471B96" w:rsidRPr="00CB07F8" w:rsidRDefault="00471B96" w:rsidP="00266408">
            <w:pPr>
              <w:jc w:val="center"/>
              <w:rPr>
                <w:rFonts w:asciiTheme="majorHAnsi" w:eastAsiaTheme="majorEastAsia" w:hAnsiTheme="majorHAnsi" w:cstheme="majorHAnsi"/>
                <w:sz w:val="20"/>
                <w:szCs w:val="20"/>
                <w:lang w:val="en-US"/>
              </w:rPr>
            </w:pPr>
          </w:p>
          <w:p w14:paraId="2D7FB56A"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49" w:type="dxa"/>
          </w:tcPr>
          <w:p w14:paraId="175F7CE6"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661" w:type="dxa"/>
          </w:tcPr>
          <w:p w14:paraId="454751C8"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5C193168"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4D89551F" w14:textId="77777777" w:rsidR="00471B96" w:rsidRPr="00CB07F8" w:rsidRDefault="00471B96" w:rsidP="00266408">
            <w:pPr>
              <w:jc w:val="center"/>
              <w:rPr>
                <w:rFonts w:asciiTheme="majorHAnsi" w:eastAsiaTheme="majorEastAsia" w:hAnsiTheme="majorHAnsi" w:cstheme="majorHAnsi"/>
                <w:sz w:val="20"/>
                <w:szCs w:val="20"/>
                <w:lang w:val="en-US"/>
              </w:rPr>
            </w:pPr>
          </w:p>
          <w:p w14:paraId="28936725"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r>
      <w:tr w:rsidR="00471B96" w14:paraId="6F9BF1F2" w14:textId="77777777" w:rsidTr="00266408">
        <w:tc>
          <w:tcPr>
            <w:tcW w:w="1544" w:type="dxa"/>
          </w:tcPr>
          <w:p w14:paraId="32BF1503"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Security</w:t>
            </w:r>
            <w:r w:rsidR="004F6E68">
              <w:rPr>
                <w:rFonts w:asciiTheme="majorHAnsi" w:eastAsiaTheme="majorEastAsia" w:hAnsiTheme="majorHAnsi" w:cstheme="majorHAnsi"/>
                <w:sz w:val="20"/>
                <w:szCs w:val="20"/>
                <w:lang w:val="en-US"/>
              </w:rPr>
              <w:t>*</w:t>
            </w:r>
          </w:p>
          <w:p w14:paraId="6795DF2A" w14:textId="77777777" w:rsidR="00471B96" w:rsidRPr="00CB07F8" w:rsidRDefault="00471B96" w:rsidP="00266408">
            <w:pPr>
              <w:rPr>
                <w:rFonts w:asciiTheme="majorHAnsi" w:eastAsiaTheme="majorEastAsia" w:hAnsiTheme="majorHAnsi" w:cstheme="majorHAnsi"/>
                <w:sz w:val="20"/>
                <w:szCs w:val="20"/>
                <w:lang w:val="en-US"/>
              </w:rPr>
            </w:pPr>
          </w:p>
          <w:p w14:paraId="7B9F4E9B" w14:textId="77777777" w:rsidR="00471B96" w:rsidRPr="00CB07F8" w:rsidRDefault="00471B96" w:rsidP="00266408">
            <w:pPr>
              <w:rPr>
                <w:rFonts w:asciiTheme="majorHAnsi" w:eastAsiaTheme="majorEastAsia" w:hAnsiTheme="majorHAnsi" w:cstheme="majorHAnsi"/>
                <w:sz w:val="20"/>
                <w:szCs w:val="20"/>
                <w:lang w:val="en-US"/>
              </w:rPr>
            </w:pPr>
          </w:p>
        </w:tc>
        <w:tc>
          <w:tcPr>
            <w:tcW w:w="1536" w:type="dxa"/>
          </w:tcPr>
          <w:p w14:paraId="29979648"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49" w:type="dxa"/>
          </w:tcPr>
          <w:p w14:paraId="376D194E"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661" w:type="dxa"/>
          </w:tcPr>
          <w:p w14:paraId="6F70944F"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4CF685C5" w14:textId="77777777" w:rsidR="00471B96" w:rsidRPr="00CB07F8" w:rsidRDefault="00471B96" w:rsidP="00266408">
            <w:pPr>
              <w:jc w:val="center"/>
              <w:rPr>
                <w:rFonts w:asciiTheme="majorHAnsi" w:eastAsiaTheme="majorEastAsia" w:hAnsiTheme="majorHAnsi" w:cstheme="majorHAnsi"/>
                <w:sz w:val="20"/>
                <w:szCs w:val="20"/>
                <w:lang w:val="en-US"/>
              </w:rPr>
            </w:pPr>
          </w:p>
        </w:tc>
        <w:tc>
          <w:tcPr>
            <w:tcW w:w="1521" w:type="dxa"/>
          </w:tcPr>
          <w:p w14:paraId="2876C623" w14:textId="77777777" w:rsidR="00471B96" w:rsidRPr="00CB07F8" w:rsidRDefault="00471B96" w:rsidP="00266408">
            <w:pPr>
              <w:jc w:val="center"/>
              <w:rPr>
                <w:rFonts w:asciiTheme="majorHAnsi" w:eastAsiaTheme="majorEastAsia" w:hAnsiTheme="majorHAnsi" w:cstheme="majorHAnsi"/>
                <w:sz w:val="20"/>
                <w:szCs w:val="20"/>
                <w:lang w:val="en-US"/>
              </w:rPr>
            </w:pPr>
          </w:p>
        </w:tc>
      </w:tr>
      <w:tr w:rsidR="00471B96" w14:paraId="760C8B5D" w14:textId="77777777" w:rsidTr="00266408">
        <w:tc>
          <w:tcPr>
            <w:tcW w:w="1544" w:type="dxa"/>
          </w:tcPr>
          <w:p w14:paraId="4C9DCAD2"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Classroom Sessions</w:t>
            </w:r>
          </w:p>
          <w:p w14:paraId="5C7AC882" w14:textId="77777777" w:rsidR="00471B96" w:rsidRPr="00CB07F8" w:rsidRDefault="00471B96" w:rsidP="00266408">
            <w:pPr>
              <w:rPr>
                <w:rFonts w:asciiTheme="majorHAnsi" w:eastAsiaTheme="majorEastAsia" w:hAnsiTheme="majorHAnsi" w:cstheme="majorHAnsi"/>
                <w:sz w:val="20"/>
                <w:szCs w:val="20"/>
                <w:lang w:val="en-US"/>
              </w:rPr>
            </w:pPr>
          </w:p>
        </w:tc>
        <w:tc>
          <w:tcPr>
            <w:tcW w:w="1536" w:type="dxa"/>
          </w:tcPr>
          <w:p w14:paraId="6D6B047B" w14:textId="77777777" w:rsidR="00471B96" w:rsidRPr="00CB07F8" w:rsidRDefault="00471B96" w:rsidP="00266408">
            <w:pPr>
              <w:jc w:val="center"/>
              <w:rPr>
                <w:rFonts w:asciiTheme="majorHAnsi" w:eastAsiaTheme="majorEastAsia" w:hAnsiTheme="majorHAnsi" w:cstheme="majorHAnsi"/>
                <w:sz w:val="20"/>
                <w:szCs w:val="20"/>
                <w:lang w:val="en-US"/>
              </w:rPr>
            </w:pPr>
          </w:p>
          <w:p w14:paraId="3D97DA0B"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49" w:type="dxa"/>
          </w:tcPr>
          <w:p w14:paraId="0594BF7A" w14:textId="77777777" w:rsidR="00471B96" w:rsidRPr="00CB07F8" w:rsidRDefault="00471B96" w:rsidP="00266408">
            <w:pPr>
              <w:jc w:val="center"/>
              <w:rPr>
                <w:rFonts w:asciiTheme="majorHAnsi" w:eastAsiaTheme="majorEastAsia" w:hAnsiTheme="majorHAnsi" w:cstheme="majorHAnsi"/>
                <w:sz w:val="20"/>
                <w:szCs w:val="20"/>
                <w:lang w:val="en-US"/>
              </w:rPr>
            </w:pPr>
          </w:p>
          <w:p w14:paraId="368258E1"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661" w:type="dxa"/>
          </w:tcPr>
          <w:p w14:paraId="41987400" w14:textId="77777777" w:rsidR="00471B96" w:rsidRPr="00CB07F8" w:rsidRDefault="00471B96" w:rsidP="00266408">
            <w:pPr>
              <w:jc w:val="center"/>
              <w:rPr>
                <w:rFonts w:asciiTheme="majorHAnsi" w:eastAsiaTheme="majorEastAsia" w:hAnsiTheme="majorHAnsi" w:cstheme="majorHAnsi"/>
                <w:sz w:val="20"/>
                <w:szCs w:val="20"/>
                <w:lang w:val="en-US"/>
              </w:rPr>
            </w:pPr>
          </w:p>
          <w:p w14:paraId="10A6E9B0"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21" w:type="dxa"/>
          </w:tcPr>
          <w:p w14:paraId="6E5FB590" w14:textId="77777777" w:rsidR="00471B96" w:rsidRPr="00CB07F8" w:rsidRDefault="00471B96" w:rsidP="00266408">
            <w:pPr>
              <w:jc w:val="center"/>
              <w:rPr>
                <w:rFonts w:asciiTheme="majorHAnsi" w:eastAsiaTheme="majorEastAsia" w:hAnsiTheme="majorHAnsi" w:cstheme="majorHAnsi"/>
                <w:sz w:val="20"/>
                <w:szCs w:val="20"/>
                <w:lang w:val="en-US"/>
              </w:rPr>
            </w:pPr>
          </w:p>
          <w:p w14:paraId="68C55118"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21" w:type="dxa"/>
          </w:tcPr>
          <w:p w14:paraId="74C4E241" w14:textId="77777777" w:rsidR="00471B96" w:rsidRPr="00CB07F8" w:rsidRDefault="00471B96" w:rsidP="00266408">
            <w:pPr>
              <w:jc w:val="center"/>
              <w:rPr>
                <w:rFonts w:asciiTheme="majorHAnsi" w:eastAsiaTheme="majorEastAsia" w:hAnsiTheme="majorHAnsi" w:cstheme="majorHAnsi"/>
                <w:sz w:val="20"/>
                <w:szCs w:val="20"/>
                <w:lang w:val="en-US"/>
              </w:rPr>
            </w:pPr>
          </w:p>
          <w:p w14:paraId="4028BDF7"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r>
      <w:tr w:rsidR="00471B96" w14:paraId="7C0A781D" w14:textId="77777777" w:rsidTr="00266408">
        <w:tc>
          <w:tcPr>
            <w:tcW w:w="1544" w:type="dxa"/>
          </w:tcPr>
          <w:p w14:paraId="5A4B586F" w14:textId="77777777" w:rsidR="00471B96" w:rsidRPr="00CB07F8" w:rsidRDefault="00471B96" w:rsidP="00266408">
            <w:pP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Open Sessions</w:t>
            </w:r>
          </w:p>
          <w:p w14:paraId="178C78A9" w14:textId="77777777" w:rsidR="00471B96" w:rsidRPr="00CB07F8" w:rsidRDefault="00471B96" w:rsidP="00266408">
            <w:pPr>
              <w:rPr>
                <w:rFonts w:asciiTheme="majorHAnsi" w:eastAsiaTheme="majorEastAsia" w:hAnsiTheme="majorHAnsi" w:cstheme="majorHAnsi"/>
                <w:sz w:val="20"/>
                <w:szCs w:val="20"/>
                <w:lang w:val="en-US"/>
              </w:rPr>
            </w:pPr>
          </w:p>
        </w:tc>
        <w:tc>
          <w:tcPr>
            <w:tcW w:w="1536" w:type="dxa"/>
          </w:tcPr>
          <w:p w14:paraId="02FDB92D" w14:textId="77777777" w:rsidR="00471B96" w:rsidRPr="00CB07F8" w:rsidRDefault="00471B96" w:rsidP="00266408">
            <w:pPr>
              <w:jc w:val="center"/>
              <w:rPr>
                <w:rFonts w:asciiTheme="majorHAnsi" w:eastAsiaTheme="majorEastAsia" w:hAnsiTheme="majorHAnsi" w:cstheme="majorHAnsi"/>
                <w:sz w:val="20"/>
                <w:szCs w:val="20"/>
                <w:lang w:val="en-US"/>
              </w:rPr>
            </w:pPr>
          </w:p>
          <w:p w14:paraId="5AB5954A"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49" w:type="dxa"/>
          </w:tcPr>
          <w:p w14:paraId="032D1C98" w14:textId="77777777" w:rsidR="00471B96" w:rsidRPr="00CB07F8" w:rsidRDefault="00471B96" w:rsidP="00266408">
            <w:pPr>
              <w:jc w:val="center"/>
              <w:rPr>
                <w:rFonts w:asciiTheme="majorHAnsi" w:eastAsiaTheme="majorEastAsia" w:hAnsiTheme="majorHAnsi" w:cstheme="majorHAnsi"/>
                <w:sz w:val="20"/>
                <w:szCs w:val="20"/>
                <w:lang w:val="en-US"/>
              </w:rPr>
            </w:pPr>
          </w:p>
          <w:p w14:paraId="74AE9C20"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661" w:type="dxa"/>
          </w:tcPr>
          <w:p w14:paraId="69A87E92" w14:textId="77777777" w:rsidR="00471B96" w:rsidRPr="00CB07F8" w:rsidRDefault="00471B96" w:rsidP="00266408">
            <w:pPr>
              <w:jc w:val="center"/>
              <w:rPr>
                <w:rFonts w:asciiTheme="majorHAnsi" w:eastAsiaTheme="majorEastAsia" w:hAnsiTheme="majorHAnsi" w:cstheme="majorHAnsi"/>
                <w:sz w:val="20"/>
                <w:szCs w:val="20"/>
                <w:lang w:val="en-US"/>
              </w:rPr>
            </w:pPr>
          </w:p>
          <w:p w14:paraId="000C9D0E"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21" w:type="dxa"/>
          </w:tcPr>
          <w:p w14:paraId="7EF1D8C8" w14:textId="77777777" w:rsidR="00471B96" w:rsidRPr="00CB07F8" w:rsidRDefault="00471B96" w:rsidP="00266408">
            <w:pPr>
              <w:jc w:val="center"/>
              <w:rPr>
                <w:rFonts w:asciiTheme="majorHAnsi" w:eastAsiaTheme="majorEastAsia" w:hAnsiTheme="majorHAnsi" w:cstheme="majorHAnsi"/>
                <w:sz w:val="20"/>
                <w:szCs w:val="20"/>
                <w:lang w:val="en-US"/>
              </w:rPr>
            </w:pPr>
          </w:p>
          <w:p w14:paraId="1F16616D"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c>
          <w:tcPr>
            <w:tcW w:w="1521" w:type="dxa"/>
          </w:tcPr>
          <w:p w14:paraId="38A461F3" w14:textId="77777777" w:rsidR="00471B96" w:rsidRPr="00CB07F8" w:rsidRDefault="00471B96" w:rsidP="00266408">
            <w:pPr>
              <w:jc w:val="center"/>
              <w:rPr>
                <w:rFonts w:asciiTheme="majorHAnsi" w:eastAsiaTheme="majorEastAsia" w:hAnsiTheme="majorHAnsi" w:cstheme="majorHAnsi"/>
                <w:sz w:val="20"/>
                <w:szCs w:val="20"/>
                <w:lang w:val="en-US"/>
              </w:rPr>
            </w:pPr>
          </w:p>
          <w:p w14:paraId="154E6878" w14:textId="77777777" w:rsidR="00471B96" w:rsidRPr="00CB07F8" w:rsidRDefault="00471B96" w:rsidP="00266408">
            <w:pPr>
              <w:jc w:val="center"/>
              <w:rPr>
                <w:rFonts w:asciiTheme="majorHAnsi" w:eastAsiaTheme="majorEastAsia" w:hAnsiTheme="majorHAnsi" w:cstheme="majorHAnsi"/>
                <w:sz w:val="20"/>
                <w:szCs w:val="20"/>
                <w:lang w:val="en-US"/>
              </w:rPr>
            </w:pPr>
            <w:r w:rsidRPr="00CB07F8">
              <w:rPr>
                <w:rFonts w:asciiTheme="majorHAnsi" w:eastAsiaTheme="majorEastAsia" w:hAnsiTheme="majorHAnsi" w:cstheme="majorHAnsi"/>
                <w:sz w:val="20"/>
                <w:szCs w:val="20"/>
                <w:lang w:val="en-US"/>
              </w:rPr>
              <w:t>X</w:t>
            </w:r>
          </w:p>
        </w:tc>
      </w:tr>
    </w:tbl>
    <w:p w14:paraId="38AEFD67" w14:textId="77777777" w:rsidR="00471B96" w:rsidRPr="0081789E" w:rsidRDefault="00471B96" w:rsidP="0081789E">
      <w:pPr>
        <w:ind w:left="360"/>
        <w:rPr>
          <w:i/>
          <w:iCs/>
          <w:sz w:val="20"/>
          <w:szCs w:val="20"/>
        </w:rPr>
      </w:pPr>
      <w:r w:rsidRPr="0081789E">
        <w:rPr>
          <w:i/>
          <w:iCs/>
          <w:sz w:val="20"/>
          <w:szCs w:val="20"/>
        </w:rPr>
        <w:t xml:space="preserve">* </w:t>
      </w:r>
      <w:r w:rsidR="00FA4F23" w:rsidRPr="0081789E">
        <w:rPr>
          <w:i/>
          <w:iCs/>
          <w:sz w:val="20"/>
          <w:szCs w:val="20"/>
        </w:rPr>
        <w:t xml:space="preserve">Mandatory </w:t>
      </w:r>
      <w:r w:rsidRPr="0081789E">
        <w:rPr>
          <w:i/>
          <w:iCs/>
          <w:sz w:val="20"/>
          <w:szCs w:val="20"/>
        </w:rPr>
        <w:t xml:space="preserve">workshop for </w:t>
      </w:r>
      <w:r w:rsidR="00FA4F23" w:rsidRPr="0081789E">
        <w:rPr>
          <w:i/>
          <w:iCs/>
          <w:sz w:val="20"/>
          <w:szCs w:val="20"/>
        </w:rPr>
        <w:t>student-</w:t>
      </w:r>
      <w:r w:rsidRPr="0081789E">
        <w:rPr>
          <w:i/>
          <w:iCs/>
          <w:sz w:val="20"/>
          <w:szCs w:val="20"/>
        </w:rPr>
        <w:t>athletes and coaches w</w:t>
      </w:r>
      <w:r w:rsidR="00FA4F23" w:rsidRPr="0081789E">
        <w:rPr>
          <w:i/>
          <w:iCs/>
          <w:sz w:val="20"/>
          <w:szCs w:val="20"/>
        </w:rPr>
        <w:t>as</w:t>
      </w:r>
      <w:r w:rsidRPr="0081789E">
        <w:rPr>
          <w:i/>
          <w:iCs/>
          <w:sz w:val="20"/>
          <w:szCs w:val="20"/>
        </w:rPr>
        <w:t xml:space="preserve"> not </w:t>
      </w:r>
      <w:r w:rsidR="00FA4F23" w:rsidRPr="0081789E">
        <w:rPr>
          <w:i/>
          <w:iCs/>
          <w:sz w:val="20"/>
          <w:szCs w:val="20"/>
        </w:rPr>
        <w:t>implemented</w:t>
      </w:r>
      <w:r w:rsidRPr="0081789E">
        <w:rPr>
          <w:i/>
          <w:iCs/>
          <w:sz w:val="20"/>
          <w:szCs w:val="20"/>
        </w:rPr>
        <w:t xml:space="preserve"> due to the cancelation of Varsity sports for the </w:t>
      </w:r>
      <w:r w:rsidR="00FA4F23" w:rsidRPr="0081789E">
        <w:rPr>
          <w:i/>
          <w:iCs/>
          <w:sz w:val="20"/>
          <w:szCs w:val="20"/>
        </w:rPr>
        <w:t>20</w:t>
      </w:r>
      <w:r w:rsidRPr="0081789E">
        <w:rPr>
          <w:i/>
          <w:iCs/>
          <w:sz w:val="20"/>
          <w:szCs w:val="20"/>
        </w:rPr>
        <w:t>20-21 academic year.</w:t>
      </w:r>
    </w:p>
    <w:p w14:paraId="2C3C1E7A" w14:textId="77777777" w:rsidR="004D086A" w:rsidRPr="0081789E" w:rsidRDefault="004D086A" w:rsidP="0081789E">
      <w:pPr>
        <w:ind w:left="360"/>
        <w:rPr>
          <w:i/>
          <w:iCs/>
          <w:sz w:val="20"/>
          <w:szCs w:val="20"/>
        </w:rPr>
      </w:pPr>
      <w:r w:rsidRPr="0081789E">
        <w:rPr>
          <w:i/>
          <w:iCs/>
          <w:sz w:val="20"/>
          <w:szCs w:val="20"/>
        </w:rPr>
        <w:t xml:space="preserve">* Security training planned for summer 2021 for new security and refresher for current security </w:t>
      </w:r>
    </w:p>
    <w:p w14:paraId="196A01CB" w14:textId="77777777" w:rsidR="007D75A3" w:rsidRDefault="007D75A3" w:rsidP="00113955">
      <w:pPr>
        <w:autoSpaceDE w:val="0"/>
        <w:autoSpaceDN w:val="0"/>
        <w:adjustRightInd w:val="0"/>
        <w:rPr>
          <w:rFonts w:ascii="Arial" w:hAnsi="Arial" w:cs="Arial"/>
          <w:b/>
          <w:bCs/>
        </w:rPr>
      </w:pPr>
    </w:p>
    <w:p w14:paraId="12D38990" w14:textId="77777777" w:rsidR="00113955" w:rsidRPr="007D75A3" w:rsidRDefault="00113955" w:rsidP="00113955">
      <w:pPr>
        <w:autoSpaceDE w:val="0"/>
        <w:autoSpaceDN w:val="0"/>
        <w:adjustRightInd w:val="0"/>
        <w:rPr>
          <w:rFonts w:ascii="Arial" w:hAnsi="Arial" w:cs="Arial"/>
          <w:b/>
          <w:bCs/>
        </w:rPr>
      </w:pPr>
      <w:r w:rsidRPr="007D75A3">
        <w:rPr>
          <w:rFonts w:ascii="Arial" w:hAnsi="Arial" w:cs="Arial"/>
          <w:b/>
          <w:bCs/>
        </w:rPr>
        <w:t>Reported Incidents:</w:t>
      </w:r>
    </w:p>
    <w:p w14:paraId="5851115C" w14:textId="77777777" w:rsidR="00113955" w:rsidRPr="007D75A3" w:rsidRDefault="00113955" w:rsidP="00113955">
      <w:pPr>
        <w:autoSpaceDE w:val="0"/>
        <w:autoSpaceDN w:val="0"/>
        <w:adjustRightInd w:val="0"/>
        <w:rPr>
          <w:rFonts w:ascii="Arial" w:hAnsi="Arial" w:cs="Arial"/>
          <w:b/>
          <w:bCs/>
        </w:rPr>
      </w:pPr>
    </w:p>
    <w:p w14:paraId="3913CB2B" w14:textId="77777777" w:rsidR="00742C2A" w:rsidRDefault="006B4EAC" w:rsidP="00742C2A">
      <w:pPr>
        <w:autoSpaceDE w:val="0"/>
        <w:autoSpaceDN w:val="0"/>
        <w:adjustRightInd w:val="0"/>
        <w:rPr>
          <w:rFonts w:ascii="Arial" w:hAnsi="Arial" w:cs="Arial"/>
        </w:rPr>
      </w:pPr>
      <w:r w:rsidRPr="007D75A3">
        <w:rPr>
          <w:rFonts w:ascii="Arial" w:hAnsi="Arial" w:cs="Arial"/>
        </w:rPr>
        <w:t xml:space="preserve">The Sexual Violence Task Force </w:t>
      </w:r>
      <w:r w:rsidR="0081789E">
        <w:rPr>
          <w:rFonts w:ascii="Arial" w:hAnsi="Arial" w:cs="Arial"/>
        </w:rPr>
        <w:t>has identified</w:t>
      </w:r>
      <w:r w:rsidRPr="007D75A3">
        <w:rPr>
          <w:rFonts w:ascii="Arial" w:hAnsi="Arial" w:cs="Arial"/>
        </w:rPr>
        <w:t xml:space="preserve"> the potential impact of COVID-19 on the reporting data for 2020-21, </w:t>
      </w:r>
      <w:r w:rsidR="0081789E">
        <w:rPr>
          <w:rFonts w:ascii="Arial" w:hAnsi="Arial" w:cs="Arial"/>
        </w:rPr>
        <w:t>resu</w:t>
      </w:r>
      <w:r w:rsidRPr="007D75A3">
        <w:rPr>
          <w:rFonts w:ascii="Arial" w:hAnsi="Arial" w:cs="Arial"/>
        </w:rPr>
        <w:t>lt</w:t>
      </w:r>
      <w:r w:rsidR="0081789E">
        <w:rPr>
          <w:rFonts w:ascii="Arial" w:hAnsi="Arial" w:cs="Arial"/>
        </w:rPr>
        <w:t>ing</w:t>
      </w:r>
      <w:r w:rsidRPr="007D75A3">
        <w:rPr>
          <w:rFonts w:ascii="Arial" w:hAnsi="Arial" w:cs="Arial"/>
        </w:rPr>
        <w:t xml:space="preserve"> in a greater variance</w:t>
      </w:r>
      <w:r w:rsidR="00445F61">
        <w:rPr>
          <w:rFonts w:ascii="Arial" w:hAnsi="Arial" w:cs="Arial"/>
        </w:rPr>
        <w:t xml:space="preserve"> between</w:t>
      </w:r>
      <w:r w:rsidRPr="007D75A3">
        <w:rPr>
          <w:rFonts w:ascii="Arial" w:hAnsi="Arial" w:cs="Arial"/>
        </w:rPr>
        <w:t xml:space="preserve"> this year</w:t>
      </w:r>
      <w:r w:rsidR="006C430E">
        <w:rPr>
          <w:rFonts w:ascii="Arial" w:hAnsi="Arial" w:cs="Arial"/>
        </w:rPr>
        <w:t xml:space="preserve"> and previous years.</w:t>
      </w:r>
      <w:r w:rsidRPr="007D75A3">
        <w:rPr>
          <w:rFonts w:ascii="Arial" w:hAnsi="Arial" w:cs="Arial"/>
        </w:rPr>
        <w:t xml:space="preserve"> </w:t>
      </w:r>
      <w:r w:rsidR="0081789E">
        <w:rPr>
          <w:rFonts w:ascii="Arial" w:hAnsi="Arial" w:cs="Arial"/>
        </w:rPr>
        <w:t>Prior to</w:t>
      </w:r>
      <w:r w:rsidRPr="007D75A3">
        <w:rPr>
          <w:rFonts w:ascii="Arial" w:hAnsi="Arial" w:cs="Arial"/>
        </w:rPr>
        <w:t xml:space="preserve"> 2020-21, r</w:t>
      </w:r>
      <w:r w:rsidR="00113955" w:rsidRPr="007D75A3">
        <w:rPr>
          <w:rFonts w:ascii="Arial" w:hAnsi="Arial" w:cs="Arial"/>
        </w:rPr>
        <w:t xml:space="preserve">eporting statistics </w:t>
      </w:r>
      <w:r w:rsidR="006C430E" w:rsidRPr="007D75A3">
        <w:rPr>
          <w:rFonts w:ascii="Arial" w:hAnsi="Arial" w:cs="Arial"/>
        </w:rPr>
        <w:t>indicated an</w:t>
      </w:r>
      <w:r w:rsidR="006C430E">
        <w:rPr>
          <w:rFonts w:ascii="Arial" w:hAnsi="Arial" w:cs="Arial"/>
        </w:rPr>
        <w:t xml:space="preserve"> ongoing</w:t>
      </w:r>
      <w:r w:rsidR="006C430E" w:rsidRPr="007D75A3">
        <w:rPr>
          <w:rFonts w:ascii="Arial" w:hAnsi="Arial" w:cs="Arial"/>
        </w:rPr>
        <w:t xml:space="preserve"> increase in disclosures </w:t>
      </w:r>
      <w:r w:rsidR="00113955" w:rsidRPr="007D75A3">
        <w:rPr>
          <w:rFonts w:ascii="Arial" w:hAnsi="Arial" w:cs="Arial"/>
        </w:rPr>
        <w:t xml:space="preserve">since the </w:t>
      </w:r>
      <w:r w:rsidR="006C430E">
        <w:rPr>
          <w:rFonts w:ascii="Arial" w:hAnsi="Arial" w:cs="Arial"/>
        </w:rPr>
        <w:t xml:space="preserve">implementation of the </w:t>
      </w:r>
      <w:proofErr w:type="gramStart"/>
      <w:r w:rsidR="006C430E">
        <w:rPr>
          <w:rFonts w:ascii="Arial" w:hAnsi="Arial" w:cs="Arial"/>
        </w:rPr>
        <w:t>stand alone</w:t>
      </w:r>
      <w:proofErr w:type="gramEnd"/>
      <w:r w:rsidR="006C430E">
        <w:rPr>
          <w:rFonts w:ascii="Arial" w:hAnsi="Arial" w:cs="Arial"/>
        </w:rPr>
        <w:t xml:space="preserve"> </w:t>
      </w:r>
      <w:r w:rsidR="0081789E" w:rsidRPr="003D00BC">
        <w:rPr>
          <w:rFonts w:asciiTheme="minorHAnsi" w:hAnsiTheme="minorHAnsi" w:cstheme="minorHAnsi"/>
          <w:lang w:val="en-US"/>
        </w:rPr>
        <w:t xml:space="preserve">Sexual Violence Prevention </w:t>
      </w:r>
      <w:r w:rsidR="00113955" w:rsidRPr="007D75A3">
        <w:rPr>
          <w:rFonts w:ascii="Arial" w:hAnsi="Arial" w:cs="Arial"/>
        </w:rPr>
        <w:t>policy in</w:t>
      </w:r>
      <w:r w:rsidR="006C430E">
        <w:rPr>
          <w:rFonts w:ascii="Arial" w:hAnsi="Arial" w:cs="Arial"/>
        </w:rPr>
        <w:t xml:space="preserve"> 2015</w:t>
      </w:r>
      <w:r w:rsidR="00113955" w:rsidRPr="007D75A3">
        <w:rPr>
          <w:rFonts w:ascii="Arial" w:hAnsi="Arial" w:cs="Arial"/>
        </w:rPr>
        <w:t xml:space="preserve">. </w:t>
      </w:r>
      <w:r w:rsidR="006C430E">
        <w:rPr>
          <w:rFonts w:ascii="Arial" w:hAnsi="Arial" w:cs="Arial"/>
        </w:rPr>
        <w:t xml:space="preserve">It is presumed that increasing statistics correlates to the </w:t>
      </w:r>
      <w:r w:rsidR="00113955" w:rsidRPr="007D75A3">
        <w:rPr>
          <w:rFonts w:ascii="Arial" w:hAnsi="Arial" w:cs="Arial"/>
        </w:rPr>
        <w:t>increase in education and awareness</w:t>
      </w:r>
      <w:r w:rsidR="006C430E">
        <w:rPr>
          <w:rFonts w:ascii="Arial" w:hAnsi="Arial" w:cs="Arial"/>
        </w:rPr>
        <w:t xml:space="preserve"> aligned </w:t>
      </w:r>
      <w:r w:rsidR="00113955" w:rsidRPr="007D75A3">
        <w:rPr>
          <w:rFonts w:ascii="Arial" w:hAnsi="Arial" w:cs="Arial"/>
        </w:rPr>
        <w:t>with a survivor-centric policy</w:t>
      </w:r>
      <w:r w:rsidR="006C430E">
        <w:rPr>
          <w:rFonts w:ascii="Arial" w:hAnsi="Arial" w:cs="Arial"/>
        </w:rPr>
        <w:t xml:space="preserve"> that supports</w:t>
      </w:r>
      <w:r w:rsidR="00113955" w:rsidRPr="007D75A3">
        <w:rPr>
          <w:rFonts w:ascii="Arial" w:hAnsi="Arial" w:cs="Arial"/>
        </w:rPr>
        <w:t xml:space="preserve"> people impacted by harm </w:t>
      </w:r>
      <w:r w:rsidR="006C430E">
        <w:rPr>
          <w:rFonts w:ascii="Arial" w:hAnsi="Arial" w:cs="Arial"/>
        </w:rPr>
        <w:t xml:space="preserve">to come forward. </w:t>
      </w:r>
      <w:r w:rsidR="00113955" w:rsidRPr="007D75A3">
        <w:rPr>
          <w:rFonts w:ascii="Arial" w:hAnsi="Arial" w:cs="Arial"/>
        </w:rPr>
        <w:t>National data on sexual violence disclosures suggests consistent, unchanging rates of sexual violence over the last 50+ years (Conroy &amp; Cotter, 2017), meaning harm is likely to have always been happening in our communities, but now institutions are more aware, and as such, is in a better position to provide supportive responses.</w:t>
      </w:r>
      <w:bookmarkStart w:id="0" w:name="_Hlk57184718"/>
      <w:bookmarkStart w:id="1" w:name="_Hlk57116127"/>
    </w:p>
    <w:p w14:paraId="4765F4CE" w14:textId="77777777" w:rsidR="006C430E" w:rsidRDefault="006C430E" w:rsidP="00742C2A">
      <w:pPr>
        <w:autoSpaceDE w:val="0"/>
        <w:autoSpaceDN w:val="0"/>
        <w:adjustRightInd w:val="0"/>
        <w:rPr>
          <w:rFonts w:ascii="Arial" w:hAnsi="Arial" w:cs="Arial"/>
        </w:rPr>
      </w:pPr>
    </w:p>
    <w:p w14:paraId="2D6D67EA" w14:textId="77777777" w:rsidR="006C430E" w:rsidRDefault="006C430E" w:rsidP="00742C2A">
      <w:pPr>
        <w:autoSpaceDE w:val="0"/>
        <w:autoSpaceDN w:val="0"/>
        <w:adjustRightInd w:val="0"/>
        <w:rPr>
          <w:rFonts w:ascii="Arial" w:hAnsi="Arial" w:cs="Arial"/>
        </w:rPr>
      </w:pPr>
    </w:p>
    <w:p w14:paraId="5938571F" w14:textId="77777777" w:rsidR="006C430E" w:rsidRDefault="006C430E" w:rsidP="00742C2A">
      <w:pPr>
        <w:autoSpaceDE w:val="0"/>
        <w:autoSpaceDN w:val="0"/>
        <w:adjustRightInd w:val="0"/>
        <w:rPr>
          <w:rFonts w:ascii="Arial" w:hAnsi="Arial" w:cs="Arial"/>
        </w:rPr>
      </w:pPr>
    </w:p>
    <w:p w14:paraId="6173154E" w14:textId="77777777" w:rsidR="009E5516" w:rsidRPr="00742C2A" w:rsidRDefault="009E5516" w:rsidP="00742C2A">
      <w:pPr>
        <w:autoSpaceDE w:val="0"/>
        <w:autoSpaceDN w:val="0"/>
        <w:adjustRightInd w:val="0"/>
        <w:rPr>
          <w:rFonts w:ascii="Arial" w:hAnsi="Arial" w:cs="Arial"/>
        </w:rPr>
      </w:pPr>
      <w:r w:rsidRPr="000B78E0">
        <w:rPr>
          <w:b/>
        </w:rPr>
        <w:lastRenderedPageBreak/>
        <w:t>Incident</w:t>
      </w:r>
      <w:r w:rsidR="00742C2A">
        <w:rPr>
          <w:b/>
        </w:rPr>
        <w:t xml:space="preserve"> Reporting </w:t>
      </w:r>
      <w:r w:rsidR="004D26C2">
        <w:rPr>
          <w:b/>
        </w:rPr>
        <w:t>2020-21</w:t>
      </w:r>
    </w:p>
    <w:tbl>
      <w:tblPr>
        <w:tblStyle w:val="TableGrid"/>
        <w:tblW w:w="10800" w:type="dxa"/>
        <w:tblInd w:w="-815" w:type="dxa"/>
        <w:tblLayout w:type="fixed"/>
        <w:tblLook w:val="04A0" w:firstRow="1" w:lastRow="0" w:firstColumn="1" w:lastColumn="0" w:noHBand="0" w:noVBand="1"/>
      </w:tblPr>
      <w:tblGrid>
        <w:gridCol w:w="3622"/>
        <w:gridCol w:w="1810"/>
        <w:gridCol w:w="1962"/>
        <w:gridCol w:w="2111"/>
        <w:gridCol w:w="1295"/>
      </w:tblGrid>
      <w:tr w:rsidR="009E5516" w14:paraId="16D73C50" w14:textId="77777777" w:rsidTr="006C430E">
        <w:trPr>
          <w:trHeight w:val="295"/>
        </w:trPr>
        <w:tc>
          <w:tcPr>
            <w:tcW w:w="3622" w:type="dxa"/>
            <w:tcBorders>
              <w:bottom w:val="nil"/>
              <w:right w:val="single" w:sz="4" w:space="0" w:color="auto"/>
            </w:tcBorders>
          </w:tcPr>
          <w:p w14:paraId="17053166" w14:textId="77777777" w:rsidR="009E5516" w:rsidRPr="00742C2A" w:rsidRDefault="00742C2A" w:rsidP="004A54CA">
            <w:pPr>
              <w:autoSpaceDE w:val="0"/>
              <w:autoSpaceDN w:val="0"/>
              <w:adjustRightInd w:val="0"/>
              <w:rPr>
                <w:rFonts w:ascii="Arial" w:hAnsi="Arial" w:cs="Arial"/>
                <w:sz w:val="20"/>
                <w:szCs w:val="20"/>
              </w:rPr>
            </w:pPr>
            <w:r>
              <w:rPr>
                <w:rFonts w:ascii="Arial" w:hAnsi="Arial" w:cs="Arial"/>
                <w:sz w:val="20"/>
                <w:szCs w:val="20"/>
              </w:rPr>
              <w:t xml:space="preserve">Formal or Informal Reports </w:t>
            </w:r>
          </w:p>
        </w:tc>
        <w:tc>
          <w:tcPr>
            <w:tcW w:w="3772" w:type="dxa"/>
            <w:gridSpan w:val="2"/>
            <w:tcBorders>
              <w:left w:val="single" w:sz="4" w:space="0" w:color="auto"/>
            </w:tcBorders>
          </w:tcPr>
          <w:p w14:paraId="3D44C449" w14:textId="77777777" w:rsidR="009E5516" w:rsidRPr="00D06E35" w:rsidRDefault="009E5516" w:rsidP="004A54CA">
            <w:pPr>
              <w:autoSpaceDE w:val="0"/>
              <w:autoSpaceDN w:val="0"/>
              <w:adjustRightInd w:val="0"/>
              <w:jc w:val="center"/>
              <w:rPr>
                <w:rFonts w:ascii="Arial" w:hAnsi="Arial" w:cs="Arial"/>
                <w:b/>
                <w:sz w:val="20"/>
                <w:szCs w:val="20"/>
              </w:rPr>
            </w:pPr>
            <w:r w:rsidRPr="00D06E35">
              <w:rPr>
                <w:rFonts w:ascii="Arial" w:hAnsi="Arial" w:cs="Arial"/>
                <w:b/>
                <w:sz w:val="20"/>
                <w:szCs w:val="20"/>
              </w:rPr>
              <w:t>Formal Reports</w:t>
            </w:r>
          </w:p>
        </w:tc>
        <w:tc>
          <w:tcPr>
            <w:tcW w:w="3406" w:type="dxa"/>
            <w:gridSpan w:val="2"/>
          </w:tcPr>
          <w:p w14:paraId="122B0122" w14:textId="77777777" w:rsidR="009E5516" w:rsidRPr="00D06E35" w:rsidRDefault="009E5516" w:rsidP="004A54CA">
            <w:pPr>
              <w:autoSpaceDE w:val="0"/>
              <w:autoSpaceDN w:val="0"/>
              <w:adjustRightInd w:val="0"/>
              <w:jc w:val="center"/>
              <w:rPr>
                <w:rFonts w:ascii="Arial" w:hAnsi="Arial" w:cs="Arial"/>
                <w:b/>
                <w:sz w:val="20"/>
                <w:szCs w:val="20"/>
              </w:rPr>
            </w:pPr>
            <w:r w:rsidRPr="00D06E35">
              <w:rPr>
                <w:rFonts w:ascii="Arial" w:hAnsi="Arial" w:cs="Arial"/>
                <w:b/>
                <w:sz w:val="20"/>
                <w:szCs w:val="20"/>
              </w:rPr>
              <w:t>Informal reports</w:t>
            </w:r>
          </w:p>
        </w:tc>
      </w:tr>
      <w:tr w:rsidR="009E5516" w:rsidRPr="002065DC" w14:paraId="5F396D41" w14:textId="77777777" w:rsidTr="006C430E">
        <w:trPr>
          <w:trHeight w:val="243"/>
        </w:trPr>
        <w:tc>
          <w:tcPr>
            <w:tcW w:w="3622" w:type="dxa"/>
            <w:tcBorders>
              <w:top w:val="nil"/>
            </w:tcBorders>
          </w:tcPr>
          <w:p w14:paraId="5A317D10" w14:textId="77777777" w:rsidR="009E5516" w:rsidRPr="002065DC" w:rsidRDefault="009E5516" w:rsidP="004A54CA">
            <w:pPr>
              <w:autoSpaceDE w:val="0"/>
              <w:autoSpaceDN w:val="0"/>
              <w:adjustRightInd w:val="0"/>
              <w:rPr>
                <w:rFonts w:ascii="Arial" w:hAnsi="Arial" w:cs="Arial"/>
                <w:sz w:val="20"/>
                <w:szCs w:val="20"/>
              </w:rPr>
            </w:pPr>
          </w:p>
        </w:tc>
        <w:tc>
          <w:tcPr>
            <w:tcW w:w="1810" w:type="dxa"/>
          </w:tcPr>
          <w:p w14:paraId="3797AAE6" w14:textId="77777777" w:rsidR="009E5516" w:rsidRPr="002065DC" w:rsidRDefault="009E5516" w:rsidP="004A54CA">
            <w:pPr>
              <w:autoSpaceDE w:val="0"/>
              <w:autoSpaceDN w:val="0"/>
              <w:adjustRightInd w:val="0"/>
              <w:jc w:val="center"/>
              <w:rPr>
                <w:rFonts w:ascii="Arial" w:hAnsi="Arial" w:cs="Arial"/>
                <w:sz w:val="20"/>
                <w:szCs w:val="20"/>
              </w:rPr>
            </w:pPr>
            <w:r w:rsidRPr="002065DC">
              <w:rPr>
                <w:rFonts w:ascii="Arial" w:hAnsi="Arial" w:cs="Arial"/>
                <w:sz w:val="20"/>
                <w:szCs w:val="20"/>
              </w:rPr>
              <w:t>20</w:t>
            </w:r>
            <w:r w:rsidR="00D14840">
              <w:rPr>
                <w:rFonts w:ascii="Arial" w:hAnsi="Arial" w:cs="Arial"/>
                <w:sz w:val="20"/>
                <w:szCs w:val="20"/>
              </w:rPr>
              <w:t>20</w:t>
            </w:r>
            <w:r w:rsidRPr="002065DC">
              <w:rPr>
                <w:rFonts w:ascii="Arial" w:hAnsi="Arial" w:cs="Arial"/>
                <w:sz w:val="20"/>
                <w:szCs w:val="20"/>
              </w:rPr>
              <w:t>-2</w:t>
            </w:r>
            <w:r w:rsidR="00D14840">
              <w:rPr>
                <w:rFonts w:ascii="Arial" w:hAnsi="Arial" w:cs="Arial"/>
                <w:sz w:val="20"/>
                <w:szCs w:val="20"/>
              </w:rPr>
              <w:t>1</w:t>
            </w:r>
          </w:p>
        </w:tc>
        <w:tc>
          <w:tcPr>
            <w:tcW w:w="1962" w:type="dxa"/>
          </w:tcPr>
          <w:p w14:paraId="50841C76" w14:textId="77777777" w:rsidR="009E5516" w:rsidRPr="002065DC" w:rsidRDefault="009E5516" w:rsidP="004A54CA">
            <w:pPr>
              <w:autoSpaceDE w:val="0"/>
              <w:autoSpaceDN w:val="0"/>
              <w:adjustRightInd w:val="0"/>
              <w:jc w:val="center"/>
              <w:rPr>
                <w:rFonts w:ascii="Arial" w:hAnsi="Arial" w:cs="Arial"/>
                <w:sz w:val="20"/>
                <w:szCs w:val="20"/>
              </w:rPr>
            </w:pPr>
            <w:r w:rsidRPr="002065DC">
              <w:rPr>
                <w:rFonts w:ascii="Arial" w:hAnsi="Arial" w:cs="Arial"/>
                <w:sz w:val="20"/>
                <w:szCs w:val="20"/>
              </w:rPr>
              <w:t>201</w:t>
            </w:r>
            <w:r w:rsidR="006B4EAC">
              <w:rPr>
                <w:rFonts w:ascii="Arial" w:hAnsi="Arial" w:cs="Arial"/>
                <w:sz w:val="20"/>
                <w:szCs w:val="20"/>
              </w:rPr>
              <w:t>9</w:t>
            </w:r>
            <w:r w:rsidRPr="002065DC">
              <w:rPr>
                <w:rFonts w:ascii="Arial" w:hAnsi="Arial" w:cs="Arial"/>
                <w:sz w:val="20"/>
                <w:szCs w:val="20"/>
              </w:rPr>
              <w:t>-</w:t>
            </w:r>
            <w:r w:rsidR="006B4EAC">
              <w:rPr>
                <w:rFonts w:ascii="Arial" w:hAnsi="Arial" w:cs="Arial"/>
                <w:sz w:val="20"/>
                <w:szCs w:val="20"/>
              </w:rPr>
              <w:t>20</w:t>
            </w:r>
          </w:p>
        </w:tc>
        <w:tc>
          <w:tcPr>
            <w:tcW w:w="2111" w:type="dxa"/>
          </w:tcPr>
          <w:p w14:paraId="7744ABB6" w14:textId="77777777" w:rsidR="009E5516" w:rsidRPr="002065DC" w:rsidRDefault="009E5516" w:rsidP="004A54CA">
            <w:pPr>
              <w:autoSpaceDE w:val="0"/>
              <w:autoSpaceDN w:val="0"/>
              <w:adjustRightInd w:val="0"/>
              <w:jc w:val="center"/>
              <w:rPr>
                <w:rFonts w:ascii="Arial" w:hAnsi="Arial" w:cs="Arial"/>
                <w:sz w:val="20"/>
                <w:szCs w:val="20"/>
              </w:rPr>
            </w:pPr>
            <w:r w:rsidRPr="002065DC">
              <w:rPr>
                <w:rFonts w:ascii="Arial" w:hAnsi="Arial" w:cs="Arial"/>
                <w:sz w:val="20"/>
                <w:szCs w:val="20"/>
              </w:rPr>
              <w:t>20</w:t>
            </w:r>
            <w:r w:rsidR="00D14840">
              <w:rPr>
                <w:rFonts w:ascii="Arial" w:hAnsi="Arial" w:cs="Arial"/>
                <w:sz w:val="20"/>
                <w:szCs w:val="20"/>
              </w:rPr>
              <w:t>20-21</w:t>
            </w:r>
          </w:p>
        </w:tc>
        <w:tc>
          <w:tcPr>
            <w:tcW w:w="1295" w:type="dxa"/>
          </w:tcPr>
          <w:p w14:paraId="207C64F2" w14:textId="77777777" w:rsidR="009E5516" w:rsidRPr="002065DC" w:rsidRDefault="009E5516" w:rsidP="004A54CA">
            <w:pPr>
              <w:autoSpaceDE w:val="0"/>
              <w:autoSpaceDN w:val="0"/>
              <w:adjustRightInd w:val="0"/>
              <w:jc w:val="center"/>
              <w:rPr>
                <w:rFonts w:ascii="Arial" w:hAnsi="Arial" w:cs="Arial"/>
                <w:sz w:val="20"/>
                <w:szCs w:val="20"/>
              </w:rPr>
            </w:pPr>
            <w:r w:rsidRPr="002065DC">
              <w:rPr>
                <w:rFonts w:ascii="Arial" w:hAnsi="Arial" w:cs="Arial"/>
                <w:sz w:val="20"/>
                <w:szCs w:val="20"/>
              </w:rPr>
              <w:t>201</w:t>
            </w:r>
            <w:r w:rsidR="00D14840">
              <w:rPr>
                <w:rFonts w:ascii="Arial" w:hAnsi="Arial" w:cs="Arial"/>
                <w:sz w:val="20"/>
                <w:szCs w:val="20"/>
              </w:rPr>
              <w:t>9-20</w:t>
            </w:r>
          </w:p>
        </w:tc>
      </w:tr>
      <w:tr w:rsidR="009E5516" w:rsidRPr="002065DC" w14:paraId="3143EAD4" w14:textId="77777777" w:rsidTr="006C430E">
        <w:trPr>
          <w:trHeight w:val="62"/>
        </w:trPr>
        <w:tc>
          <w:tcPr>
            <w:tcW w:w="3622" w:type="dxa"/>
            <w:tcBorders>
              <w:bottom w:val="single" w:sz="4" w:space="0" w:color="auto"/>
            </w:tcBorders>
          </w:tcPr>
          <w:p w14:paraId="3921528C" w14:textId="77777777" w:rsidR="009E5516" w:rsidRPr="002065DC" w:rsidRDefault="009E5516" w:rsidP="004A54CA">
            <w:pPr>
              <w:autoSpaceDE w:val="0"/>
              <w:autoSpaceDN w:val="0"/>
              <w:adjustRightInd w:val="0"/>
              <w:rPr>
                <w:rFonts w:ascii="Arial" w:hAnsi="Arial" w:cs="Arial"/>
                <w:sz w:val="20"/>
                <w:szCs w:val="20"/>
              </w:rPr>
            </w:pPr>
            <w:r w:rsidRPr="002065DC">
              <w:rPr>
                <w:rFonts w:ascii="Arial" w:hAnsi="Arial" w:cs="Arial"/>
                <w:sz w:val="20"/>
                <w:szCs w:val="20"/>
              </w:rPr>
              <w:t>Spring Semester</w:t>
            </w:r>
          </w:p>
        </w:tc>
        <w:tc>
          <w:tcPr>
            <w:tcW w:w="1810" w:type="dxa"/>
            <w:tcBorders>
              <w:bottom w:val="single" w:sz="4" w:space="0" w:color="auto"/>
            </w:tcBorders>
          </w:tcPr>
          <w:p w14:paraId="4E6888F8" w14:textId="77777777" w:rsidR="009E5516" w:rsidRPr="002065DC" w:rsidRDefault="00D8548E"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1962" w:type="dxa"/>
            <w:tcBorders>
              <w:bottom w:val="single" w:sz="4" w:space="0" w:color="auto"/>
            </w:tcBorders>
          </w:tcPr>
          <w:p w14:paraId="1B5B7035" w14:textId="77777777" w:rsidR="009E5516" w:rsidRPr="001F4512" w:rsidRDefault="00B56E65" w:rsidP="004A54CA">
            <w:pPr>
              <w:autoSpaceDE w:val="0"/>
              <w:autoSpaceDN w:val="0"/>
              <w:adjustRightInd w:val="0"/>
              <w:jc w:val="center"/>
              <w:rPr>
                <w:rFonts w:ascii="Arial" w:hAnsi="Arial" w:cs="Arial"/>
                <w:sz w:val="20"/>
                <w:szCs w:val="20"/>
              </w:rPr>
            </w:pPr>
            <w:r w:rsidRPr="001F4512">
              <w:rPr>
                <w:rFonts w:ascii="Arial" w:hAnsi="Arial" w:cs="Arial"/>
                <w:sz w:val="20"/>
                <w:szCs w:val="20"/>
              </w:rPr>
              <w:t>3</w:t>
            </w:r>
          </w:p>
        </w:tc>
        <w:tc>
          <w:tcPr>
            <w:tcW w:w="2111" w:type="dxa"/>
            <w:tcBorders>
              <w:bottom w:val="single" w:sz="4" w:space="0" w:color="auto"/>
            </w:tcBorders>
          </w:tcPr>
          <w:p w14:paraId="1DEC5A20" w14:textId="77777777" w:rsidR="009E5516" w:rsidRPr="001F4512" w:rsidRDefault="00D8548E" w:rsidP="004A54CA">
            <w:pPr>
              <w:autoSpaceDE w:val="0"/>
              <w:autoSpaceDN w:val="0"/>
              <w:adjustRightInd w:val="0"/>
              <w:jc w:val="center"/>
              <w:rPr>
                <w:rFonts w:ascii="Arial" w:hAnsi="Arial" w:cs="Arial"/>
                <w:sz w:val="20"/>
                <w:szCs w:val="20"/>
              </w:rPr>
            </w:pPr>
            <w:r>
              <w:rPr>
                <w:rFonts w:ascii="Arial" w:hAnsi="Arial" w:cs="Arial"/>
                <w:sz w:val="20"/>
                <w:szCs w:val="20"/>
              </w:rPr>
              <w:t>4</w:t>
            </w:r>
          </w:p>
        </w:tc>
        <w:tc>
          <w:tcPr>
            <w:tcW w:w="1295" w:type="dxa"/>
            <w:tcBorders>
              <w:bottom w:val="single" w:sz="4" w:space="0" w:color="auto"/>
            </w:tcBorders>
          </w:tcPr>
          <w:p w14:paraId="0F4A524C" w14:textId="77777777" w:rsidR="009E5516" w:rsidRPr="001F4512" w:rsidRDefault="00D14840" w:rsidP="004A54CA">
            <w:pPr>
              <w:autoSpaceDE w:val="0"/>
              <w:autoSpaceDN w:val="0"/>
              <w:adjustRightInd w:val="0"/>
              <w:jc w:val="center"/>
              <w:rPr>
                <w:rFonts w:ascii="Arial" w:hAnsi="Arial" w:cs="Arial"/>
                <w:sz w:val="20"/>
                <w:szCs w:val="20"/>
              </w:rPr>
            </w:pPr>
            <w:r>
              <w:rPr>
                <w:rFonts w:ascii="Arial" w:hAnsi="Arial" w:cs="Arial"/>
                <w:sz w:val="20"/>
                <w:szCs w:val="20"/>
              </w:rPr>
              <w:t>7</w:t>
            </w:r>
          </w:p>
        </w:tc>
      </w:tr>
      <w:tr w:rsidR="009E5516" w:rsidRPr="002065DC" w14:paraId="77DA4B40" w14:textId="77777777" w:rsidTr="006C430E">
        <w:trPr>
          <w:trHeight w:val="243"/>
        </w:trPr>
        <w:tc>
          <w:tcPr>
            <w:tcW w:w="3622" w:type="dxa"/>
            <w:tcBorders>
              <w:bottom w:val="single" w:sz="4" w:space="0" w:color="auto"/>
            </w:tcBorders>
          </w:tcPr>
          <w:p w14:paraId="159489DB" w14:textId="77777777" w:rsidR="009E5516" w:rsidRPr="002065DC" w:rsidRDefault="009E5516" w:rsidP="004A54CA">
            <w:pPr>
              <w:autoSpaceDE w:val="0"/>
              <w:autoSpaceDN w:val="0"/>
              <w:adjustRightInd w:val="0"/>
              <w:rPr>
                <w:rFonts w:ascii="Arial" w:hAnsi="Arial" w:cs="Arial"/>
                <w:sz w:val="20"/>
                <w:szCs w:val="20"/>
              </w:rPr>
            </w:pPr>
            <w:r w:rsidRPr="002065DC">
              <w:rPr>
                <w:rFonts w:ascii="Arial" w:hAnsi="Arial" w:cs="Arial"/>
                <w:sz w:val="20"/>
                <w:szCs w:val="20"/>
              </w:rPr>
              <w:t>Fall Semester</w:t>
            </w:r>
          </w:p>
        </w:tc>
        <w:tc>
          <w:tcPr>
            <w:tcW w:w="1810" w:type="dxa"/>
            <w:tcBorders>
              <w:bottom w:val="single" w:sz="4" w:space="0" w:color="auto"/>
            </w:tcBorders>
          </w:tcPr>
          <w:p w14:paraId="7E794AEE" w14:textId="77777777" w:rsidR="009E5516" w:rsidRPr="002065DC" w:rsidRDefault="006D6DBA"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1962" w:type="dxa"/>
            <w:tcBorders>
              <w:bottom w:val="single" w:sz="4" w:space="0" w:color="auto"/>
            </w:tcBorders>
          </w:tcPr>
          <w:p w14:paraId="0E3C8B65" w14:textId="77777777" w:rsidR="009E5516" w:rsidRPr="001F4512" w:rsidRDefault="006B4EAC" w:rsidP="004A54CA">
            <w:pPr>
              <w:autoSpaceDE w:val="0"/>
              <w:autoSpaceDN w:val="0"/>
              <w:adjustRightInd w:val="0"/>
              <w:jc w:val="center"/>
              <w:rPr>
                <w:rFonts w:ascii="Arial" w:hAnsi="Arial" w:cs="Arial"/>
                <w:sz w:val="20"/>
                <w:szCs w:val="20"/>
              </w:rPr>
            </w:pPr>
            <w:r>
              <w:rPr>
                <w:rFonts w:ascii="Arial" w:hAnsi="Arial" w:cs="Arial"/>
                <w:sz w:val="20"/>
                <w:szCs w:val="20"/>
              </w:rPr>
              <w:t>8</w:t>
            </w:r>
          </w:p>
        </w:tc>
        <w:tc>
          <w:tcPr>
            <w:tcW w:w="2111" w:type="dxa"/>
            <w:tcBorders>
              <w:bottom w:val="single" w:sz="4" w:space="0" w:color="auto"/>
            </w:tcBorders>
          </w:tcPr>
          <w:p w14:paraId="43BC49C7" w14:textId="77777777" w:rsidR="009E5516" w:rsidRPr="001F4512" w:rsidRDefault="003D00BC"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1295" w:type="dxa"/>
            <w:tcBorders>
              <w:bottom w:val="single" w:sz="4" w:space="0" w:color="auto"/>
            </w:tcBorders>
          </w:tcPr>
          <w:p w14:paraId="296737F4" w14:textId="77777777" w:rsidR="009E5516" w:rsidRPr="001F4512" w:rsidRDefault="00D14840" w:rsidP="004A54CA">
            <w:pPr>
              <w:autoSpaceDE w:val="0"/>
              <w:autoSpaceDN w:val="0"/>
              <w:adjustRightInd w:val="0"/>
              <w:jc w:val="center"/>
              <w:rPr>
                <w:rFonts w:ascii="Arial" w:hAnsi="Arial" w:cs="Arial"/>
                <w:sz w:val="20"/>
                <w:szCs w:val="20"/>
              </w:rPr>
            </w:pPr>
            <w:r>
              <w:rPr>
                <w:rFonts w:ascii="Arial" w:hAnsi="Arial" w:cs="Arial"/>
                <w:sz w:val="20"/>
                <w:szCs w:val="20"/>
              </w:rPr>
              <w:t>18</w:t>
            </w:r>
          </w:p>
        </w:tc>
      </w:tr>
      <w:tr w:rsidR="009E5516" w:rsidRPr="002065DC" w14:paraId="49232B32" w14:textId="77777777" w:rsidTr="006C430E">
        <w:trPr>
          <w:trHeight w:val="243"/>
        </w:trPr>
        <w:tc>
          <w:tcPr>
            <w:tcW w:w="3622" w:type="dxa"/>
            <w:tcBorders>
              <w:top w:val="single" w:sz="4" w:space="0" w:color="auto"/>
              <w:left w:val="single" w:sz="4" w:space="0" w:color="auto"/>
              <w:bottom w:val="single" w:sz="4" w:space="0" w:color="auto"/>
              <w:right w:val="single" w:sz="4" w:space="0" w:color="auto"/>
            </w:tcBorders>
          </w:tcPr>
          <w:p w14:paraId="0C85DE9F" w14:textId="77777777" w:rsidR="009E5516" w:rsidRPr="002065DC" w:rsidRDefault="009E5516" w:rsidP="004A54CA">
            <w:pPr>
              <w:autoSpaceDE w:val="0"/>
              <w:autoSpaceDN w:val="0"/>
              <w:adjustRightInd w:val="0"/>
              <w:rPr>
                <w:rFonts w:ascii="Arial" w:hAnsi="Arial" w:cs="Arial"/>
                <w:sz w:val="20"/>
                <w:szCs w:val="20"/>
              </w:rPr>
            </w:pPr>
            <w:r w:rsidRPr="002065DC">
              <w:rPr>
                <w:rFonts w:ascii="Arial" w:hAnsi="Arial" w:cs="Arial"/>
                <w:sz w:val="20"/>
                <w:szCs w:val="20"/>
              </w:rPr>
              <w:t>Winter Semester</w:t>
            </w:r>
          </w:p>
        </w:tc>
        <w:tc>
          <w:tcPr>
            <w:tcW w:w="1810" w:type="dxa"/>
            <w:tcBorders>
              <w:top w:val="single" w:sz="4" w:space="0" w:color="auto"/>
              <w:left w:val="single" w:sz="4" w:space="0" w:color="auto"/>
              <w:bottom w:val="single" w:sz="4" w:space="0" w:color="auto"/>
              <w:right w:val="single" w:sz="4" w:space="0" w:color="auto"/>
            </w:tcBorders>
          </w:tcPr>
          <w:p w14:paraId="06BA43B8" w14:textId="77777777" w:rsidR="009E5516" w:rsidRPr="002065DC" w:rsidRDefault="00D8548E" w:rsidP="004A54CA">
            <w:pPr>
              <w:autoSpaceDE w:val="0"/>
              <w:autoSpaceDN w:val="0"/>
              <w:adjustRightInd w:val="0"/>
              <w:jc w:val="center"/>
              <w:rPr>
                <w:rFonts w:ascii="Arial" w:hAnsi="Arial" w:cs="Arial"/>
                <w:sz w:val="20"/>
                <w:szCs w:val="20"/>
              </w:rPr>
            </w:pPr>
            <w:r>
              <w:rPr>
                <w:rFonts w:ascii="Arial" w:hAnsi="Arial" w:cs="Arial"/>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32C4A809" w14:textId="77777777" w:rsidR="009E5516" w:rsidRPr="001F4512" w:rsidRDefault="006B4EAC" w:rsidP="004A54CA">
            <w:pPr>
              <w:autoSpaceDE w:val="0"/>
              <w:autoSpaceDN w:val="0"/>
              <w:adjustRightInd w:val="0"/>
              <w:jc w:val="center"/>
              <w:rPr>
                <w:rFonts w:ascii="Arial" w:hAnsi="Arial" w:cs="Arial"/>
                <w:sz w:val="20"/>
                <w:szCs w:val="20"/>
              </w:rPr>
            </w:pPr>
            <w:r>
              <w:rPr>
                <w:rFonts w:ascii="Arial" w:hAnsi="Arial" w:cs="Arial"/>
                <w:sz w:val="20"/>
                <w:szCs w:val="20"/>
              </w:rPr>
              <w:t>11</w:t>
            </w:r>
          </w:p>
        </w:tc>
        <w:tc>
          <w:tcPr>
            <w:tcW w:w="2111" w:type="dxa"/>
            <w:tcBorders>
              <w:top w:val="single" w:sz="4" w:space="0" w:color="auto"/>
              <w:left w:val="single" w:sz="4" w:space="0" w:color="auto"/>
              <w:bottom w:val="single" w:sz="4" w:space="0" w:color="auto"/>
              <w:right w:val="single" w:sz="4" w:space="0" w:color="auto"/>
            </w:tcBorders>
          </w:tcPr>
          <w:p w14:paraId="3D6F31F8" w14:textId="77777777" w:rsidR="009E5516" w:rsidRPr="001F4512" w:rsidRDefault="00742C2A" w:rsidP="004A54CA">
            <w:pPr>
              <w:autoSpaceDE w:val="0"/>
              <w:autoSpaceDN w:val="0"/>
              <w:adjustRightInd w:val="0"/>
              <w:jc w:val="center"/>
              <w:rPr>
                <w:rFonts w:ascii="Arial" w:hAnsi="Arial" w:cs="Arial"/>
                <w:sz w:val="20"/>
                <w:szCs w:val="20"/>
              </w:rPr>
            </w:pPr>
            <w:r>
              <w:rPr>
                <w:rFonts w:ascii="Arial" w:hAnsi="Arial" w:cs="Arial"/>
                <w:sz w:val="20"/>
                <w:szCs w:val="20"/>
              </w:rPr>
              <w:t>3</w:t>
            </w:r>
          </w:p>
        </w:tc>
        <w:tc>
          <w:tcPr>
            <w:tcW w:w="1295" w:type="dxa"/>
            <w:tcBorders>
              <w:top w:val="single" w:sz="4" w:space="0" w:color="auto"/>
              <w:left w:val="single" w:sz="4" w:space="0" w:color="auto"/>
              <w:bottom w:val="single" w:sz="4" w:space="0" w:color="auto"/>
              <w:right w:val="single" w:sz="4" w:space="0" w:color="auto"/>
            </w:tcBorders>
          </w:tcPr>
          <w:p w14:paraId="6DDCC29E" w14:textId="77777777" w:rsidR="009E5516" w:rsidRPr="001F4512" w:rsidRDefault="00B56E65" w:rsidP="004A54CA">
            <w:pPr>
              <w:autoSpaceDE w:val="0"/>
              <w:autoSpaceDN w:val="0"/>
              <w:adjustRightInd w:val="0"/>
              <w:jc w:val="center"/>
              <w:rPr>
                <w:rFonts w:ascii="Arial" w:hAnsi="Arial" w:cs="Arial"/>
                <w:sz w:val="20"/>
                <w:szCs w:val="20"/>
              </w:rPr>
            </w:pPr>
            <w:r w:rsidRPr="001F4512">
              <w:rPr>
                <w:rFonts w:ascii="Arial" w:hAnsi="Arial" w:cs="Arial"/>
                <w:sz w:val="20"/>
                <w:szCs w:val="20"/>
              </w:rPr>
              <w:t>1</w:t>
            </w:r>
            <w:r w:rsidR="00D14840">
              <w:rPr>
                <w:rFonts w:ascii="Arial" w:hAnsi="Arial" w:cs="Arial"/>
                <w:sz w:val="20"/>
                <w:szCs w:val="20"/>
              </w:rPr>
              <w:t>3</w:t>
            </w:r>
          </w:p>
        </w:tc>
      </w:tr>
      <w:tr w:rsidR="009E5516" w:rsidRPr="002065DC" w14:paraId="7601BA7E" w14:textId="77777777" w:rsidTr="006C430E">
        <w:trPr>
          <w:trHeight w:val="243"/>
        </w:trPr>
        <w:tc>
          <w:tcPr>
            <w:tcW w:w="3622" w:type="dxa"/>
            <w:tcBorders>
              <w:top w:val="single" w:sz="4" w:space="0" w:color="auto"/>
            </w:tcBorders>
          </w:tcPr>
          <w:p w14:paraId="653D0A7C" w14:textId="77777777" w:rsidR="009E5516" w:rsidRPr="002065DC" w:rsidRDefault="009E5516" w:rsidP="004A54CA">
            <w:pPr>
              <w:autoSpaceDE w:val="0"/>
              <w:autoSpaceDN w:val="0"/>
              <w:adjustRightInd w:val="0"/>
              <w:rPr>
                <w:rFonts w:ascii="Arial" w:hAnsi="Arial" w:cs="Arial"/>
                <w:sz w:val="20"/>
                <w:szCs w:val="20"/>
              </w:rPr>
            </w:pPr>
            <w:r w:rsidRPr="002065DC">
              <w:rPr>
                <w:rFonts w:ascii="Arial" w:hAnsi="Arial" w:cs="Arial"/>
                <w:sz w:val="20"/>
                <w:szCs w:val="20"/>
              </w:rPr>
              <w:t>TOTAL</w:t>
            </w:r>
          </w:p>
        </w:tc>
        <w:tc>
          <w:tcPr>
            <w:tcW w:w="1810" w:type="dxa"/>
            <w:tcBorders>
              <w:top w:val="single" w:sz="4" w:space="0" w:color="auto"/>
            </w:tcBorders>
          </w:tcPr>
          <w:p w14:paraId="71C81168" w14:textId="77777777" w:rsidR="009E5516" w:rsidRPr="002065DC" w:rsidRDefault="003D00BC" w:rsidP="004A54CA">
            <w:pPr>
              <w:autoSpaceDE w:val="0"/>
              <w:autoSpaceDN w:val="0"/>
              <w:adjustRightInd w:val="0"/>
              <w:jc w:val="center"/>
              <w:rPr>
                <w:rFonts w:ascii="Arial" w:hAnsi="Arial" w:cs="Arial"/>
                <w:sz w:val="20"/>
                <w:szCs w:val="20"/>
              </w:rPr>
            </w:pPr>
            <w:r>
              <w:rPr>
                <w:rFonts w:ascii="Arial" w:hAnsi="Arial" w:cs="Arial"/>
                <w:sz w:val="20"/>
                <w:szCs w:val="20"/>
              </w:rPr>
              <w:t>3</w:t>
            </w:r>
          </w:p>
        </w:tc>
        <w:tc>
          <w:tcPr>
            <w:tcW w:w="1962" w:type="dxa"/>
            <w:tcBorders>
              <w:top w:val="single" w:sz="4" w:space="0" w:color="auto"/>
            </w:tcBorders>
          </w:tcPr>
          <w:p w14:paraId="2350C53C" w14:textId="77777777" w:rsidR="009E5516" w:rsidRPr="001F4512" w:rsidRDefault="006B4EAC" w:rsidP="004A54CA">
            <w:pPr>
              <w:autoSpaceDE w:val="0"/>
              <w:autoSpaceDN w:val="0"/>
              <w:adjustRightInd w:val="0"/>
              <w:jc w:val="center"/>
              <w:rPr>
                <w:rFonts w:ascii="Arial" w:hAnsi="Arial" w:cs="Arial"/>
                <w:sz w:val="20"/>
                <w:szCs w:val="20"/>
              </w:rPr>
            </w:pPr>
            <w:r>
              <w:rPr>
                <w:rFonts w:ascii="Arial" w:hAnsi="Arial" w:cs="Arial"/>
                <w:sz w:val="20"/>
                <w:szCs w:val="20"/>
              </w:rPr>
              <w:t>22</w:t>
            </w:r>
          </w:p>
        </w:tc>
        <w:tc>
          <w:tcPr>
            <w:tcW w:w="2111" w:type="dxa"/>
            <w:tcBorders>
              <w:top w:val="single" w:sz="4" w:space="0" w:color="auto"/>
            </w:tcBorders>
          </w:tcPr>
          <w:p w14:paraId="6CAB4B69" w14:textId="77777777" w:rsidR="009E5516" w:rsidRPr="001F4512" w:rsidRDefault="00742C2A" w:rsidP="004A54CA">
            <w:pPr>
              <w:autoSpaceDE w:val="0"/>
              <w:autoSpaceDN w:val="0"/>
              <w:adjustRightInd w:val="0"/>
              <w:jc w:val="center"/>
              <w:rPr>
                <w:rFonts w:ascii="Arial" w:hAnsi="Arial" w:cs="Arial"/>
                <w:sz w:val="20"/>
                <w:szCs w:val="20"/>
              </w:rPr>
            </w:pPr>
            <w:r>
              <w:rPr>
                <w:rFonts w:ascii="Arial" w:hAnsi="Arial" w:cs="Arial"/>
                <w:sz w:val="20"/>
                <w:szCs w:val="20"/>
              </w:rPr>
              <w:t>8</w:t>
            </w:r>
          </w:p>
        </w:tc>
        <w:tc>
          <w:tcPr>
            <w:tcW w:w="1295" w:type="dxa"/>
            <w:tcBorders>
              <w:top w:val="single" w:sz="4" w:space="0" w:color="auto"/>
            </w:tcBorders>
          </w:tcPr>
          <w:p w14:paraId="0278F954" w14:textId="77777777" w:rsidR="009E5516" w:rsidRPr="001F4512" w:rsidRDefault="00D14840" w:rsidP="004A54CA">
            <w:pPr>
              <w:autoSpaceDE w:val="0"/>
              <w:autoSpaceDN w:val="0"/>
              <w:adjustRightInd w:val="0"/>
              <w:jc w:val="center"/>
              <w:rPr>
                <w:rFonts w:ascii="Arial" w:hAnsi="Arial" w:cs="Arial"/>
                <w:sz w:val="20"/>
                <w:szCs w:val="20"/>
              </w:rPr>
            </w:pPr>
            <w:r>
              <w:rPr>
                <w:rFonts w:ascii="Arial" w:hAnsi="Arial" w:cs="Arial"/>
                <w:sz w:val="20"/>
                <w:szCs w:val="20"/>
              </w:rPr>
              <w:t>38</w:t>
            </w:r>
          </w:p>
        </w:tc>
      </w:tr>
      <w:bookmarkEnd w:id="0"/>
    </w:tbl>
    <w:p w14:paraId="3B5C6FB5" w14:textId="77777777" w:rsidR="003D00BC" w:rsidRDefault="003D00BC" w:rsidP="009E5516"/>
    <w:tbl>
      <w:tblPr>
        <w:tblStyle w:val="TableGrid"/>
        <w:tblW w:w="10800" w:type="dxa"/>
        <w:tblInd w:w="-815" w:type="dxa"/>
        <w:tblLayout w:type="fixed"/>
        <w:tblLook w:val="04A0" w:firstRow="1" w:lastRow="0" w:firstColumn="1" w:lastColumn="0" w:noHBand="0" w:noVBand="1"/>
      </w:tblPr>
      <w:tblGrid>
        <w:gridCol w:w="3622"/>
        <w:gridCol w:w="1810"/>
        <w:gridCol w:w="1962"/>
        <w:gridCol w:w="2111"/>
        <w:gridCol w:w="1295"/>
      </w:tblGrid>
      <w:tr w:rsidR="003D00BC" w14:paraId="33B91E38" w14:textId="77777777" w:rsidTr="006C430E">
        <w:trPr>
          <w:trHeight w:val="295"/>
        </w:trPr>
        <w:tc>
          <w:tcPr>
            <w:tcW w:w="3622" w:type="dxa"/>
            <w:tcBorders>
              <w:bottom w:val="nil"/>
              <w:right w:val="single" w:sz="4" w:space="0" w:color="auto"/>
            </w:tcBorders>
          </w:tcPr>
          <w:p w14:paraId="64364DF1" w14:textId="77777777" w:rsidR="003D00BC" w:rsidRPr="00742C2A" w:rsidRDefault="00742C2A" w:rsidP="00266408">
            <w:pPr>
              <w:autoSpaceDE w:val="0"/>
              <w:autoSpaceDN w:val="0"/>
              <w:adjustRightInd w:val="0"/>
              <w:rPr>
                <w:rFonts w:ascii="Arial" w:hAnsi="Arial" w:cs="Arial"/>
                <w:sz w:val="20"/>
                <w:szCs w:val="20"/>
              </w:rPr>
            </w:pPr>
            <w:r>
              <w:rPr>
                <w:rFonts w:ascii="Arial" w:hAnsi="Arial" w:cs="Arial"/>
                <w:sz w:val="20"/>
                <w:szCs w:val="20"/>
              </w:rPr>
              <w:t xml:space="preserve">Domestic or International </w:t>
            </w:r>
          </w:p>
        </w:tc>
        <w:tc>
          <w:tcPr>
            <w:tcW w:w="3772" w:type="dxa"/>
            <w:gridSpan w:val="2"/>
            <w:tcBorders>
              <w:left w:val="single" w:sz="4" w:space="0" w:color="auto"/>
            </w:tcBorders>
          </w:tcPr>
          <w:p w14:paraId="1258F291" w14:textId="77777777" w:rsidR="003D00BC" w:rsidRPr="00D06E35" w:rsidRDefault="008D7B85" w:rsidP="00266408">
            <w:pPr>
              <w:autoSpaceDE w:val="0"/>
              <w:autoSpaceDN w:val="0"/>
              <w:adjustRightInd w:val="0"/>
              <w:jc w:val="center"/>
              <w:rPr>
                <w:rFonts w:ascii="Arial" w:hAnsi="Arial" w:cs="Arial"/>
                <w:b/>
                <w:sz w:val="20"/>
                <w:szCs w:val="20"/>
              </w:rPr>
            </w:pPr>
            <w:r>
              <w:rPr>
                <w:rFonts w:ascii="Arial" w:hAnsi="Arial" w:cs="Arial"/>
                <w:b/>
                <w:sz w:val="20"/>
                <w:szCs w:val="20"/>
              </w:rPr>
              <w:t>2020/21</w:t>
            </w:r>
          </w:p>
        </w:tc>
        <w:tc>
          <w:tcPr>
            <w:tcW w:w="3406" w:type="dxa"/>
            <w:gridSpan w:val="2"/>
          </w:tcPr>
          <w:p w14:paraId="795E5A3F" w14:textId="77777777" w:rsidR="003D00BC" w:rsidRPr="00D06E35" w:rsidRDefault="008D7B85" w:rsidP="00266408">
            <w:pPr>
              <w:autoSpaceDE w:val="0"/>
              <w:autoSpaceDN w:val="0"/>
              <w:adjustRightInd w:val="0"/>
              <w:jc w:val="center"/>
              <w:rPr>
                <w:rFonts w:ascii="Arial" w:hAnsi="Arial" w:cs="Arial"/>
                <w:b/>
                <w:sz w:val="20"/>
                <w:szCs w:val="20"/>
              </w:rPr>
            </w:pPr>
            <w:r>
              <w:rPr>
                <w:rFonts w:ascii="Arial" w:hAnsi="Arial" w:cs="Arial"/>
                <w:b/>
                <w:sz w:val="20"/>
                <w:szCs w:val="20"/>
              </w:rPr>
              <w:t>2020/21</w:t>
            </w:r>
          </w:p>
        </w:tc>
      </w:tr>
      <w:tr w:rsidR="003D00BC" w:rsidRPr="002065DC" w14:paraId="04E4F846" w14:textId="77777777" w:rsidTr="006C430E">
        <w:trPr>
          <w:trHeight w:val="243"/>
        </w:trPr>
        <w:tc>
          <w:tcPr>
            <w:tcW w:w="3622" w:type="dxa"/>
            <w:tcBorders>
              <w:top w:val="nil"/>
            </w:tcBorders>
          </w:tcPr>
          <w:p w14:paraId="5FC92395" w14:textId="77777777" w:rsidR="003D00BC" w:rsidRPr="002065DC" w:rsidRDefault="003D00BC" w:rsidP="00266408">
            <w:pPr>
              <w:autoSpaceDE w:val="0"/>
              <w:autoSpaceDN w:val="0"/>
              <w:adjustRightInd w:val="0"/>
              <w:rPr>
                <w:rFonts w:ascii="Arial" w:hAnsi="Arial" w:cs="Arial"/>
                <w:sz w:val="20"/>
                <w:szCs w:val="20"/>
              </w:rPr>
            </w:pPr>
          </w:p>
        </w:tc>
        <w:tc>
          <w:tcPr>
            <w:tcW w:w="1810" w:type="dxa"/>
          </w:tcPr>
          <w:p w14:paraId="4266F1C8" w14:textId="77777777" w:rsidR="003D00BC"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 xml:space="preserve">Domestic </w:t>
            </w:r>
          </w:p>
        </w:tc>
        <w:tc>
          <w:tcPr>
            <w:tcW w:w="1962" w:type="dxa"/>
          </w:tcPr>
          <w:p w14:paraId="025659A8" w14:textId="77777777" w:rsidR="003D00BC"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 xml:space="preserve">International </w:t>
            </w:r>
          </w:p>
        </w:tc>
        <w:tc>
          <w:tcPr>
            <w:tcW w:w="2111" w:type="dxa"/>
          </w:tcPr>
          <w:p w14:paraId="45BA26E5" w14:textId="77777777" w:rsidR="003D00BC"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 xml:space="preserve">Residence </w:t>
            </w:r>
          </w:p>
        </w:tc>
        <w:tc>
          <w:tcPr>
            <w:tcW w:w="1295" w:type="dxa"/>
          </w:tcPr>
          <w:p w14:paraId="1173071F" w14:textId="77777777" w:rsidR="003D00BC"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 xml:space="preserve">Off-Campus </w:t>
            </w:r>
          </w:p>
        </w:tc>
      </w:tr>
      <w:tr w:rsidR="003D00BC" w:rsidRPr="002065DC" w14:paraId="489D8006" w14:textId="77777777" w:rsidTr="006C430E">
        <w:trPr>
          <w:trHeight w:val="243"/>
        </w:trPr>
        <w:tc>
          <w:tcPr>
            <w:tcW w:w="3622" w:type="dxa"/>
            <w:tcBorders>
              <w:bottom w:val="single" w:sz="4" w:space="0" w:color="auto"/>
            </w:tcBorders>
          </w:tcPr>
          <w:p w14:paraId="5F1537E5" w14:textId="77777777" w:rsidR="003D00BC" w:rsidRPr="002065DC" w:rsidRDefault="003D00BC" w:rsidP="00266408">
            <w:pPr>
              <w:autoSpaceDE w:val="0"/>
              <w:autoSpaceDN w:val="0"/>
              <w:adjustRightInd w:val="0"/>
              <w:rPr>
                <w:rFonts w:ascii="Arial" w:hAnsi="Arial" w:cs="Arial"/>
                <w:sz w:val="20"/>
                <w:szCs w:val="20"/>
              </w:rPr>
            </w:pPr>
            <w:r w:rsidRPr="002065DC">
              <w:rPr>
                <w:rFonts w:ascii="Arial" w:hAnsi="Arial" w:cs="Arial"/>
                <w:sz w:val="20"/>
                <w:szCs w:val="20"/>
              </w:rPr>
              <w:t>Spring Semester</w:t>
            </w:r>
          </w:p>
        </w:tc>
        <w:tc>
          <w:tcPr>
            <w:tcW w:w="1810" w:type="dxa"/>
            <w:tcBorders>
              <w:bottom w:val="single" w:sz="4" w:space="0" w:color="auto"/>
            </w:tcBorders>
          </w:tcPr>
          <w:p w14:paraId="4C0E3B4F" w14:textId="77777777" w:rsidR="003D00BC"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4</w:t>
            </w:r>
          </w:p>
        </w:tc>
        <w:tc>
          <w:tcPr>
            <w:tcW w:w="1962" w:type="dxa"/>
            <w:tcBorders>
              <w:bottom w:val="single" w:sz="4" w:space="0" w:color="auto"/>
            </w:tcBorders>
          </w:tcPr>
          <w:p w14:paraId="59062DD9"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1</w:t>
            </w:r>
          </w:p>
        </w:tc>
        <w:tc>
          <w:tcPr>
            <w:tcW w:w="2111" w:type="dxa"/>
            <w:tcBorders>
              <w:bottom w:val="single" w:sz="4" w:space="0" w:color="auto"/>
            </w:tcBorders>
          </w:tcPr>
          <w:p w14:paraId="5D19CA1A"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0</w:t>
            </w:r>
          </w:p>
        </w:tc>
        <w:tc>
          <w:tcPr>
            <w:tcW w:w="1295" w:type="dxa"/>
            <w:tcBorders>
              <w:bottom w:val="single" w:sz="4" w:space="0" w:color="auto"/>
            </w:tcBorders>
          </w:tcPr>
          <w:p w14:paraId="416B3358"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5</w:t>
            </w:r>
          </w:p>
        </w:tc>
      </w:tr>
      <w:tr w:rsidR="003D00BC" w:rsidRPr="002065DC" w14:paraId="46413A03" w14:textId="77777777" w:rsidTr="006C430E">
        <w:trPr>
          <w:trHeight w:val="243"/>
        </w:trPr>
        <w:tc>
          <w:tcPr>
            <w:tcW w:w="3622" w:type="dxa"/>
            <w:tcBorders>
              <w:bottom w:val="single" w:sz="4" w:space="0" w:color="auto"/>
            </w:tcBorders>
          </w:tcPr>
          <w:p w14:paraId="5D4543D7" w14:textId="77777777" w:rsidR="003D00BC" w:rsidRPr="002065DC" w:rsidRDefault="003D00BC" w:rsidP="00266408">
            <w:pPr>
              <w:autoSpaceDE w:val="0"/>
              <w:autoSpaceDN w:val="0"/>
              <w:adjustRightInd w:val="0"/>
              <w:rPr>
                <w:rFonts w:ascii="Arial" w:hAnsi="Arial" w:cs="Arial"/>
                <w:sz w:val="20"/>
                <w:szCs w:val="20"/>
              </w:rPr>
            </w:pPr>
            <w:r w:rsidRPr="002065DC">
              <w:rPr>
                <w:rFonts w:ascii="Arial" w:hAnsi="Arial" w:cs="Arial"/>
                <w:sz w:val="20"/>
                <w:szCs w:val="20"/>
              </w:rPr>
              <w:t>Fall Semester</w:t>
            </w:r>
          </w:p>
        </w:tc>
        <w:tc>
          <w:tcPr>
            <w:tcW w:w="1810" w:type="dxa"/>
            <w:tcBorders>
              <w:bottom w:val="single" w:sz="4" w:space="0" w:color="auto"/>
            </w:tcBorders>
          </w:tcPr>
          <w:p w14:paraId="45486AE5" w14:textId="77777777" w:rsidR="003D00BC"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1</w:t>
            </w:r>
          </w:p>
        </w:tc>
        <w:tc>
          <w:tcPr>
            <w:tcW w:w="1962" w:type="dxa"/>
            <w:tcBorders>
              <w:bottom w:val="single" w:sz="4" w:space="0" w:color="auto"/>
            </w:tcBorders>
          </w:tcPr>
          <w:p w14:paraId="06399A3A"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0</w:t>
            </w:r>
          </w:p>
        </w:tc>
        <w:tc>
          <w:tcPr>
            <w:tcW w:w="2111" w:type="dxa"/>
            <w:tcBorders>
              <w:bottom w:val="single" w:sz="4" w:space="0" w:color="auto"/>
            </w:tcBorders>
          </w:tcPr>
          <w:p w14:paraId="6ADE5E09" w14:textId="77777777" w:rsidR="003D00BC" w:rsidRPr="001F4512" w:rsidRDefault="003D00BC" w:rsidP="00266408">
            <w:pPr>
              <w:autoSpaceDE w:val="0"/>
              <w:autoSpaceDN w:val="0"/>
              <w:adjustRightInd w:val="0"/>
              <w:jc w:val="center"/>
              <w:rPr>
                <w:rFonts w:ascii="Arial" w:hAnsi="Arial" w:cs="Arial"/>
                <w:sz w:val="20"/>
                <w:szCs w:val="20"/>
              </w:rPr>
            </w:pPr>
            <w:r>
              <w:rPr>
                <w:rFonts w:ascii="Arial" w:hAnsi="Arial" w:cs="Arial"/>
                <w:sz w:val="20"/>
                <w:szCs w:val="20"/>
              </w:rPr>
              <w:t>1</w:t>
            </w:r>
          </w:p>
        </w:tc>
        <w:tc>
          <w:tcPr>
            <w:tcW w:w="1295" w:type="dxa"/>
            <w:tcBorders>
              <w:bottom w:val="single" w:sz="4" w:space="0" w:color="auto"/>
            </w:tcBorders>
          </w:tcPr>
          <w:p w14:paraId="6FCA7D99"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0</w:t>
            </w:r>
          </w:p>
        </w:tc>
      </w:tr>
      <w:tr w:rsidR="003D00BC" w:rsidRPr="002065DC" w14:paraId="78B1435B" w14:textId="77777777" w:rsidTr="006C430E">
        <w:trPr>
          <w:trHeight w:val="243"/>
        </w:trPr>
        <w:tc>
          <w:tcPr>
            <w:tcW w:w="3622" w:type="dxa"/>
            <w:tcBorders>
              <w:top w:val="single" w:sz="4" w:space="0" w:color="auto"/>
              <w:left w:val="single" w:sz="4" w:space="0" w:color="auto"/>
              <w:bottom w:val="single" w:sz="4" w:space="0" w:color="auto"/>
              <w:right w:val="single" w:sz="4" w:space="0" w:color="auto"/>
            </w:tcBorders>
          </w:tcPr>
          <w:p w14:paraId="4F5B606D" w14:textId="77777777" w:rsidR="003D00BC" w:rsidRPr="002065DC" w:rsidRDefault="003D00BC" w:rsidP="00266408">
            <w:pPr>
              <w:autoSpaceDE w:val="0"/>
              <w:autoSpaceDN w:val="0"/>
              <w:adjustRightInd w:val="0"/>
              <w:rPr>
                <w:rFonts w:ascii="Arial" w:hAnsi="Arial" w:cs="Arial"/>
                <w:sz w:val="20"/>
                <w:szCs w:val="20"/>
              </w:rPr>
            </w:pPr>
            <w:r w:rsidRPr="002065DC">
              <w:rPr>
                <w:rFonts w:ascii="Arial" w:hAnsi="Arial" w:cs="Arial"/>
                <w:sz w:val="20"/>
                <w:szCs w:val="20"/>
              </w:rPr>
              <w:t>Winter Semester</w:t>
            </w:r>
          </w:p>
        </w:tc>
        <w:tc>
          <w:tcPr>
            <w:tcW w:w="1810" w:type="dxa"/>
            <w:tcBorders>
              <w:top w:val="single" w:sz="4" w:space="0" w:color="auto"/>
              <w:left w:val="single" w:sz="4" w:space="0" w:color="auto"/>
              <w:bottom w:val="single" w:sz="4" w:space="0" w:color="auto"/>
              <w:right w:val="single" w:sz="4" w:space="0" w:color="auto"/>
            </w:tcBorders>
          </w:tcPr>
          <w:p w14:paraId="7F8F1F8B" w14:textId="77777777" w:rsidR="003D00BC" w:rsidRPr="002065DC" w:rsidRDefault="00742C2A" w:rsidP="00266408">
            <w:pPr>
              <w:autoSpaceDE w:val="0"/>
              <w:autoSpaceDN w:val="0"/>
              <w:adjustRightInd w:val="0"/>
              <w:jc w:val="center"/>
              <w:rPr>
                <w:rFonts w:ascii="Arial" w:hAnsi="Arial" w:cs="Arial"/>
                <w:sz w:val="20"/>
                <w:szCs w:val="20"/>
              </w:rPr>
            </w:pPr>
            <w:r>
              <w:rPr>
                <w:rFonts w:ascii="Arial" w:hAnsi="Arial" w:cs="Arial"/>
                <w:sz w:val="20"/>
                <w:szCs w:val="20"/>
              </w:rPr>
              <w:t>3</w:t>
            </w:r>
          </w:p>
        </w:tc>
        <w:tc>
          <w:tcPr>
            <w:tcW w:w="1962" w:type="dxa"/>
            <w:tcBorders>
              <w:top w:val="single" w:sz="4" w:space="0" w:color="auto"/>
              <w:left w:val="single" w:sz="4" w:space="0" w:color="auto"/>
              <w:bottom w:val="single" w:sz="4" w:space="0" w:color="auto"/>
              <w:right w:val="single" w:sz="4" w:space="0" w:color="auto"/>
            </w:tcBorders>
          </w:tcPr>
          <w:p w14:paraId="30BA118E"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2</w:t>
            </w:r>
          </w:p>
        </w:tc>
        <w:tc>
          <w:tcPr>
            <w:tcW w:w="2111" w:type="dxa"/>
            <w:tcBorders>
              <w:top w:val="single" w:sz="4" w:space="0" w:color="auto"/>
              <w:left w:val="single" w:sz="4" w:space="0" w:color="auto"/>
              <w:bottom w:val="single" w:sz="4" w:space="0" w:color="auto"/>
              <w:right w:val="single" w:sz="4" w:space="0" w:color="auto"/>
            </w:tcBorders>
          </w:tcPr>
          <w:p w14:paraId="6D404A60"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0</w:t>
            </w:r>
          </w:p>
        </w:tc>
        <w:tc>
          <w:tcPr>
            <w:tcW w:w="1295" w:type="dxa"/>
            <w:tcBorders>
              <w:top w:val="single" w:sz="4" w:space="0" w:color="auto"/>
              <w:left w:val="single" w:sz="4" w:space="0" w:color="auto"/>
              <w:bottom w:val="single" w:sz="4" w:space="0" w:color="auto"/>
              <w:right w:val="single" w:sz="4" w:space="0" w:color="auto"/>
            </w:tcBorders>
          </w:tcPr>
          <w:p w14:paraId="56724441" w14:textId="77777777" w:rsidR="003D00BC" w:rsidRPr="001F4512" w:rsidRDefault="00742C2A" w:rsidP="00266408">
            <w:pPr>
              <w:autoSpaceDE w:val="0"/>
              <w:autoSpaceDN w:val="0"/>
              <w:adjustRightInd w:val="0"/>
              <w:jc w:val="center"/>
              <w:rPr>
                <w:rFonts w:ascii="Arial" w:hAnsi="Arial" w:cs="Arial"/>
                <w:sz w:val="20"/>
                <w:szCs w:val="20"/>
              </w:rPr>
            </w:pPr>
            <w:r>
              <w:rPr>
                <w:rFonts w:ascii="Arial" w:hAnsi="Arial" w:cs="Arial"/>
                <w:sz w:val="20"/>
                <w:szCs w:val="20"/>
              </w:rPr>
              <w:t>5</w:t>
            </w:r>
          </w:p>
        </w:tc>
      </w:tr>
      <w:tr w:rsidR="003D00BC" w:rsidRPr="002065DC" w14:paraId="46392480" w14:textId="77777777" w:rsidTr="006C430E">
        <w:trPr>
          <w:trHeight w:val="243"/>
        </w:trPr>
        <w:tc>
          <w:tcPr>
            <w:tcW w:w="3622" w:type="dxa"/>
            <w:tcBorders>
              <w:top w:val="single" w:sz="4" w:space="0" w:color="auto"/>
            </w:tcBorders>
          </w:tcPr>
          <w:p w14:paraId="437200C8" w14:textId="77777777" w:rsidR="003D00BC" w:rsidRPr="002065DC" w:rsidRDefault="003D00BC" w:rsidP="00266408">
            <w:pPr>
              <w:autoSpaceDE w:val="0"/>
              <w:autoSpaceDN w:val="0"/>
              <w:adjustRightInd w:val="0"/>
              <w:rPr>
                <w:rFonts w:ascii="Arial" w:hAnsi="Arial" w:cs="Arial"/>
                <w:sz w:val="20"/>
                <w:szCs w:val="20"/>
              </w:rPr>
            </w:pPr>
            <w:r w:rsidRPr="002065DC">
              <w:rPr>
                <w:rFonts w:ascii="Arial" w:hAnsi="Arial" w:cs="Arial"/>
                <w:sz w:val="20"/>
                <w:szCs w:val="20"/>
              </w:rPr>
              <w:t>TOTAL</w:t>
            </w:r>
          </w:p>
        </w:tc>
        <w:tc>
          <w:tcPr>
            <w:tcW w:w="1810" w:type="dxa"/>
            <w:tcBorders>
              <w:top w:val="single" w:sz="4" w:space="0" w:color="auto"/>
            </w:tcBorders>
          </w:tcPr>
          <w:p w14:paraId="0794C2EA" w14:textId="77777777" w:rsidR="003D00BC" w:rsidRPr="002065DC" w:rsidRDefault="00742C2A" w:rsidP="00266408">
            <w:pPr>
              <w:autoSpaceDE w:val="0"/>
              <w:autoSpaceDN w:val="0"/>
              <w:adjustRightInd w:val="0"/>
              <w:jc w:val="center"/>
              <w:rPr>
                <w:rFonts w:ascii="Arial" w:hAnsi="Arial" w:cs="Arial"/>
                <w:sz w:val="20"/>
                <w:szCs w:val="20"/>
              </w:rPr>
            </w:pPr>
            <w:r>
              <w:rPr>
                <w:rFonts w:ascii="Arial" w:hAnsi="Arial" w:cs="Arial"/>
                <w:sz w:val="20"/>
                <w:szCs w:val="20"/>
              </w:rPr>
              <w:t>8</w:t>
            </w:r>
          </w:p>
        </w:tc>
        <w:tc>
          <w:tcPr>
            <w:tcW w:w="1962" w:type="dxa"/>
            <w:tcBorders>
              <w:top w:val="single" w:sz="4" w:space="0" w:color="auto"/>
            </w:tcBorders>
          </w:tcPr>
          <w:p w14:paraId="71063EB5"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3</w:t>
            </w:r>
          </w:p>
        </w:tc>
        <w:tc>
          <w:tcPr>
            <w:tcW w:w="2111" w:type="dxa"/>
            <w:tcBorders>
              <w:top w:val="single" w:sz="4" w:space="0" w:color="auto"/>
            </w:tcBorders>
          </w:tcPr>
          <w:p w14:paraId="17A08C55" w14:textId="77777777" w:rsidR="003D00BC"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1</w:t>
            </w:r>
          </w:p>
        </w:tc>
        <w:tc>
          <w:tcPr>
            <w:tcW w:w="1295" w:type="dxa"/>
            <w:tcBorders>
              <w:top w:val="single" w:sz="4" w:space="0" w:color="auto"/>
            </w:tcBorders>
          </w:tcPr>
          <w:p w14:paraId="053465FC" w14:textId="77777777" w:rsidR="003D00BC" w:rsidRPr="001F4512" w:rsidRDefault="00742C2A" w:rsidP="00266408">
            <w:pPr>
              <w:autoSpaceDE w:val="0"/>
              <w:autoSpaceDN w:val="0"/>
              <w:adjustRightInd w:val="0"/>
              <w:jc w:val="center"/>
              <w:rPr>
                <w:rFonts w:ascii="Arial" w:hAnsi="Arial" w:cs="Arial"/>
                <w:sz w:val="20"/>
                <w:szCs w:val="20"/>
              </w:rPr>
            </w:pPr>
            <w:r>
              <w:rPr>
                <w:rFonts w:ascii="Arial" w:hAnsi="Arial" w:cs="Arial"/>
                <w:sz w:val="20"/>
                <w:szCs w:val="20"/>
              </w:rPr>
              <w:t>10</w:t>
            </w:r>
          </w:p>
        </w:tc>
      </w:tr>
    </w:tbl>
    <w:p w14:paraId="193A25EF" w14:textId="77777777" w:rsidR="003D00BC" w:rsidRDefault="003D00BC" w:rsidP="009E5516"/>
    <w:tbl>
      <w:tblPr>
        <w:tblStyle w:val="TableGrid"/>
        <w:tblW w:w="6764" w:type="dxa"/>
        <w:tblInd w:w="-815" w:type="dxa"/>
        <w:tblLayout w:type="fixed"/>
        <w:tblLook w:val="04A0" w:firstRow="1" w:lastRow="0" w:firstColumn="1" w:lastColumn="0" w:noHBand="0" w:noVBand="1"/>
      </w:tblPr>
      <w:tblGrid>
        <w:gridCol w:w="3220"/>
        <w:gridCol w:w="1701"/>
        <w:gridCol w:w="1843"/>
      </w:tblGrid>
      <w:tr w:rsidR="008D7B85" w14:paraId="5050DB41" w14:textId="77777777" w:rsidTr="006C430E">
        <w:trPr>
          <w:trHeight w:val="278"/>
        </w:trPr>
        <w:tc>
          <w:tcPr>
            <w:tcW w:w="3220" w:type="dxa"/>
            <w:tcBorders>
              <w:bottom w:val="nil"/>
              <w:right w:val="single" w:sz="4" w:space="0" w:color="auto"/>
            </w:tcBorders>
          </w:tcPr>
          <w:p w14:paraId="66CDF6B9" w14:textId="77777777" w:rsidR="008D7B85" w:rsidRPr="00742C2A" w:rsidRDefault="00742C2A" w:rsidP="00266408">
            <w:pPr>
              <w:autoSpaceDE w:val="0"/>
              <w:autoSpaceDN w:val="0"/>
              <w:adjustRightInd w:val="0"/>
              <w:rPr>
                <w:rFonts w:ascii="Arial" w:hAnsi="Arial" w:cs="Arial"/>
                <w:sz w:val="20"/>
                <w:szCs w:val="20"/>
              </w:rPr>
            </w:pPr>
            <w:r w:rsidRPr="00742C2A">
              <w:rPr>
                <w:rFonts w:ascii="Arial" w:hAnsi="Arial" w:cs="Arial"/>
                <w:sz w:val="20"/>
                <w:szCs w:val="20"/>
              </w:rPr>
              <w:t xml:space="preserve">Campus </w:t>
            </w:r>
          </w:p>
        </w:tc>
        <w:tc>
          <w:tcPr>
            <w:tcW w:w="3544" w:type="dxa"/>
            <w:gridSpan w:val="2"/>
            <w:tcBorders>
              <w:left w:val="single" w:sz="4" w:space="0" w:color="auto"/>
            </w:tcBorders>
          </w:tcPr>
          <w:p w14:paraId="067EFA31" w14:textId="77777777" w:rsidR="008D7B85" w:rsidRPr="00D06E35" w:rsidRDefault="008D7B85" w:rsidP="00266408">
            <w:pPr>
              <w:autoSpaceDE w:val="0"/>
              <w:autoSpaceDN w:val="0"/>
              <w:adjustRightInd w:val="0"/>
              <w:jc w:val="center"/>
              <w:rPr>
                <w:rFonts w:ascii="Arial" w:hAnsi="Arial" w:cs="Arial"/>
                <w:b/>
                <w:sz w:val="20"/>
                <w:szCs w:val="20"/>
              </w:rPr>
            </w:pPr>
            <w:r>
              <w:rPr>
                <w:rFonts w:ascii="Arial" w:hAnsi="Arial" w:cs="Arial"/>
                <w:b/>
                <w:sz w:val="20"/>
                <w:szCs w:val="20"/>
              </w:rPr>
              <w:t>2020/21</w:t>
            </w:r>
          </w:p>
        </w:tc>
      </w:tr>
      <w:tr w:rsidR="008D7B85" w:rsidRPr="002065DC" w14:paraId="7CC9CFC5" w14:textId="77777777" w:rsidTr="006C430E">
        <w:trPr>
          <w:trHeight w:val="229"/>
        </w:trPr>
        <w:tc>
          <w:tcPr>
            <w:tcW w:w="3220" w:type="dxa"/>
            <w:tcBorders>
              <w:top w:val="nil"/>
            </w:tcBorders>
          </w:tcPr>
          <w:p w14:paraId="48F821F5" w14:textId="77777777" w:rsidR="008D7B85" w:rsidRPr="00742C2A" w:rsidRDefault="008D7B85" w:rsidP="00266408">
            <w:pPr>
              <w:autoSpaceDE w:val="0"/>
              <w:autoSpaceDN w:val="0"/>
              <w:adjustRightInd w:val="0"/>
              <w:rPr>
                <w:rFonts w:ascii="Arial" w:hAnsi="Arial" w:cs="Arial"/>
                <w:sz w:val="20"/>
                <w:szCs w:val="20"/>
              </w:rPr>
            </w:pPr>
          </w:p>
        </w:tc>
        <w:tc>
          <w:tcPr>
            <w:tcW w:w="1701" w:type="dxa"/>
          </w:tcPr>
          <w:p w14:paraId="723B8992" w14:textId="77777777" w:rsidR="008D7B85"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 xml:space="preserve">Sutherland </w:t>
            </w:r>
          </w:p>
        </w:tc>
        <w:tc>
          <w:tcPr>
            <w:tcW w:w="1843" w:type="dxa"/>
          </w:tcPr>
          <w:p w14:paraId="71199082" w14:textId="77777777" w:rsidR="008D7B85"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 xml:space="preserve">Frost </w:t>
            </w:r>
          </w:p>
        </w:tc>
      </w:tr>
      <w:tr w:rsidR="008D7B85" w:rsidRPr="002065DC" w14:paraId="18B02B00" w14:textId="77777777" w:rsidTr="006C430E">
        <w:trPr>
          <w:trHeight w:val="229"/>
        </w:trPr>
        <w:tc>
          <w:tcPr>
            <w:tcW w:w="3220" w:type="dxa"/>
            <w:tcBorders>
              <w:bottom w:val="single" w:sz="4" w:space="0" w:color="auto"/>
            </w:tcBorders>
          </w:tcPr>
          <w:p w14:paraId="6534C534" w14:textId="77777777" w:rsidR="008D7B85" w:rsidRPr="002065DC" w:rsidRDefault="008D7B85" w:rsidP="00266408">
            <w:pPr>
              <w:autoSpaceDE w:val="0"/>
              <w:autoSpaceDN w:val="0"/>
              <w:adjustRightInd w:val="0"/>
              <w:rPr>
                <w:rFonts w:ascii="Arial" w:hAnsi="Arial" w:cs="Arial"/>
                <w:sz w:val="20"/>
                <w:szCs w:val="20"/>
              </w:rPr>
            </w:pPr>
            <w:r w:rsidRPr="002065DC">
              <w:rPr>
                <w:rFonts w:ascii="Arial" w:hAnsi="Arial" w:cs="Arial"/>
                <w:sz w:val="20"/>
                <w:szCs w:val="20"/>
              </w:rPr>
              <w:t>Spring Semester</w:t>
            </w:r>
          </w:p>
        </w:tc>
        <w:tc>
          <w:tcPr>
            <w:tcW w:w="1701" w:type="dxa"/>
            <w:tcBorders>
              <w:bottom w:val="single" w:sz="4" w:space="0" w:color="auto"/>
            </w:tcBorders>
          </w:tcPr>
          <w:p w14:paraId="347E59D9" w14:textId="77777777" w:rsidR="008D7B85"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2</w:t>
            </w:r>
          </w:p>
        </w:tc>
        <w:tc>
          <w:tcPr>
            <w:tcW w:w="1843" w:type="dxa"/>
            <w:tcBorders>
              <w:bottom w:val="single" w:sz="4" w:space="0" w:color="auto"/>
            </w:tcBorders>
          </w:tcPr>
          <w:p w14:paraId="6E499A45" w14:textId="77777777" w:rsidR="008D7B85"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3</w:t>
            </w:r>
          </w:p>
        </w:tc>
      </w:tr>
      <w:tr w:rsidR="008D7B85" w:rsidRPr="002065DC" w14:paraId="0653522A" w14:textId="77777777" w:rsidTr="006C430E">
        <w:trPr>
          <w:trHeight w:val="229"/>
        </w:trPr>
        <w:tc>
          <w:tcPr>
            <w:tcW w:w="3220" w:type="dxa"/>
            <w:tcBorders>
              <w:bottom w:val="single" w:sz="4" w:space="0" w:color="auto"/>
            </w:tcBorders>
          </w:tcPr>
          <w:p w14:paraId="396E6210" w14:textId="77777777" w:rsidR="008D7B85" w:rsidRPr="002065DC" w:rsidRDefault="008D7B85" w:rsidP="00266408">
            <w:pPr>
              <w:autoSpaceDE w:val="0"/>
              <w:autoSpaceDN w:val="0"/>
              <w:adjustRightInd w:val="0"/>
              <w:rPr>
                <w:rFonts w:ascii="Arial" w:hAnsi="Arial" w:cs="Arial"/>
                <w:sz w:val="20"/>
                <w:szCs w:val="20"/>
              </w:rPr>
            </w:pPr>
            <w:r w:rsidRPr="002065DC">
              <w:rPr>
                <w:rFonts w:ascii="Arial" w:hAnsi="Arial" w:cs="Arial"/>
                <w:sz w:val="20"/>
                <w:szCs w:val="20"/>
              </w:rPr>
              <w:t>Fall Semester</w:t>
            </w:r>
          </w:p>
        </w:tc>
        <w:tc>
          <w:tcPr>
            <w:tcW w:w="1701" w:type="dxa"/>
            <w:tcBorders>
              <w:bottom w:val="single" w:sz="4" w:space="0" w:color="auto"/>
            </w:tcBorders>
          </w:tcPr>
          <w:p w14:paraId="5AB4C917" w14:textId="77777777" w:rsidR="008D7B85" w:rsidRPr="002065DC" w:rsidRDefault="008D7B85" w:rsidP="00266408">
            <w:pPr>
              <w:autoSpaceDE w:val="0"/>
              <w:autoSpaceDN w:val="0"/>
              <w:adjustRightInd w:val="0"/>
              <w:jc w:val="center"/>
              <w:rPr>
                <w:rFonts w:ascii="Arial" w:hAnsi="Arial" w:cs="Arial"/>
                <w:sz w:val="20"/>
                <w:szCs w:val="20"/>
              </w:rPr>
            </w:pPr>
            <w:r>
              <w:rPr>
                <w:rFonts w:ascii="Arial" w:hAnsi="Arial" w:cs="Arial"/>
                <w:sz w:val="20"/>
                <w:szCs w:val="20"/>
              </w:rPr>
              <w:t>1</w:t>
            </w:r>
          </w:p>
        </w:tc>
        <w:tc>
          <w:tcPr>
            <w:tcW w:w="1843" w:type="dxa"/>
            <w:tcBorders>
              <w:bottom w:val="single" w:sz="4" w:space="0" w:color="auto"/>
            </w:tcBorders>
          </w:tcPr>
          <w:p w14:paraId="649369EB" w14:textId="77777777" w:rsidR="008D7B85"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0</w:t>
            </w:r>
          </w:p>
        </w:tc>
      </w:tr>
      <w:tr w:rsidR="008D7B85" w:rsidRPr="002065DC" w14:paraId="5F2D176B" w14:textId="77777777" w:rsidTr="006C430E">
        <w:trPr>
          <w:trHeight w:val="229"/>
        </w:trPr>
        <w:tc>
          <w:tcPr>
            <w:tcW w:w="3220" w:type="dxa"/>
            <w:tcBorders>
              <w:top w:val="single" w:sz="4" w:space="0" w:color="auto"/>
              <w:left w:val="single" w:sz="4" w:space="0" w:color="auto"/>
              <w:bottom w:val="single" w:sz="4" w:space="0" w:color="auto"/>
              <w:right w:val="single" w:sz="4" w:space="0" w:color="auto"/>
            </w:tcBorders>
          </w:tcPr>
          <w:p w14:paraId="4583B70D" w14:textId="77777777" w:rsidR="008D7B85" w:rsidRPr="002065DC" w:rsidRDefault="008D7B85" w:rsidP="00266408">
            <w:pPr>
              <w:autoSpaceDE w:val="0"/>
              <w:autoSpaceDN w:val="0"/>
              <w:adjustRightInd w:val="0"/>
              <w:rPr>
                <w:rFonts w:ascii="Arial" w:hAnsi="Arial" w:cs="Arial"/>
                <w:sz w:val="20"/>
                <w:szCs w:val="20"/>
              </w:rPr>
            </w:pPr>
            <w:r w:rsidRPr="002065DC">
              <w:rPr>
                <w:rFonts w:ascii="Arial" w:hAnsi="Arial" w:cs="Arial"/>
                <w:sz w:val="20"/>
                <w:szCs w:val="20"/>
              </w:rPr>
              <w:t>Winter Semester</w:t>
            </w:r>
          </w:p>
        </w:tc>
        <w:tc>
          <w:tcPr>
            <w:tcW w:w="1701" w:type="dxa"/>
            <w:tcBorders>
              <w:top w:val="single" w:sz="4" w:space="0" w:color="auto"/>
              <w:left w:val="single" w:sz="4" w:space="0" w:color="auto"/>
              <w:bottom w:val="single" w:sz="4" w:space="0" w:color="auto"/>
              <w:right w:val="single" w:sz="4" w:space="0" w:color="auto"/>
            </w:tcBorders>
          </w:tcPr>
          <w:p w14:paraId="6912447D" w14:textId="77777777" w:rsidR="008D7B85" w:rsidRPr="002065DC" w:rsidRDefault="00742C2A" w:rsidP="00266408">
            <w:pPr>
              <w:autoSpaceDE w:val="0"/>
              <w:autoSpaceDN w:val="0"/>
              <w:adjustRightInd w:val="0"/>
              <w:jc w:val="center"/>
              <w:rPr>
                <w:rFonts w:ascii="Arial" w:hAnsi="Arial" w:cs="Arial"/>
                <w:sz w:val="20"/>
                <w:szCs w:val="20"/>
              </w:rPr>
            </w:pPr>
            <w:r>
              <w:rPr>
                <w:rFonts w:ascii="Arial"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7CDA5649" w14:textId="77777777" w:rsidR="008D7B85"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1</w:t>
            </w:r>
          </w:p>
        </w:tc>
      </w:tr>
      <w:tr w:rsidR="008D7B85" w:rsidRPr="002065DC" w14:paraId="003E3F0E" w14:textId="77777777" w:rsidTr="006C430E">
        <w:trPr>
          <w:trHeight w:val="229"/>
        </w:trPr>
        <w:tc>
          <w:tcPr>
            <w:tcW w:w="3220" w:type="dxa"/>
            <w:tcBorders>
              <w:top w:val="single" w:sz="4" w:space="0" w:color="auto"/>
            </w:tcBorders>
          </w:tcPr>
          <w:p w14:paraId="5FE84919" w14:textId="77777777" w:rsidR="008D7B85" w:rsidRPr="002065DC" w:rsidRDefault="008D7B85" w:rsidP="00266408">
            <w:pPr>
              <w:autoSpaceDE w:val="0"/>
              <w:autoSpaceDN w:val="0"/>
              <w:adjustRightInd w:val="0"/>
              <w:rPr>
                <w:rFonts w:ascii="Arial" w:hAnsi="Arial" w:cs="Arial"/>
                <w:sz w:val="20"/>
                <w:szCs w:val="20"/>
              </w:rPr>
            </w:pPr>
            <w:r w:rsidRPr="002065DC">
              <w:rPr>
                <w:rFonts w:ascii="Arial" w:hAnsi="Arial" w:cs="Arial"/>
                <w:sz w:val="20"/>
                <w:szCs w:val="20"/>
              </w:rPr>
              <w:t>TOTAL</w:t>
            </w:r>
          </w:p>
        </w:tc>
        <w:tc>
          <w:tcPr>
            <w:tcW w:w="1701" w:type="dxa"/>
            <w:tcBorders>
              <w:top w:val="single" w:sz="4" w:space="0" w:color="auto"/>
            </w:tcBorders>
          </w:tcPr>
          <w:p w14:paraId="6D492D21" w14:textId="77777777" w:rsidR="008D7B85" w:rsidRPr="002065DC" w:rsidRDefault="00742C2A" w:rsidP="00266408">
            <w:pPr>
              <w:autoSpaceDE w:val="0"/>
              <w:autoSpaceDN w:val="0"/>
              <w:adjustRightInd w:val="0"/>
              <w:jc w:val="center"/>
              <w:rPr>
                <w:rFonts w:ascii="Arial" w:hAnsi="Arial" w:cs="Arial"/>
                <w:sz w:val="20"/>
                <w:szCs w:val="20"/>
              </w:rPr>
            </w:pPr>
            <w:r>
              <w:rPr>
                <w:rFonts w:ascii="Arial" w:hAnsi="Arial" w:cs="Arial"/>
                <w:sz w:val="20"/>
                <w:szCs w:val="20"/>
              </w:rPr>
              <w:t>7</w:t>
            </w:r>
          </w:p>
        </w:tc>
        <w:tc>
          <w:tcPr>
            <w:tcW w:w="1843" w:type="dxa"/>
            <w:tcBorders>
              <w:top w:val="single" w:sz="4" w:space="0" w:color="auto"/>
            </w:tcBorders>
          </w:tcPr>
          <w:p w14:paraId="2B553E28" w14:textId="77777777" w:rsidR="008D7B85" w:rsidRPr="001F4512" w:rsidRDefault="008D7B85" w:rsidP="00266408">
            <w:pPr>
              <w:autoSpaceDE w:val="0"/>
              <w:autoSpaceDN w:val="0"/>
              <w:adjustRightInd w:val="0"/>
              <w:jc w:val="center"/>
              <w:rPr>
                <w:rFonts w:ascii="Arial" w:hAnsi="Arial" w:cs="Arial"/>
                <w:sz w:val="20"/>
                <w:szCs w:val="20"/>
              </w:rPr>
            </w:pPr>
            <w:r>
              <w:rPr>
                <w:rFonts w:ascii="Arial" w:hAnsi="Arial" w:cs="Arial"/>
                <w:sz w:val="20"/>
                <w:szCs w:val="20"/>
              </w:rPr>
              <w:t>4</w:t>
            </w:r>
          </w:p>
        </w:tc>
      </w:tr>
    </w:tbl>
    <w:p w14:paraId="6F05AA3D" w14:textId="77777777" w:rsidR="008D7B85" w:rsidRDefault="008D7B85" w:rsidP="009E5516"/>
    <w:p w14:paraId="4760E22B" w14:textId="77777777" w:rsidR="003D00BC" w:rsidRDefault="003D00BC" w:rsidP="009E5516"/>
    <w:p w14:paraId="6AD16528" w14:textId="77777777" w:rsidR="009E5516" w:rsidRPr="000B78E0" w:rsidRDefault="009E5516" w:rsidP="009E5516">
      <w:pPr>
        <w:rPr>
          <w:b/>
        </w:rPr>
      </w:pPr>
      <w:r w:rsidRPr="000B78E0">
        <w:rPr>
          <w:b/>
        </w:rPr>
        <w:t>Category of incidents</w:t>
      </w:r>
      <w:r w:rsidR="004D26C2">
        <w:rPr>
          <w:b/>
        </w:rPr>
        <w:t xml:space="preserve"> 2020-21</w:t>
      </w:r>
    </w:p>
    <w:tbl>
      <w:tblPr>
        <w:tblStyle w:val="TableGrid"/>
        <w:tblW w:w="11070" w:type="dxa"/>
        <w:tblInd w:w="-815" w:type="dxa"/>
        <w:tblLayout w:type="fixed"/>
        <w:tblLook w:val="04A0" w:firstRow="1" w:lastRow="0" w:firstColumn="1" w:lastColumn="0" w:noHBand="0" w:noVBand="1"/>
      </w:tblPr>
      <w:tblGrid>
        <w:gridCol w:w="1091"/>
        <w:gridCol w:w="833"/>
        <w:gridCol w:w="834"/>
        <w:gridCol w:w="833"/>
        <w:gridCol w:w="834"/>
        <w:gridCol w:w="833"/>
        <w:gridCol w:w="834"/>
        <w:gridCol w:w="833"/>
        <w:gridCol w:w="834"/>
        <w:gridCol w:w="833"/>
        <w:gridCol w:w="834"/>
        <w:gridCol w:w="833"/>
        <w:gridCol w:w="811"/>
      </w:tblGrid>
      <w:tr w:rsidR="009E5516" w:rsidRPr="002065DC" w14:paraId="66F1D764" w14:textId="77777777" w:rsidTr="006C430E">
        <w:trPr>
          <w:trHeight w:val="383"/>
        </w:trPr>
        <w:tc>
          <w:tcPr>
            <w:tcW w:w="1091" w:type="dxa"/>
          </w:tcPr>
          <w:p w14:paraId="7E22B20E" w14:textId="77777777" w:rsidR="009E5516" w:rsidRPr="002065DC" w:rsidRDefault="009E5516" w:rsidP="004A54CA">
            <w:pPr>
              <w:autoSpaceDE w:val="0"/>
              <w:autoSpaceDN w:val="0"/>
              <w:adjustRightInd w:val="0"/>
              <w:rPr>
                <w:rFonts w:ascii="Arial" w:hAnsi="Arial" w:cs="Arial"/>
                <w:sz w:val="18"/>
                <w:szCs w:val="20"/>
              </w:rPr>
            </w:pPr>
          </w:p>
        </w:tc>
        <w:tc>
          <w:tcPr>
            <w:tcW w:w="1667" w:type="dxa"/>
            <w:gridSpan w:val="2"/>
          </w:tcPr>
          <w:p w14:paraId="1415AD1D"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Sexual Assault</w:t>
            </w:r>
          </w:p>
        </w:tc>
        <w:tc>
          <w:tcPr>
            <w:tcW w:w="1667" w:type="dxa"/>
            <w:gridSpan w:val="2"/>
          </w:tcPr>
          <w:p w14:paraId="1E9EE5EA"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Sexual Harassment</w:t>
            </w:r>
          </w:p>
        </w:tc>
        <w:tc>
          <w:tcPr>
            <w:tcW w:w="1667" w:type="dxa"/>
            <w:gridSpan w:val="2"/>
          </w:tcPr>
          <w:p w14:paraId="50E6F436"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Voyeurism</w:t>
            </w:r>
          </w:p>
        </w:tc>
        <w:tc>
          <w:tcPr>
            <w:tcW w:w="1667" w:type="dxa"/>
            <w:gridSpan w:val="2"/>
          </w:tcPr>
          <w:p w14:paraId="473389EB"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Indecent</w:t>
            </w:r>
          </w:p>
          <w:p w14:paraId="1F3ECF18"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Exposure</w:t>
            </w:r>
          </w:p>
        </w:tc>
        <w:tc>
          <w:tcPr>
            <w:tcW w:w="1667" w:type="dxa"/>
            <w:gridSpan w:val="2"/>
          </w:tcPr>
          <w:p w14:paraId="479B9393"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Sexual Exploitation</w:t>
            </w:r>
          </w:p>
        </w:tc>
        <w:tc>
          <w:tcPr>
            <w:tcW w:w="1644" w:type="dxa"/>
            <w:gridSpan w:val="2"/>
          </w:tcPr>
          <w:p w14:paraId="36794FA9" w14:textId="77777777" w:rsidR="009E5516" w:rsidRPr="002065DC" w:rsidRDefault="009E5516" w:rsidP="004A54CA">
            <w:pPr>
              <w:autoSpaceDE w:val="0"/>
              <w:autoSpaceDN w:val="0"/>
              <w:adjustRightInd w:val="0"/>
              <w:jc w:val="center"/>
              <w:rPr>
                <w:rFonts w:ascii="Arial" w:hAnsi="Arial" w:cs="Arial"/>
                <w:b/>
                <w:sz w:val="18"/>
                <w:szCs w:val="20"/>
              </w:rPr>
            </w:pPr>
            <w:r w:rsidRPr="002065DC">
              <w:rPr>
                <w:rFonts w:ascii="Arial" w:hAnsi="Arial" w:cs="Arial"/>
                <w:b/>
                <w:sz w:val="18"/>
                <w:szCs w:val="20"/>
              </w:rPr>
              <w:t>Stalking</w:t>
            </w:r>
          </w:p>
        </w:tc>
      </w:tr>
      <w:tr w:rsidR="009E5516" w:rsidRPr="002065DC" w14:paraId="7220EFE0" w14:textId="77777777" w:rsidTr="006C430E">
        <w:trPr>
          <w:trHeight w:val="303"/>
        </w:trPr>
        <w:tc>
          <w:tcPr>
            <w:tcW w:w="1091" w:type="dxa"/>
          </w:tcPr>
          <w:p w14:paraId="66E0FEBA" w14:textId="77777777" w:rsidR="009E5516" w:rsidRPr="002065DC" w:rsidRDefault="009E5516" w:rsidP="004A54CA">
            <w:pPr>
              <w:autoSpaceDE w:val="0"/>
              <w:autoSpaceDN w:val="0"/>
              <w:adjustRightInd w:val="0"/>
              <w:rPr>
                <w:rFonts w:ascii="Arial" w:hAnsi="Arial" w:cs="Arial"/>
                <w:sz w:val="20"/>
                <w:szCs w:val="20"/>
              </w:rPr>
            </w:pPr>
          </w:p>
        </w:tc>
        <w:tc>
          <w:tcPr>
            <w:tcW w:w="833" w:type="dxa"/>
          </w:tcPr>
          <w:p w14:paraId="609918E2" w14:textId="77777777" w:rsidR="009E5516" w:rsidRPr="002065DC" w:rsidRDefault="009E5516" w:rsidP="004A54CA">
            <w:pPr>
              <w:autoSpaceDE w:val="0"/>
              <w:autoSpaceDN w:val="0"/>
              <w:adjustRightInd w:val="0"/>
              <w:jc w:val="both"/>
              <w:rPr>
                <w:rFonts w:ascii="Arial" w:hAnsi="Arial" w:cs="Arial"/>
                <w:sz w:val="14"/>
                <w:szCs w:val="20"/>
              </w:rPr>
            </w:pPr>
            <w:r w:rsidRPr="002065DC">
              <w:rPr>
                <w:rFonts w:ascii="Arial" w:hAnsi="Arial" w:cs="Arial"/>
                <w:sz w:val="14"/>
                <w:szCs w:val="20"/>
              </w:rPr>
              <w:t>20</w:t>
            </w:r>
            <w:r w:rsidR="00D14840">
              <w:rPr>
                <w:rFonts w:ascii="Arial" w:hAnsi="Arial" w:cs="Arial"/>
                <w:sz w:val="14"/>
                <w:szCs w:val="20"/>
              </w:rPr>
              <w:t>20-21</w:t>
            </w:r>
          </w:p>
        </w:tc>
        <w:tc>
          <w:tcPr>
            <w:tcW w:w="834" w:type="dxa"/>
          </w:tcPr>
          <w:p w14:paraId="6C5C84D8" w14:textId="77777777" w:rsidR="009E5516" w:rsidRPr="002065DC" w:rsidRDefault="009E5516" w:rsidP="004A54CA">
            <w:pPr>
              <w:autoSpaceDE w:val="0"/>
              <w:autoSpaceDN w:val="0"/>
              <w:adjustRightInd w:val="0"/>
              <w:jc w:val="both"/>
              <w:rPr>
                <w:rFonts w:ascii="Arial" w:hAnsi="Arial" w:cs="Arial"/>
                <w:sz w:val="14"/>
                <w:szCs w:val="20"/>
              </w:rPr>
            </w:pPr>
            <w:r w:rsidRPr="002065DC">
              <w:rPr>
                <w:rFonts w:ascii="Arial" w:hAnsi="Arial" w:cs="Arial"/>
                <w:sz w:val="14"/>
                <w:szCs w:val="20"/>
              </w:rPr>
              <w:t>201</w:t>
            </w:r>
            <w:r w:rsidR="00D14840">
              <w:rPr>
                <w:rFonts w:ascii="Arial" w:hAnsi="Arial" w:cs="Arial"/>
                <w:sz w:val="14"/>
                <w:szCs w:val="20"/>
              </w:rPr>
              <w:t>9-20</w:t>
            </w:r>
          </w:p>
        </w:tc>
        <w:tc>
          <w:tcPr>
            <w:tcW w:w="833" w:type="dxa"/>
          </w:tcPr>
          <w:p w14:paraId="34613E24"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w:t>
            </w:r>
            <w:r w:rsidR="00D14840">
              <w:rPr>
                <w:rFonts w:ascii="Arial" w:hAnsi="Arial" w:cs="Arial"/>
                <w:sz w:val="14"/>
                <w:szCs w:val="20"/>
              </w:rPr>
              <w:t>20-21</w:t>
            </w:r>
          </w:p>
        </w:tc>
        <w:tc>
          <w:tcPr>
            <w:tcW w:w="834" w:type="dxa"/>
          </w:tcPr>
          <w:p w14:paraId="1199C5AB"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201</w:t>
            </w:r>
            <w:r w:rsidR="00D14840">
              <w:rPr>
                <w:rFonts w:ascii="Arial" w:hAnsi="Arial" w:cs="Arial"/>
                <w:sz w:val="14"/>
                <w:szCs w:val="20"/>
              </w:rPr>
              <w:t>9-20</w:t>
            </w:r>
          </w:p>
        </w:tc>
        <w:tc>
          <w:tcPr>
            <w:tcW w:w="833" w:type="dxa"/>
          </w:tcPr>
          <w:p w14:paraId="5340FBC0"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w:t>
            </w:r>
            <w:r w:rsidR="00D14840">
              <w:rPr>
                <w:rFonts w:ascii="Arial" w:hAnsi="Arial" w:cs="Arial"/>
                <w:sz w:val="14"/>
                <w:szCs w:val="20"/>
              </w:rPr>
              <w:t>20-21</w:t>
            </w:r>
          </w:p>
        </w:tc>
        <w:tc>
          <w:tcPr>
            <w:tcW w:w="834" w:type="dxa"/>
          </w:tcPr>
          <w:p w14:paraId="7F06CB4A"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201</w:t>
            </w:r>
            <w:r w:rsidR="00D14840">
              <w:rPr>
                <w:rFonts w:ascii="Arial" w:hAnsi="Arial" w:cs="Arial"/>
                <w:sz w:val="14"/>
                <w:szCs w:val="20"/>
              </w:rPr>
              <w:t>9-20</w:t>
            </w:r>
          </w:p>
        </w:tc>
        <w:tc>
          <w:tcPr>
            <w:tcW w:w="833" w:type="dxa"/>
          </w:tcPr>
          <w:p w14:paraId="42B1CE38"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w:t>
            </w:r>
            <w:r w:rsidR="00D14840">
              <w:rPr>
                <w:rFonts w:ascii="Arial" w:hAnsi="Arial" w:cs="Arial"/>
                <w:sz w:val="14"/>
                <w:szCs w:val="20"/>
              </w:rPr>
              <w:t>20-21</w:t>
            </w:r>
          </w:p>
        </w:tc>
        <w:tc>
          <w:tcPr>
            <w:tcW w:w="834" w:type="dxa"/>
          </w:tcPr>
          <w:p w14:paraId="3A410965"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201</w:t>
            </w:r>
            <w:r w:rsidR="00D14840">
              <w:rPr>
                <w:rFonts w:ascii="Arial" w:hAnsi="Arial" w:cs="Arial"/>
                <w:sz w:val="14"/>
                <w:szCs w:val="20"/>
              </w:rPr>
              <w:t>9-20</w:t>
            </w:r>
          </w:p>
        </w:tc>
        <w:tc>
          <w:tcPr>
            <w:tcW w:w="833" w:type="dxa"/>
          </w:tcPr>
          <w:p w14:paraId="6C12335E"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w:t>
            </w:r>
            <w:r w:rsidR="00D14840">
              <w:rPr>
                <w:rFonts w:ascii="Arial" w:hAnsi="Arial" w:cs="Arial"/>
                <w:sz w:val="14"/>
                <w:szCs w:val="20"/>
              </w:rPr>
              <w:t>20-21</w:t>
            </w:r>
          </w:p>
        </w:tc>
        <w:tc>
          <w:tcPr>
            <w:tcW w:w="834" w:type="dxa"/>
          </w:tcPr>
          <w:p w14:paraId="11498886"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201</w:t>
            </w:r>
            <w:r w:rsidR="00D14840">
              <w:rPr>
                <w:rFonts w:ascii="Arial" w:hAnsi="Arial" w:cs="Arial"/>
                <w:sz w:val="14"/>
                <w:szCs w:val="20"/>
              </w:rPr>
              <w:t>9-20</w:t>
            </w:r>
          </w:p>
        </w:tc>
        <w:tc>
          <w:tcPr>
            <w:tcW w:w="833" w:type="dxa"/>
          </w:tcPr>
          <w:p w14:paraId="4D073B65"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w:t>
            </w:r>
            <w:r w:rsidR="00D14840">
              <w:rPr>
                <w:rFonts w:ascii="Arial" w:hAnsi="Arial" w:cs="Arial"/>
                <w:sz w:val="14"/>
                <w:szCs w:val="20"/>
              </w:rPr>
              <w:t>20-21</w:t>
            </w:r>
          </w:p>
        </w:tc>
        <w:tc>
          <w:tcPr>
            <w:tcW w:w="811" w:type="dxa"/>
          </w:tcPr>
          <w:p w14:paraId="297E6CCE" w14:textId="77777777" w:rsidR="009E5516" w:rsidRPr="002065DC" w:rsidRDefault="009E5516" w:rsidP="004A54CA">
            <w:pPr>
              <w:autoSpaceDE w:val="0"/>
              <w:autoSpaceDN w:val="0"/>
              <w:adjustRightInd w:val="0"/>
              <w:rPr>
                <w:rFonts w:ascii="Arial" w:hAnsi="Arial" w:cs="Arial"/>
                <w:sz w:val="14"/>
                <w:szCs w:val="20"/>
              </w:rPr>
            </w:pPr>
            <w:r w:rsidRPr="002065DC">
              <w:rPr>
                <w:rFonts w:ascii="Arial" w:hAnsi="Arial" w:cs="Arial"/>
                <w:sz w:val="14"/>
                <w:szCs w:val="20"/>
              </w:rPr>
              <w:t>201</w:t>
            </w:r>
            <w:r w:rsidR="00D14840">
              <w:rPr>
                <w:rFonts w:ascii="Arial" w:hAnsi="Arial" w:cs="Arial"/>
                <w:sz w:val="14"/>
                <w:szCs w:val="20"/>
              </w:rPr>
              <w:t>9-20</w:t>
            </w:r>
          </w:p>
        </w:tc>
      </w:tr>
      <w:tr w:rsidR="009E5516" w:rsidRPr="002065DC" w14:paraId="2EC5B7B9" w14:textId="77777777" w:rsidTr="006C430E">
        <w:trPr>
          <w:trHeight w:val="213"/>
        </w:trPr>
        <w:tc>
          <w:tcPr>
            <w:tcW w:w="1091" w:type="dxa"/>
          </w:tcPr>
          <w:p w14:paraId="749F6ACB" w14:textId="77777777" w:rsidR="009E5516" w:rsidRPr="002065DC" w:rsidRDefault="009E5516" w:rsidP="004A54CA">
            <w:pPr>
              <w:autoSpaceDE w:val="0"/>
              <w:autoSpaceDN w:val="0"/>
              <w:adjustRightInd w:val="0"/>
              <w:rPr>
                <w:rFonts w:ascii="Arial" w:hAnsi="Arial" w:cs="Arial"/>
                <w:sz w:val="20"/>
                <w:szCs w:val="20"/>
              </w:rPr>
            </w:pPr>
            <w:r>
              <w:rPr>
                <w:rFonts w:ascii="Arial" w:hAnsi="Arial" w:cs="Arial"/>
                <w:sz w:val="20"/>
                <w:szCs w:val="20"/>
              </w:rPr>
              <w:t>Formal</w:t>
            </w:r>
          </w:p>
        </w:tc>
        <w:tc>
          <w:tcPr>
            <w:tcW w:w="833" w:type="dxa"/>
          </w:tcPr>
          <w:p w14:paraId="22D0E8DB"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34" w:type="dxa"/>
          </w:tcPr>
          <w:p w14:paraId="4381DDD2"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7</w:t>
            </w:r>
          </w:p>
        </w:tc>
        <w:tc>
          <w:tcPr>
            <w:tcW w:w="833" w:type="dxa"/>
          </w:tcPr>
          <w:p w14:paraId="682786F8"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34" w:type="dxa"/>
          </w:tcPr>
          <w:p w14:paraId="4F71D573"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11</w:t>
            </w:r>
          </w:p>
        </w:tc>
        <w:tc>
          <w:tcPr>
            <w:tcW w:w="833" w:type="dxa"/>
          </w:tcPr>
          <w:p w14:paraId="5D167232" w14:textId="77777777" w:rsidR="009E5516" w:rsidRPr="002065DC" w:rsidRDefault="009E5516"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4" w:type="dxa"/>
          </w:tcPr>
          <w:p w14:paraId="4127C4B3" w14:textId="77777777" w:rsidR="009E5516" w:rsidRPr="002065DC" w:rsidRDefault="009E5516"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3" w:type="dxa"/>
          </w:tcPr>
          <w:p w14:paraId="2DB1ED61" w14:textId="77777777" w:rsidR="009E5516" w:rsidRPr="002065DC" w:rsidRDefault="006D6DBA"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4" w:type="dxa"/>
          </w:tcPr>
          <w:p w14:paraId="1DEC80BA"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2</w:t>
            </w:r>
          </w:p>
        </w:tc>
        <w:tc>
          <w:tcPr>
            <w:tcW w:w="833" w:type="dxa"/>
          </w:tcPr>
          <w:p w14:paraId="151314EC" w14:textId="77777777" w:rsidR="009E5516" w:rsidRPr="002065DC" w:rsidRDefault="009E5516"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4" w:type="dxa"/>
          </w:tcPr>
          <w:p w14:paraId="181661CD"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3" w:type="dxa"/>
          </w:tcPr>
          <w:p w14:paraId="2DB2B490"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11" w:type="dxa"/>
          </w:tcPr>
          <w:p w14:paraId="3BC5CFE7"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2</w:t>
            </w:r>
          </w:p>
        </w:tc>
      </w:tr>
      <w:tr w:rsidR="009E5516" w:rsidRPr="002065DC" w14:paraId="31C05138" w14:textId="77777777" w:rsidTr="006C430E">
        <w:trPr>
          <w:trHeight w:val="213"/>
        </w:trPr>
        <w:tc>
          <w:tcPr>
            <w:tcW w:w="1091" w:type="dxa"/>
          </w:tcPr>
          <w:p w14:paraId="7225EFC6" w14:textId="77777777" w:rsidR="009E5516" w:rsidRPr="002065DC" w:rsidRDefault="009E5516" w:rsidP="004A54CA">
            <w:pPr>
              <w:autoSpaceDE w:val="0"/>
              <w:autoSpaceDN w:val="0"/>
              <w:adjustRightInd w:val="0"/>
              <w:rPr>
                <w:rFonts w:ascii="Arial" w:hAnsi="Arial" w:cs="Arial"/>
                <w:sz w:val="20"/>
                <w:szCs w:val="20"/>
              </w:rPr>
            </w:pPr>
            <w:r>
              <w:rPr>
                <w:rFonts w:ascii="Arial" w:hAnsi="Arial" w:cs="Arial"/>
                <w:sz w:val="20"/>
                <w:szCs w:val="20"/>
              </w:rPr>
              <w:t>Informal</w:t>
            </w:r>
          </w:p>
        </w:tc>
        <w:tc>
          <w:tcPr>
            <w:tcW w:w="833" w:type="dxa"/>
          </w:tcPr>
          <w:p w14:paraId="346C6848"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34" w:type="dxa"/>
          </w:tcPr>
          <w:p w14:paraId="3DE9549E"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15</w:t>
            </w:r>
          </w:p>
        </w:tc>
        <w:tc>
          <w:tcPr>
            <w:tcW w:w="833" w:type="dxa"/>
          </w:tcPr>
          <w:p w14:paraId="3B600FA9"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4</w:t>
            </w:r>
          </w:p>
        </w:tc>
        <w:tc>
          <w:tcPr>
            <w:tcW w:w="834" w:type="dxa"/>
          </w:tcPr>
          <w:p w14:paraId="6F458D33" w14:textId="77777777" w:rsidR="009E5516" w:rsidRPr="002065DC" w:rsidRDefault="009E5516" w:rsidP="004A54CA">
            <w:pPr>
              <w:autoSpaceDE w:val="0"/>
              <w:autoSpaceDN w:val="0"/>
              <w:adjustRightInd w:val="0"/>
              <w:jc w:val="center"/>
              <w:rPr>
                <w:rFonts w:ascii="Arial" w:hAnsi="Arial" w:cs="Arial"/>
                <w:sz w:val="20"/>
                <w:szCs w:val="20"/>
              </w:rPr>
            </w:pPr>
            <w:r>
              <w:rPr>
                <w:rFonts w:ascii="Arial" w:hAnsi="Arial" w:cs="Arial"/>
                <w:sz w:val="20"/>
                <w:szCs w:val="20"/>
              </w:rPr>
              <w:t>11</w:t>
            </w:r>
          </w:p>
        </w:tc>
        <w:tc>
          <w:tcPr>
            <w:tcW w:w="833" w:type="dxa"/>
          </w:tcPr>
          <w:p w14:paraId="5A46D051" w14:textId="77777777" w:rsidR="009E5516" w:rsidRPr="002065DC" w:rsidRDefault="009E5516"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4" w:type="dxa"/>
          </w:tcPr>
          <w:p w14:paraId="69B297C1" w14:textId="77777777" w:rsidR="009E5516" w:rsidRPr="002065DC" w:rsidRDefault="009E5516" w:rsidP="004A54CA">
            <w:pPr>
              <w:autoSpaceDE w:val="0"/>
              <w:autoSpaceDN w:val="0"/>
              <w:adjustRightInd w:val="0"/>
              <w:jc w:val="center"/>
              <w:rPr>
                <w:rFonts w:ascii="Arial" w:hAnsi="Arial" w:cs="Arial"/>
                <w:sz w:val="20"/>
                <w:szCs w:val="20"/>
              </w:rPr>
            </w:pPr>
            <w:r>
              <w:rPr>
                <w:rFonts w:ascii="Arial" w:hAnsi="Arial" w:cs="Arial"/>
                <w:sz w:val="20"/>
                <w:szCs w:val="20"/>
              </w:rPr>
              <w:t>0</w:t>
            </w:r>
          </w:p>
        </w:tc>
        <w:tc>
          <w:tcPr>
            <w:tcW w:w="833" w:type="dxa"/>
          </w:tcPr>
          <w:p w14:paraId="0374A946"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34" w:type="dxa"/>
          </w:tcPr>
          <w:p w14:paraId="2D8E93F5"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3</w:t>
            </w:r>
          </w:p>
        </w:tc>
        <w:tc>
          <w:tcPr>
            <w:tcW w:w="833" w:type="dxa"/>
          </w:tcPr>
          <w:p w14:paraId="51CEFA51"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34" w:type="dxa"/>
          </w:tcPr>
          <w:p w14:paraId="0C65C6E0"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5</w:t>
            </w:r>
          </w:p>
        </w:tc>
        <w:tc>
          <w:tcPr>
            <w:tcW w:w="833" w:type="dxa"/>
          </w:tcPr>
          <w:p w14:paraId="378B43DC" w14:textId="77777777" w:rsidR="009E5516" w:rsidRPr="002065DC" w:rsidRDefault="00A16E08" w:rsidP="004A54CA">
            <w:pPr>
              <w:autoSpaceDE w:val="0"/>
              <w:autoSpaceDN w:val="0"/>
              <w:adjustRightInd w:val="0"/>
              <w:jc w:val="center"/>
              <w:rPr>
                <w:rFonts w:ascii="Arial" w:hAnsi="Arial" w:cs="Arial"/>
                <w:sz w:val="20"/>
                <w:szCs w:val="20"/>
              </w:rPr>
            </w:pPr>
            <w:r>
              <w:rPr>
                <w:rFonts w:ascii="Arial" w:hAnsi="Arial" w:cs="Arial"/>
                <w:sz w:val="20"/>
                <w:szCs w:val="20"/>
              </w:rPr>
              <w:t>1</w:t>
            </w:r>
          </w:p>
        </w:tc>
        <w:tc>
          <w:tcPr>
            <w:tcW w:w="811" w:type="dxa"/>
          </w:tcPr>
          <w:p w14:paraId="74B72982" w14:textId="77777777" w:rsidR="009E5516" w:rsidRPr="002065DC" w:rsidRDefault="00D14840" w:rsidP="004A54CA">
            <w:pPr>
              <w:autoSpaceDE w:val="0"/>
              <w:autoSpaceDN w:val="0"/>
              <w:adjustRightInd w:val="0"/>
              <w:jc w:val="center"/>
              <w:rPr>
                <w:rFonts w:ascii="Arial" w:hAnsi="Arial" w:cs="Arial"/>
                <w:sz w:val="20"/>
                <w:szCs w:val="20"/>
              </w:rPr>
            </w:pPr>
            <w:r>
              <w:rPr>
                <w:rFonts w:ascii="Arial" w:hAnsi="Arial" w:cs="Arial"/>
                <w:sz w:val="20"/>
                <w:szCs w:val="20"/>
              </w:rPr>
              <w:t>4</w:t>
            </w:r>
          </w:p>
        </w:tc>
      </w:tr>
      <w:bookmarkEnd w:id="1"/>
    </w:tbl>
    <w:p w14:paraId="39F8A7E3" w14:textId="77777777" w:rsidR="009E5516" w:rsidRDefault="009E5516" w:rsidP="009E5516"/>
    <w:p w14:paraId="134D8170" w14:textId="77777777" w:rsidR="005E6FDF" w:rsidRDefault="005E6FDF" w:rsidP="00113955">
      <w:pPr>
        <w:autoSpaceDE w:val="0"/>
        <w:autoSpaceDN w:val="0"/>
        <w:adjustRightInd w:val="0"/>
        <w:rPr>
          <w:rFonts w:ascii="Arial" w:hAnsi="Arial" w:cs="Arial"/>
          <w:sz w:val="24"/>
          <w:szCs w:val="24"/>
        </w:rPr>
      </w:pPr>
    </w:p>
    <w:p w14:paraId="1F6B7497" w14:textId="77777777" w:rsidR="00113955" w:rsidRPr="003D00BC" w:rsidRDefault="00113955" w:rsidP="00113955">
      <w:pPr>
        <w:spacing w:after="200" w:line="276" w:lineRule="auto"/>
        <w:rPr>
          <w:rFonts w:ascii="Arial" w:hAnsi="Arial" w:cs="Arial"/>
          <w:lang w:val="en-US"/>
        </w:rPr>
      </w:pPr>
      <w:r w:rsidRPr="003D00BC">
        <w:rPr>
          <w:rFonts w:ascii="Arial" w:hAnsi="Arial" w:cs="Arial"/>
          <w:b/>
          <w:bCs/>
          <w:lang w:val="en-US"/>
        </w:rPr>
        <w:t xml:space="preserve">Implementation and Effectiveness of the Policy: </w:t>
      </w:r>
    </w:p>
    <w:p w14:paraId="78648298" w14:textId="77777777" w:rsidR="00113955" w:rsidRPr="003D00BC" w:rsidRDefault="00113955" w:rsidP="005E6FDF">
      <w:pPr>
        <w:spacing w:after="200"/>
        <w:rPr>
          <w:rFonts w:asciiTheme="minorHAnsi" w:hAnsiTheme="minorHAnsi" w:cstheme="minorHAnsi"/>
        </w:rPr>
      </w:pPr>
      <w:r w:rsidRPr="003D00BC">
        <w:rPr>
          <w:rFonts w:asciiTheme="minorHAnsi" w:hAnsiTheme="minorHAnsi" w:cstheme="minorHAnsi"/>
          <w:lang w:val="en-US"/>
        </w:rPr>
        <w:t xml:space="preserve">The Sexual Violence Prevention Policy and its corresponding operating procedures are implemented immediately upon disclosure of sexual violence across all four College campuses. Though we cannot undo the harm that has been caused, we respond to each situation </w:t>
      </w:r>
      <w:proofErr w:type="spellStart"/>
      <w:r w:rsidRPr="003D00BC">
        <w:rPr>
          <w:rFonts w:asciiTheme="minorHAnsi" w:hAnsiTheme="minorHAnsi" w:cstheme="minorHAnsi"/>
          <w:lang w:val="en-US"/>
        </w:rPr>
        <w:t>honouring</w:t>
      </w:r>
      <w:proofErr w:type="spellEnd"/>
      <w:r w:rsidRPr="003D00BC">
        <w:rPr>
          <w:rFonts w:asciiTheme="minorHAnsi" w:hAnsiTheme="minorHAnsi" w:cstheme="minorHAnsi"/>
          <w:lang w:val="en-US"/>
        </w:rPr>
        <w:t xml:space="preserve"> the dignity and right of choice for each person impacted by harm.</w:t>
      </w:r>
      <w:r w:rsidR="001C61B4" w:rsidRPr="003D00BC">
        <w:rPr>
          <w:rFonts w:asciiTheme="minorHAnsi" w:hAnsiTheme="minorHAnsi" w:cstheme="minorHAnsi"/>
          <w:lang w:val="en-US"/>
        </w:rPr>
        <w:t xml:space="preserve"> </w:t>
      </w:r>
      <w:r w:rsidRPr="003D00BC">
        <w:rPr>
          <w:rFonts w:asciiTheme="minorHAnsi" w:hAnsiTheme="minorHAnsi" w:cstheme="minorHAnsi"/>
          <w:lang w:val="en-US"/>
        </w:rPr>
        <w:t xml:space="preserve">This survivor-centric approach allows people to engage in education, support, and reporting options in ways that make the most sense for them. By offering consistent implementation of our policy, which is based on best-practice and survivor feedback, Fleming </w:t>
      </w:r>
      <w:r w:rsidR="007D75A3" w:rsidRPr="003D00BC">
        <w:rPr>
          <w:rFonts w:asciiTheme="minorHAnsi" w:hAnsiTheme="minorHAnsi" w:cstheme="minorHAnsi"/>
          <w:lang w:val="en-US"/>
        </w:rPr>
        <w:t>can</w:t>
      </w:r>
      <w:r w:rsidRPr="003D00BC">
        <w:rPr>
          <w:rFonts w:asciiTheme="minorHAnsi" w:hAnsiTheme="minorHAnsi" w:cstheme="minorHAnsi"/>
          <w:lang w:val="en-US"/>
        </w:rPr>
        <w:t xml:space="preserve"> offer effective responses, reflecting the unique needs of individuals involved in each situation. </w:t>
      </w:r>
    </w:p>
    <w:p w14:paraId="42F2F4D5" w14:textId="77777777" w:rsidR="00A4675F" w:rsidRDefault="00A4675F">
      <w:pPr>
        <w:spacing w:after="200" w:line="276" w:lineRule="auto"/>
        <w:rPr>
          <w:rFonts w:ascii="Arial" w:hAnsi="Arial" w:cs="Arial"/>
          <w:sz w:val="24"/>
          <w:szCs w:val="24"/>
        </w:rPr>
      </w:pPr>
    </w:p>
    <w:p w14:paraId="7DA773B4" w14:textId="77777777" w:rsidR="00113955" w:rsidRPr="003D00BC" w:rsidRDefault="00113955" w:rsidP="00113955">
      <w:pPr>
        <w:spacing w:after="200" w:line="276" w:lineRule="auto"/>
        <w:rPr>
          <w:rFonts w:ascii="Arial" w:hAnsi="Arial" w:cs="Arial"/>
          <w:lang w:val="en-US"/>
        </w:rPr>
      </w:pPr>
      <w:r w:rsidRPr="003D00BC">
        <w:rPr>
          <w:rFonts w:ascii="Arial" w:hAnsi="Arial" w:cs="Arial"/>
          <w:b/>
          <w:bCs/>
          <w:lang w:val="en-US"/>
        </w:rPr>
        <w:t xml:space="preserve">Reference: </w:t>
      </w:r>
    </w:p>
    <w:p w14:paraId="1C0EC8EA" w14:textId="77777777" w:rsidR="00113955" w:rsidRDefault="00113955" w:rsidP="00113955">
      <w:pPr>
        <w:spacing w:after="200" w:line="276" w:lineRule="auto"/>
        <w:rPr>
          <w:rFonts w:ascii="Arial" w:hAnsi="Arial" w:cs="Arial"/>
          <w:sz w:val="24"/>
          <w:szCs w:val="24"/>
        </w:rPr>
      </w:pPr>
      <w:r w:rsidRPr="003D00BC">
        <w:rPr>
          <w:rFonts w:ascii="Arial" w:hAnsi="Arial" w:cs="Arial"/>
          <w:lang w:val="en-US"/>
        </w:rPr>
        <w:t xml:space="preserve">Conroy, S., &amp; Cotter, A. (2017). </w:t>
      </w:r>
      <w:r w:rsidRPr="003D00BC">
        <w:rPr>
          <w:rFonts w:ascii="Arial" w:hAnsi="Arial" w:cs="Arial"/>
          <w:i/>
          <w:iCs/>
          <w:lang w:val="en-US"/>
        </w:rPr>
        <w:t>Self-reported sexual assault in Canada, 2014</w:t>
      </w:r>
      <w:r w:rsidRPr="003D00BC">
        <w:rPr>
          <w:rFonts w:ascii="Arial" w:hAnsi="Arial" w:cs="Arial"/>
          <w:lang w:val="en-US"/>
        </w:rPr>
        <w:t xml:space="preserve">. [Catalogue no. 85-002-X]. Ottawa, ON: Statistics Canada. Retrieved from </w:t>
      </w:r>
      <w:hyperlink r:id="rId12" w:history="1">
        <w:r w:rsidRPr="003D00BC">
          <w:rPr>
            <w:rStyle w:val="Hyperlink"/>
            <w:rFonts w:ascii="Arial" w:hAnsi="Arial" w:cs="Arial"/>
            <w:lang w:val="en-US"/>
          </w:rPr>
          <w:t>https://www150.statcan.gc.ca/n1/en/pub/85-002-x/2017001/article/14842-eng.pdf?st=U__8u-A4</w:t>
        </w:r>
      </w:hyperlink>
      <w:r>
        <w:rPr>
          <w:rFonts w:ascii="Arial" w:hAnsi="Arial" w:cs="Arial"/>
          <w:sz w:val="24"/>
          <w:szCs w:val="24"/>
          <w:lang w:val="en-US"/>
        </w:rPr>
        <w:t xml:space="preserve"> </w:t>
      </w:r>
      <w:r w:rsidRPr="00113955">
        <w:rPr>
          <w:rFonts w:ascii="Arial" w:hAnsi="Arial" w:cs="Arial"/>
          <w:sz w:val="24"/>
          <w:szCs w:val="24"/>
          <w:lang w:val="en-US"/>
        </w:rPr>
        <w:t xml:space="preserve"> </w:t>
      </w:r>
      <w:r>
        <w:rPr>
          <w:rFonts w:ascii="Arial" w:hAnsi="Arial" w:cs="Arial"/>
          <w:sz w:val="24"/>
          <w:szCs w:val="24"/>
        </w:rPr>
        <w:br w:type="page"/>
      </w:r>
    </w:p>
    <w:p w14:paraId="7E3E6AAF" w14:textId="77777777" w:rsidR="00113955" w:rsidRPr="003D00BC" w:rsidRDefault="00113955" w:rsidP="00113955">
      <w:pPr>
        <w:autoSpaceDE w:val="0"/>
        <w:autoSpaceDN w:val="0"/>
        <w:adjustRightInd w:val="0"/>
        <w:rPr>
          <w:rFonts w:ascii="Arial" w:hAnsi="Arial" w:cs="Arial"/>
          <w:b/>
          <w:bCs/>
          <w:color w:val="000000"/>
          <w:sz w:val="28"/>
          <w:szCs w:val="28"/>
          <w:lang w:val="en-US" w:eastAsia="en-US"/>
        </w:rPr>
      </w:pPr>
      <w:r w:rsidRPr="00113955">
        <w:rPr>
          <w:rFonts w:ascii="Arial" w:hAnsi="Arial" w:cs="Arial"/>
          <w:b/>
          <w:bCs/>
          <w:color w:val="000000"/>
          <w:sz w:val="28"/>
          <w:szCs w:val="28"/>
          <w:lang w:val="en-US" w:eastAsia="en-US"/>
        </w:rPr>
        <w:lastRenderedPageBreak/>
        <w:t xml:space="preserve">Appendix A: Sexual Violence Definitions </w:t>
      </w:r>
    </w:p>
    <w:p w14:paraId="3B8FA5D3" w14:textId="77777777" w:rsidR="00113955" w:rsidRDefault="00113955" w:rsidP="00113955">
      <w:pPr>
        <w:autoSpaceDE w:val="0"/>
        <w:autoSpaceDN w:val="0"/>
        <w:adjustRightInd w:val="0"/>
        <w:rPr>
          <w:rFonts w:ascii="Arial" w:hAnsi="Arial" w:cs="Arial"/>
          <w:b/>
          <w:bCs/>
          <w:color w:val="000000"/>
          <w:sz w:val="24"/>
          <w:szCs w:val="24"/>
          <w:lang w:val="en-US" w:eastAsia="en-US"/>
        </w:rPr>
      </w:pPr>
    </w:p>
    <w:p w14:paraId="10D95903"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Sexual Violence: </w:t>
      </w:r>
      <w:r w:rsidRPr="00A4675F">
        <w:rPr>
          <w:rFonts w:ascii="Arial" w:hAnsi="Arial" w:cs="Arial"/>
          <w:b/>
          <w:bCs/>
          <w:color w:val="000000"/>
          <w:sz w:val="20"/>
          <w:szCs w:val="20"/>
          <w:lang w:val="en-US" w:eastAsia="en-US"/>
        </w:rPr>
        <w:br/>
      </w:r>
      <w:r w:rsidRPr="00A4675F">
        <w:rPr>
          <w:rFonts w:ascii="Arial" w:hAnsi="Arial" w:cs="Arial"/>
          <w:color w:val="000000"/>
          <w:sz w:val="20"/>
          <w:szCs w:val="20"/>
          <w:lang w:val="en-US" w:eastAsia="en-US"/>
        </w:rPr>
        <w:t xml:space="preserve">Any sexual act(s) targeting a person’s sexuality, gender identity or gender expression, whether the act is physical or psychological in nature, that is committed, threatened or attempted against a person without the person’s consent, and includes sexual assault, sexual harassment, stalking, indecent exposure, voyeurism and sexual exploitation. Instances of sexual violence covered by this policy include those that occur in person, through a third party, by telephone, and online. </w:t>
      </w:r>
    </w:p>
    <w:p w14:paraId="7D3874E5" w14:textId="77777777" w:rsidR="00113955" w:rsidRPr="00A4675F" w:rsidRDefault="00113955" w:rsidP="00113955">
      <w:pPr>
        <w:autoSpaceDE w:val="0"/>
        <w:autoSpaceDN w:val="0"/>
        <w:adjustRightInd w:val="0"/>
        <w:rPr>
          <w:rFonts w:ascii="Arial" w:hAnsi="Arial" w:cs="Arial"/>
          <w:b/>
          <w:bCs/>
          <w:color w:val="000000"/>
          <w:sz w:val="20"/>
          <w:szCs w:val="20"/>
          <w:lang w:val="en-US" w:eastAsia="en-US"/>
        </w:rPr>
      </w:pPr>
    </w:p>
    <w:p w14:paraId="79E966DB"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Sexual Assault: </w:t>
      </w:r>
    </w:p>
    <w:p w14:paraId="0A1BCE88"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Sexual assault is any type of unwanted sexual act done by one person to another that violates the sexual integrity of the victim and involves a range of </w:t>
      </w:r>
      <w:proofErr w:type="spellStart"/>
      <w:r w:rsidRPr="00A4675F">
        <w:rPr>
          <w:rFonts w:ascii="Arial" w:hAnsi="Arial" w:cs="Arial"/>
          <w:color w:val="000000"/>
          <w:sz w:val="20"/>
          <w:szCs w:val="20"/>
          <w:lang w:val="en-US" w:eastAsia="en-US"/>
        </w:rPr>
        <w:t>behaviours</w:t>
      </w:r>
      <w:proofErr w:type="spellEnd"/>
      <w:r w:rsidRPr="00A4675F">
        <w:rPr>
          <w:rFonts w:ascii="Arial" w:hAnsi="Arial" w:cs="Arial"/>
          <w:color w:val="000000"/>
          <w:sz w:val="20"/>
          <w:szCs w:val="20"/>
          <w:lang w:val="en-US" w:eastAsia="en-US"/>
        </w:rPr>
        <w:t xml:space="preserve"> from any unwanted touching to penetration. Sexual assault is characterized by a broad range of </w:t>
      </w:r>
      <w:proofErr w:type="spellStart"/>
      <w:r w:rsidRPr="00A4675F">
        <w:rPr>
          <w:rFonts w:ascii="Arial" w:hAnsi="Arial" w:cs="Arial"/>
          <w:color w:val="000000"/>
          <w:sz w:val="20"/>
          <w:szCs w:val="20"/>
          <w:lang w:val="en-US" w:eastAsia="en-US"/>
        </w:rPr>
        <w:t>behaviours</w:t>
      </w:r>
      <w:proofErr w:type="spellEnd"/>
      <w:r w:rsidRPr="00A4675F">
        <w:rPr>
          <w:rFonts w:ascii="Arial" w:hAnsi="Arial" w:cs="Arial"/>
          <w:color w:val="000000"/>
          <w:sz w:val="20"/>
          <w:szCs w:val="20"/>
          <w:lang w:val="en-US" w:eastAsia="en-US"/>
        </w:rPr>
        <w:t xml:space="preserve"> that involve the use of force, threats, or control towards a person, which makes that person feel uncomfortable, distressed, frightened, threatened, or that is carried out in circumstances in which the person has not freely agreed, consented to, or is incapable of consenting to sexual activity. </w:t>
      </w:r>
    </w:p>
    <w:p w14:paraId="67CEEB54" w14:textId="77777777" w:rsidR="00113955" w:rsidRPr="00A4675F" w:rsidRDefault="00113955" w:rsidP="00113955">
      <w:pPr>
        <w:autoSpaceDE w:val="0"/>
        <w:autoSpaceDN w:val="0"/>
        <w:adjustRightInd w:val="0"/>
        <w:rPr>
          <w:rFonts w:ascii="Arial" w:hAnsi="Arial" w:cs="Arial"/>
          <w:b/>
          <w:bCs/>
          <w:color w:val="000000"/>
          <w:sz w:val="20"/>
          <w:szCs w:val="20"/>
          <w:lang w:val="en-US" w:eastAsia="en-US"/>
        </w:rPr>
      </w:pPr>
    </w:p>
    <w:p w14:paraId="0826F100"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Sexual Harassment: </w:t>
      </w:r>
    </w:p>
    <w:p w14:paraId="58F84DA9"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“Engaging in a course of vexatious comment or conduct that is known or ought to be known to be unwelcome.” (Section 10 of Human Rights Code). Depending on the circumstances, one incident could be significant or substantial enough to be sexual harassment. This can include conduct, comment, and/or gesture relating to sex or sexuality. </w:t>
      </w:r>
    </w:p>
    <w:p w14:paraId="48C8433B" w14:textId="77777777" w:rsidR="00113955" w:rsidRPr="00A4675F" w:rsidRDefault="00113955" w:rsidP="00113955">
      <w:pPr>
        <w:autoSpaceDE w:val="0"/>
        <w:autoSpaceDN w:val="0"/>
        <w:adjustRightInd w:val="0"/>
        <w:rPr>
          <w:rFonts w:ascii="Arial" w:hAnsi="Arial" w:cs="Arial"/>
          <w:b/>
          <w:bCs/>
          <w:color w:val="000000"/>
          <w:sz w:val="20"/>
          <w:szCs w:val="20"/>
          <w:lang w:val="en-US" w:eastAsia="en-US"/>
        </w:rPr>
      </w:pPr>
    </w:p>
    <w:p w14:paraId="45C80B6B"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Voyeurism: </w:t>
      </w:r>
    </w:p>
    <w:p w14:paraId="266AF1AC"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Observing unsuspecting people while they undress, are naked, or engage in sexual activities. A key element of voyeurism is that the person being watched does not know they are being observed. The person is typically in a place where they have a reasonable expectation of privacy, such as their home or other private area. </w:t>
      </w:r>
    </w:p>
    <w:p w14:paraId="6FC6193D" w14:textId="77777777" w:rsidR="00113955" w:rsidRPr="00A4675F" w:rsidRDefault="00113955" w:rsidP="00113955">
      <w:pPr>
        <w:autoSpaceDE w:val="0"/>
        <w:autoSpaceDN w:val="0"/>
        <w:adjustRightInd w:val="0"/>
        <w:rPr>
          <w:rFonts w:ascii="Arial" w:hAnsi="Arial" w:cs="Arial"/>
          <w:b/>
          <w:bCs/>
          <w:color w:val="000000"/>
          <w:sz w:val="20"/>
          <w:szCs w:val="20"/>
          <w:lang w:val="en-US" w:eastAsia="en-US"/>
        </w:rPr>
      </w:pPr>
    </w:p>
    <w:p w14:paraId="1DC33D7C"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Indecent Exposure: </w:t>
      </w:r>
    </w:p>
    <w:p w14:paraId="661A8F7E"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Intentionally showing one's sexual organs or engaging in a sexual act while in public. </w:t>
      </w:r>
    </w:p>
    <w:p w14:paraId="23FFBFA0" w14:textId="77777777" w:rsidR="00113955" w:rsidRPr="00A4675F" w:rsidRDefault="00113955" w:rsidP="00113955">
      <w:pPr>
        <w:autoSpaceDE w:val="0"/>
        <w:autoSpaceDN w:val="0"/>
        <w:adjustRightInd w:val="0"/>
        <w:rPr>
          <w:rFonts w:ascii="Arial" w:hAnsi="Arial" w:cs="Arial"/>
          <w:b/>
          <w:bCs/>
          <w:color w:val="000000"/>
          <w:sz w:val="20"/>
          <w:szCs w:val="20"/>
          <w:lang w:val="en-US" w:eastAsia="en-US"/>
        </w:rPr>
      </w:pPr>
    </w:p>
    <w:p w14:paraId="2567115A"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Sexual Exploitation: </w:t>
      </w:r>
    </w:p>
    <w:p w14:paraId="7E117452"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Leveraging power, trust or authority over a person in relation to sexuality. </w:t>
      </w:r>
    </w:p>
    <w:p w14:paraId="7EA86AB1"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Examples of sexual exploitation could include: </w:t>
      </w:r>
      <w:r w:rsidRPr="00A4675F">
        <w:rPr>
          <w:rFonts w:ascii="Arial" w:hAnsi="Arial" w:cs="Arial"/>
          <w:color w:val="000000"/>
          <w:sz w:val="20"/>
          <w:szCs w:val="20"/>
          <w:lang w:val="en-US" w:eastAsia="en-US"/>
        </w:rPr>
        <w:br/>
      </w:r>
    </w:p>
    <w:p w14:paraId="1E1200B7" w14:textId="77777777" w:rsidR="00113955" w:rsidRPr="00A4675F" w:rsidRDefault="00113955" w:rsidP="00113955">
      <w:pPr>
        <w:pStyle w:val="ListParagraph"/>
        <w:numPr>
          <w:ilvl w:val="0"/>
          <w:numId w:val="36"/>
        </w:numPr>
        <w:autoSpaceDE w:val="0"/>
        <w:autoSpaceDN w:val="0"/>
        <w:adjustRightInd w:val="0"/>
        <w:spacing w:after="8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Allowing another to observe consensual sexual activity, or sexual imagery without the knowledge and consent of all parties involved </w:t>
      </w:r>
    </w:p>
    <w:p w14:paraId="33B21C10" w14:textId="77777777" w:rsidR="00113955" w:rsidRPr="00A4675F" w:rsidRDefault="00113955" w:rsidP="00113955">
      <w:pPr>
        <w:pStyle w:val="ListParagraph"/>
        <w:numPr>
          <w:ilvl w:val="0"/>
          <w:numId w:val="36"/>
        </w:numPr>
        <w:autoSpaceDE w:val="0"/>
        <w:autoSpaceDN w:val="0"/>
        <w:adjustRightInd w:val="0"/>
        <w:spacing w:after="8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Prostituting another individual </w:t>
      </w:r>
    </w:p>
    <w:p w14:paraId="52EB5266" w14:textId="77777777" w:rsidR="00113955" w:rsidRPr="00A4675F" w:rsidRDefault="00113955" w:rsidP="00113955">
      <w:pPr>
        <w:pStyle w:val="ListParagraph"/>
        <w:numPr>
          <w:ilvl w:val="0"/>
          <w:numId w:val="36"/>
        </w:numPr>
        <w:autoSpaceDE w:val="0"/>
        <w:autoSpaceDN w:val="0"/>
        <w:adjustRightInd w:val="0"/>
        <w:spacing w:after="8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Exposing another’s sex-organs in non-consensual circumstances </w:t>
      </w:r>
    </w:p>
    <w:p w14:paraId="28C502ED" w14:textId="77777777" w:rsidR="00113955" w:rsidRPr="00A4675F" w:rsidRDefault="00113955" w:rsidP="00113955">
      <w:pPr>
        <w:pStyle w:val="ListParagraph"/>
        <w:numPr>
          <w:ilvl w:val="0"/>
          <w:numId w:val="36"/>
        </w:numPr>
        <w:autoSpaceDE w:val="0"/>
        <w:autoSpaceDN w:val="0"/>
        <w:adjustRightInd w:val="0"/>
        <w:spacing w:after="8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Inducing incapacitation for the purpose of making another person vulnerable to non-consensual sexual activity </w:t>
      </w:r>
    </w:p>
    <w:p w14:paraId="290DF8D8" w14:textId="77777777" w:rsidR="00113955" w:rsidRPr="00A4675F" w:rsidRDefault="00113955" w:rsidP="00113955">
      <w:pPr>
        <w:pStyle w:val="ListParagraph"/>
        <w:numPr>
          <w:ilvl w:val="0"/>
          <w:numId w:val="36"/>
        </w:numPr>
        <w:autoSpaceDE w:val="0"/>
        <w:autoSpaceDN w:val="0"/>
        <w:adjustRightInd w:val="0"/>
        <w:rPr>
          <w:rFonts w:ascii="Arial" w:hAnsi="Arial" w:cs="Arial"/>
          <w:color w:val="000000"/>
          <w:sz w:val="20"/>
          <w:szCs w:val="20"/>
          <w:lang w:val="en-US" w:eastAsia="en-US"/>
        </w:rPr>
      </w:pPr>
      <w:r w:rsidRPr="00A4675F">
        <w:rPr>
          <w:rFonts w:ascii="Arial" w:hAnsi="Arial" w:cs="Arial"/>
          <w:color w:val="000000"/>
          <w:sz w:val="20"/>
          <w:szCs w:val="20"/>
          <w:lang w:val="en-US" w:eastAsia="en-US"/>
        </w:rPr>
        <w:t xml:space="preserve">Engaging in, or soliciting sexual activity, when the initiating party is in a position of power/trust or authority </w:t>
      </w:r>
    </w:p>
    <w:p w14:paraId="18103988"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p>
    <w:p w14:paraId="417BDFB0" w14:textId="77777777" w:rsidR="00113955" w:rsidRPr="00A4675F" w:rsidRDefault="00113955" w:rsidP="00113955">
      <w:pPr>
        <w:autoSpaceDE w:val="0"/>
        <w:autoSpaceDN w:val="0"/>
        <w:adjustRightInd w:val="0"/>
        <w:rPr>
          <w:rFonts w:ascii="Arial" w:hAnsi="Arial" w:cs="Arial"/>
          <w:color w:val="000000"/>
          <w:sz w:val="20"/>
          <w:szCs w:val="20"/>
          <w:lang w:val="en-US" w:eastAsia="en-US"/>
        </w:rPr>
      </w:pPr>
      <w:r w:rsidRPr="00A4675F">
        <w:rPr>
          <w:rFonts w:ascii="Arial" w:hAnsi="Arial" w:cs="Arial"/>
          <w:b/>
          <w:bCs/>
          <w:color w:val="000000"/>
          <w:sz w:val="20"/>
          <w:szCs w:val="20"/>
          <w:lang w:val="en-US" w:eastAsia="en-US"/>
        </w:rPr>
        <w:t xml:space="preserve">Stalking: </w:t>
      </w:r>
    </w:p>
    <w:p w14:paraId="48412F24" w14:textId="77777777" w:rsidR="00113955" w:rsidRPr="00A4675F" w:rsidRDefault="00113955" w:rsidP="00113955">
      <w:pPr>
        <w:autoSpaceDE w:val="0"/>
        <w:autoSpaceDN w:val="0"/>
        <w:adjustRightInd w:val="0"/>
        <w:rPr>
          <w:rFonts w:ascii="Arial" w:hAnsi="Arial" w:cs="Arial"/>
          <w:sz w:val="20"/>
          <w:szCs w:val="20"/>
        </w:rPr>
      </w:pPr>
      <w:r w:rsidRPr="00A4675F">
        <w:rPr>
          <w:rFonts w:ascii="Arial" w:hAnsi="Arial" w:cs="Arial"/>
          <w:color w:val="000000"/>
          <w:sz w:val="20"/>
          <w:szCs w:val="20"/>
          <w:lang w:val="en-US" w:eastAsia="en-US"/>
        </w:rPr>
        <w:t>Willfully engaging in a course of conduct directed at a person that serves no legitimate purpose and seriously alarms, annoys, or intimidates that person (such as repeatedly following or harassing a person).</w:t>
      </w:r>
    </w:p>
    <w:sectPr w:rsidR="00113955" w:rsidRPr="00A4675F" w:rsidSect="00297A44">
      <w:headerReference w:type="even" r:id="rId13"/>
      <w:headerReference w:type="default" r:id="rId14"/>
      <w:footerReference w:type="even" r:id="rId15"/>
      <w:footerReference w:type="default" r:id="rId16"/>
      <w:headerReference w:type="first" r:id="rId17"/>
      <w:footerReference w:type="first" r:id="rId18"/>
      <w:pgSz w:w="12240" w:h="15840"/>
      <w:pgMar w:top="1440" w:right="192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AE2C" w14:textId="77777777" w:rsidR="004A3525" w:rsidRDefault="004A3525" w:rsidP="00F72078">
      <w:r>
        <w:separator/>
      </w:r>
    </w:p>
  </w:endnote>
  <w:endnote w:type="continuationSeparator" w:id="0">
    <w:p w14:paraId="6D19A41E" w14:textId="77777777" w:rsidR="004A3525" w:rsidRDefault="004A3525" w:rsidP="00F72078">
      <w:r>
        <w:continuationSeparator/>
      </w:r>
    </w:p>
  </w:endnote>
  <w:endnote w:type="continuationNotice" w:id="1">
    <w:p w14:paraId="7870CCBF" w14:textId="77777777" w:rsidR="004A3525" w:rsidRDefault="004A3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9766" w14:textId="77777777" w:rsidR="00A23D2A" w:rsidRDefault="00A23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65813"/>
      <w:docPartObj>
        <w:docPartGallery w:val="Page Numbers (Bottom of Page)"/>
        <w:docPartUnique/>
      </w:docPartObj>
    </w:sdtPr>
    <w:sdtEndPr>
      <w:rPr>
        <w:rFonts w:asciiTheme="minorHAnsi" w:hAnsiTheme="minorHAnsi" w:cstheme="minorHAnsi"/>
        <w:noProof/>
      </w:rPr>
    </w:sdtEndPr>
    <w:sdtContent>
      <w:p w14:paraId="6FB6C97A" w14:textId="77777777" w:rsidR="00520BB9" w:rsidRPr="00520BB9" w:rsidRDefault="00520BB9">
        <w:pPr>
          <w:pStyle w:val="Footer"/>
          <w:jc w:val="right"/>
          <w:rPr>
            <w:rFonts w:asciiTheme="minorHAnsi" w:hAnsiTheme="minorHAnsi" w:cstheme="minorHAnsi"/>
          </w:rPr>
        </w:pPr>
        <w:r w:rsidRPr="00520BB9">
          <w:rPr>
            <w:rFonts w:asciiTheme="minorHAnsi" w:hAnsiTheme="minorHAnsi" w:cstheme="minorHAnsi"/>
          </w:rPr>
          <w:fldChar w:fldCharType="begin"/>
        </w:r>
        <w:r w:rsidRPr="00520BB9">
          <w:rPr>
            <w:rFonts w:asciiTheme="minorHAnsi" w:hAnsiTheme="minorHAnsi" w:cstheme="minorHAnsi"/>
          </w:rPr>
          <w:instrText xml:space="preserve"> PAGE   \* MERGEFORMAT </w:instrText>
        </w:r>
        <w:r w:rsidRPr="00520BB9">
          <w:rPr>
            <w:rFonts w:asciiTheme="minorHAnsi" w:hAnsiTheme="minorHAnsi" w:cstheme="minorHAnsi"/>
          </w:rPr>
          <w:fldChar w:fldCharType="separate"/>
        </w:r>
        <w:r w:rsidRPr="00520BB9">
          <w:rPr>
            <w:rFonts w:asciiTheme="minorHAnsi" w:hAnsiTheme="minorHAnsi" w:cstheme="minorHAnsi"/>
            <w:noProof/>
          </w:rPr>
          <w:t>2</w:t>
        </w:r>
        <w:r w:rsidRPr="00520BB9">
          <w:rPr>
            <w:rFonts w:asciiTheme="minorHAnsi" w:hAnsiTheme="minorHAnsi" w:cstheme="minorHAnsi"/>
            <w:noProof/>
          </w:rPr>
          <w:fldChar w:fldCharType="end"/>
        </w:r>
      </w:p>
    </w:sdtContent>
  </w:sdt>
  <w:p w14:paraId="525C3DB7" w14:textId="77777777" w:rsidR="003B77BA" w:rsidRDefault="003B77BA">
    <w:pPr>
      <w:pStyle w:val="Footer"/>
    </w:pPr>
  </w:p>
  <w:p w14:paraId="37B871B8" w14:textId="77777777" w:rsidR="00520BB9" w:rsidRDefault="00520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1A73" w14:textId="77777777" w:rsidR="00A23D2A" w:rsidRDefault="00A2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C761" w14:textId="77777777" w:rsidR="004A3525" w:rsidRDefault="004A3525" w:rsidP="00F72078">
      <w:r>
        <w:separator/>
      </w:r>
    </w:p>
  </w:footnote>
  <w:footnote w:type="continuationSeparator" w:id="0">
    <w:p w14:paraId="3195D137" w14:textId="77777777" w:rsidR="004A3525" w:rsidRDefault="004A3525" w:rsidP="00F72078">
      <w:r>
        <w:continuationSeparator/>
      </w:r>
    </w:p>
  </w:footnote>
  <w:footnote w:type="continuationNotice" w:id="1">
    <w:p w14:paraId="0936E01B" w14:textId="77777777" w:rsidR="004A3525" w:rsidRDefault="004A3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2366" w14:textId="77777777" w:rsidR="00A23D2A" w:rsidRDefault="00A23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AC39" w14:textId="77777777" w:rsidR="00A23D2A" w:rsidRDefault="00A23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BAC2" w14:textId="77777777" w:rsidR="00A23D2A" w:rsidRDefault="00A23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957A9"/>
    <w:multiLevelType w:val="hybridMultilevel"/>
    <w:tmpl w:val="281852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12113"/>
    <w:multiLevelType w:val="hybridMultilevel"/>
    <w:tmpl w:val="2C063348"/>
    <w:lvl w:ilvl="0" w:tplc="B650C558">
      <w:start w:val="1"/>
      <w:numFmt w:val="bullet"/>
      <w:lvlText w:val=""/>
      <w:lvlJc w:val="left"/>
      <w:pPr>
        <w:ind w:left="540" w:hanging="360"/>
      </w:pPr>
      <w:rPr>
        <w:rFonts w:ascii="Symbol" w:hAnsi="Symbol" w:hint="default"/>
        <w:color w:val="auto"/>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 w15:restartNumberingAfterBreak="0">
    <w:nsid w:val="03546D6E"/>
    <w:multiLevelType w:val="hybridMultilevel"/>
    <w:tmpl w:val="21AC42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D4BF9"/>
    <w:multiLevelType w:val="hybridMultilevel"/>
    <w:tmpl w:val="89A8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F499A"/>
    <w:multiLevelType w:val="hybridMultilevel"/>
    <w:tmpl w:val="41C44D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9010A4"/>
    <w:multiLevelType w:val="hybridMultilevel"/>
    <w:tmpl w:val="435203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6B97674"/>
    <w:multiLevelType w:val="hybridMultilevel"/>
    <w:tmpl w:val="FCD883EE"/>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7" w15:restartNumberingAfterBreak="0">
    <w:nsid w:val="175A09AE"/>
    <w:multiLevelType w:val="hybridMultilevel"/>
    <w:tmpl w:val="EC92205A"/>
    <w:lvl w:ilvl="0" w:tplc="1009000F">
      <w:start w:val="1"/>
      <w:numFmt w:val="decimal"/>
      <w:lvlText w:val="%1."/>
      <w:lvlJc w:val="left"/>
      <w:pPr>
        <w:ind w:left="473" w:hanging="360"/>
      </w:p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8" w15:restartNumberingAfterBreak="0">
    <w:nsid w:val="1A527893"/>
    <w:multiLevelType w:val="hybridMultilevel"/>
    <w:tmpl w:val="06900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F5673"/>
    <w:multiLevelType w:val="hybridMultilevel"/>
    <w:tmpl w:val="21AC42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952E1E"/>
    <w:multiLevelType w:val="hybridMultilevel"/>
    <w:tmpl w:val="04E8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60E32"/>
    <w:multiLevelType w:val="hybridMultilevel"/>
    <w:tmpl w:val="B39279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4DD7684"/>
    <w:multiLevelType w:val="hybridMultilevel"/>
    <w:tmpl w:val="BE28A36E"/>
    <w:lvl w:ilvl="0" w:tplc="D2F229B8">
      <w:start w:val="1"/>
      <w:numFmt w:val="decimal"/>
      <w:lvlText w:val="%1."/>
      <w:lvlJc w:val="left"/>
      <w:pPr>
        <w:ind w:left="897" w:hanging="840"/>
      </w:pPr>
      <w:rPr>
        <w:rFonts w:hint="default"/>
      </w:rPr>
    </w:lvl>
    <w:lvl w:ilvl="1" w:tplc="10090019" w:tentative="1">
      <w:start w:val="1"/>
      <w:numFmt w:val="lowerLetter"/>
      <w:lvlText w:val="%2."/>
      <w:lvlJc w:val="left"/>
      <w:pPr>
        <w:ind w:left="1137" w:hanging="360"/>
      </w:pPr>
    </w:lvl>
    <w:lvl w:ilvl="2" w:tplc="1009001B" w:tentative="1">
      <w:start w:val="1"/>
      <w:numFmt w:val="lowerRoman"/>
      <w:lvlText w:val="%3."/>
      <w:lvlJc w:val="right"/>
      <w:pPr>
        <w:ind w:left="1857" w:hanging="180"/>
      </w:pPr>
    </w:lvl>
    <w:lvl w:ilvl="3" w:tplc="1009000F" w:tentative="1">
      <w:start w:val="1"/>
      <w:numFmt w:val="decimal"/>
      <w:lvlText w:val="%4."/>
      <w:lvlJc w:val="left"/>
      <w:pPr>
        <w:ind w:left="2577" w:hanging="360"/>
      </w:pPr>
    </w:lvl>
    <w:lvl w:ilvl="4" w:tplc="10090019" w:tentative="1">
      <w:start w:val="1"/>
      <w:numFmt w:val="lowerLetter"/>
      <w:lvlText w:val="%5."/>
      <w:lvlJc w:val="left"/>
      <w:pPr>
        <w:ind w:left="3297" w:hanging="360"/>
      </w:pPr>
    </w:lvl>
    <w:lvl w:ilvl="5" w:tplc="1009001B" w:tentative="1">
      <w:start w:val="1"/>
      <w:numFmt w:val="lowerRoman"/>
      <w:lvlText w:val="%6."/>
      <w:lvlJc w:val="right"/>
      <w:pPr>
        <w:ind w:left="4017" w:hanging="180"/>
      </w:pPr>
    </w:lvl>
    <w:lvl w:ilvl="6" w:tplc="1009000F" w:tentative="1">
      <w:start w:val="1"/>
      <w:numFmt w:val="decimal"/>
      <w:lvlText w:val="%7."/>
      <w:lvlJc w:val="left"/>
      <w:pPr>
        <w:ind w:left="4737" w:hanging="360"/>
      </w:pPr>
    </w:lvl>
    <w:lvl w:ilvl="7" w:tplc="10090019" w:tentative="1">
      <w:start w:val="1"/>
      <w:numFmt w:val="lowerLetter"/>
      <w:lvlText w:val="%8."/>
      <w:lvlJc w:val="left"/>
      <w:pPr>
        <w:ind w:left="5457" w:hanging="360"/>
      </w:pPr>
    </w:lvl>
    <w:lvl w:ilvl="8" w:tplc="1009001B" w:tentative="1">
      <w:start w:val="1"/>
      <w:numFmt w:val="lowerRoman"/>
      <w:lvlText w:val="%9."/>
      <w:lvlJc w:val="right"/>
      <w:pPr>
        <w:ind w:left="6177" w:hanging="180"/>
      </w:pPr>
    </w:lvl>
  </w:abstractNum>
  <w:abstractNum w:abstractNumId="13" w15:restartNumberingAfterBreak="0">
    <w:nsid w:val="28847D67"/>
    <w:multiLevelType w:val="hybridMultilevel"/>
    <w:tmpl w:val="80E083C2"/>
    <w:lvl w:ilvl="0" w:tplc="D7160B36">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6B1A2F"/>
    <w:multiLevelType w:val="hybridMultilevel"/>
    <w:tmpl w:val="21AC42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BF6C26"/>
    <w:multiLevelType w:val="hybridMultilevel"/>
    <w:tmpl w:val="C62612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9774FC"/>
    <w:multiLevelType w:val="hybridMultilevel"/>
    <w:tmpl w:val="7E92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E269B"/>
    <w:multiLevelType w:val="hybridMultilevel"/>
    <w:tmpl w:val="806A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24C46"/>
    <w:multiLevelType w:val="hybridMultilevel"/>
    <w:tmpl w:val="DD46489A"/>
    <w:lvl w:ilvl="0" w:tplc="D2F229B8">
      <w:start w:val="1"/>
      <w:numFmt w:val="decimal"/>
      <w:lvlText w:val="%1."/>
      <w:lvlJc w:val="left"/>
      <w:pPr>
        <w:ind w:left="1561" w:hanging="840"/>
      </w:pPr>
      <w:rPr>
        <w:rFonts w:hint="default"/>
      </w:rPr>
    </w:lvl>
    <w:lvl w:ilvl="1" w:tplc="10090019" w:tentative="1">
      <w:start w:val="1"/>
      <w:numFmt w:val="lowerLetter"/>
      <w:lvlText w:val="%2."/>
      <w:lvlJc w:val="left"/>
      <w:pPr>
        <w:ind w:left="2104" w:hanging="360"/>
      </w:pPr>
    </w:lvl>
    <w:lvl w:ilvl="2" w:tplc="1009001B" w:tentative="1">
      <w:start w:val="1"/>
      <w:numFmt w:val="lowerRoman"/>
      <w:lvlText w:val="%3."/>
      <w:lvlJc w:val="right"/>
      <w:pPr>
        <w:ind w:left="2824" w:hanging="180"/>
      </w:pPr>
    </w:lvl>
    <w:lvl w:ilvl="3" w:tplc="1009000F" w:tentative="1">
      <w:start w:val="1"/>
      <w:numFmt w:val="decimal"/>
      <w:lvlText w:val="%4."/>
      <w:lvlJc w:val="left"/>
      <w:pPr>
        <w:ind w:left="3544" w:hanging="360"/>
      </w:pPr>
    </w:lvl>
    <w:lvl w:ilvl="4" w:tplc="10090019" w:tentative="1">
      <w:start w:val="1"/>
      <w:numFmt w:val="lowerLetter"/>
      <w:lvlText w:val="%5."/>
      <w:lvlJc w:val="left"/>
      <w:pPr>
        <w:ind w:left="4264" w:hanging="360"/>
      </w:pPr>
    </w:lvl>
    <w:lvl w:ilvl="5" w:tplc="1009001B" w:tentative="1">
      <w:start w:val="1"/>
      <w:numFmt w:val="lowerRoman"/>
      <w:lvlText w:val="%6."/>
      <w:lvlJc w:val="right"/>
      <w:pPr>
        <w:ind w:left="4984" w:hanging="180"/>
      </w:pPr>
    </w:lvl>
    <w:lvl w:ilvl="6" w:tplc="1009000F" w:tentative="1">
      <w:start w:val="1"/>
      <w:numFmt w:val="decimal"/>
      <w:lvlText w:val="%7."/>
      <w:lvlJc w:val="left"/>
      <w:pPr>
        <w:ind w:left="5704" w:hanging="360"/>
      </w:pPr>
    </w:lvl>
    <w:lvl w:ilvl="7" w:tplc="10090019" w:tentative="1">
      <w:start w:val="1"/>
      <w:numFmt w:val="lowerLetter"/>
      <w:lvlText w:val="%8."/>
      <w:lvlJc w:val="left"/>
      <w:pPr>
        <w:ind w:left="6424" w:hanging="360"/>
      </w:pPr>
    </w:lvl>
    <w:lvl w:ilvl="8" w:tplc="1009001B" w:tentative="1">
      <w:start w:val="1"/>
      <w:numFmt w:val="lowerRoman"/>
      <w:lvlText w:val="%9."/>
      <w:lvlJc w:val="right"/>
      <w:pPr>
        <w:ind w:left="7144" w:hanging="180"/>
      </w:pPr>
    </w:lvl>
  </w:abstractNum>
  <w:abstractNum w:abstractNumId="19" w15:restartNumberingAfterBreak="0">
    <w:nsid w:val="468176FC"/>
    <w:multiLevelType w:val="hybridMultilevel"/>
    <w:tmpl w:val="0BB2E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800F60"/>
    <w:multiLevelType w:val="hybridMultilevel"/>
    <w:tmpl w:val="7B8AE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0935F4"/>
    <w:multiLevelType w:val="hybridMultilevel"/>
    <w:tmpl w:val="1E9A4D28"/>
    <w:lvl w:ilvl="0" w:tplc="7B74AB40">
      <w:start w:val="1"/>
      <w:numFmt w:val="bullet"/>
      <w:lvlText w:val="•"/>
      <w:lvlJc w:val="left"/>
      <w:pPr>
        <w:tabs>
          <w:tab w:val="num" w:pos="720"/>
        </w:tabs>
        <w:ind w:left="720" w:hanging="360"/>
      </w:pPr>
      <w:rPr>
        <w:rFonts w:ascii="Arial" w:hAnsi="Arial" w:hint="default"/>
      </w:rPr>
    </w:lvl>
    <w:lvl w:ilvl="1" w:tplc="2D768578" w:tentative="1">
      <w:start w:val="1"/>
      <w:numFmt w:val="bullet"/>
      <w:lvlText w:val="•"/>
      <w:lvlJc w:val="left"/>
      <w:pPr>
        <w:tabs>
          <w:tab w:val="num" w:pos="1440"/>
        </w:tabs>
        <w:ind w:left="1440" w:hanging="360"/>
      </w:pPr>
      <w:rPr>
        <w:rFonts w:ascii="Arial" w:hAnsi="Arial" w:hint="default"/>
      </w:rPr>
    </w:lvl>
    <w:lvl w:ilvl="2" w:tplc="F0BAD1F0" w:tentative="1">
      <w:start w:val="1"/>
      <w:numFmt w:val="bullet"/>
      <w:lvlText w:val="•"/>
      <w:lvlJc w:val="left"/>
      <w:pPr>
        <w:tabs>
          <w:tab w:val="num" w:pos="2160"/>
        </w:tabs>
        <w:ind w:left="2160" w:hanging="360"/>
      </w:pPr>
      <w:rPr>
        <w:rFonts w:ascii="Arial" w:hAnsi="Arial" w:hint="default"/>
      </w:rPr>
    </w:lvl>
    <w:lvl w:ilvl="3" w:tplc="739EEA74" w:tentative="1">
      <w:start w:val="1"/>
      <w:numFmt w:val="bullet"/>
      <w:lvlText w:val="•"/>
      <w:lvlJc w:val="left"/>
      <w:pPr>
        <w:tabs>
          <w:tab w:val="num" w:pos="2880"/>
        </w:tabs>
        <w:ind w:left="2880" w:hanging="360"/>
      </w:pPr>
      <w:rPr>
        <w:rFonts w:ascii="Arial" w:hAnsi="Arial" w:hint="default"/>
      </w:rPr>
    </w:lvl>
    <w:lvl w:ilvl="4" w:tplc="052A58E0" w:tentative="1">
      <w:start w:val="1"/>
      <w:numFmt w:val="bullet"/>
      <w:lvlText w:val="•"/>
      <w:lvlJc w:val="left"/>
      <w:pPr>
        <w:tabs>
          <w:tab w:val="num" w:pos="3600"/>
        </w:tabs>
        <w:ind w:left="3600" w:hanging="360"/>
      </w:pPr>
      <w:rPr>
        <w:rFonts w:ascii="Arial" w:hAnsi="Arial" w:hint="default"/>
      </w:rPr>
    </w:lvl>
    <w:lvl w:ilvl="5" w:tplc="E56AD21A" w:tentative="1">
      <w:start w:val="1"/>
      <w:numFmt w:val="bullet"/>
      <w:lvlText w:val="•"/>
      <w:lvlJc w:val="left"/>
      <w:pPr>
        <w:tabs>
          <w:tab w:val="num" w:pos="4320"/>
        </w:tabs>
        <w:ind w:left="4320" w:hanging="360"/>
      </w:pPr>
      <w:rPr>
        <w:rFonts w:ascii="Arial" w:hAnsi="Arial" w:hint="default"/>
      </w:rPr>
    </w:lvl>
    <w:lvl w:ilvl="6" w:tplc="CB1C8DFC" w:tentative="1">
      <w:start w:val="1"/>
      <w:numFmt w:val="bullet"/>
      <w:lvlText w:val="•"/>
      <w:lvlJc w:val="left"/>
      <w:pPr>
        <w:tabs>
          <w:tab w:val="num" w:pos="5040"/>
        </w:tabs>
        <w:ind w:left="5040" w:hanging="360"/>
      </w:pPr>
      <w:rPr>
        <w:rFonts w:ascii="Arial" w:hAnsi="Arial" w:hint="default"/>
      </w:rPr>
    </w:lvl>
    <w:lvl w:ilvl="7" w:tplc="9B38476C" w:tentative="1">
      <w:start w:val="1"/>
      <w:numFmt w:val="bullet"/>
      <w:lvlText w:val="•"/>
      <w:lvlJc w:val="left"/>
      <w:pPr>
        <w:tabs>
          <w:tab w:val="num" w:pos="5760"/>
        </w:tabs>
        <w:ind w:left="5760" w:hanging="360"/>
      </w:pPr>
      <w:rPr>
        <w:rFonts w:ascii="Arial" w:hAnsi="Arial" w:hint="default"/>
      </w:rPr>
    </w:lvl>
    <w:lvl w:ilvl="8" w:tplc="6DD275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1703A2"/>
    <w:multiLevelType w:val="hybridMultilevel"/>
    <w:tmpl w:val="E0E2B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2610E"/>
    <w:multiLevelType w:val="hybridMultilevel"/>
    <w:tmpl w:val="1D9684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8137FE"/>
    <w:multiLevelType w:val="hybridMultilevel"/>
    <w:tmpl w:val="A488A112"/>
    <w:lvl w:ilvl="0" w:tplc="B21C8494">
      <w:start w:val="1"/>
      <w:numFmt w:val="bullet"/>
      <w:lvlText w:val="•"/>
      <w:lvlJc w:val="left"/>
      <w:pPr>
        <w:tabs>
          <w:tab w:val="num" w:pos="720"/>
        </w:tabs>
        <w:ind w:left="720" w:hanging="360"/>
      </w:pPr>
      <w:rPr>
        <w:rFonts w:ascii="Arial" w:hAnsi="Arial" w:hint="default"/>
      </w:rPr>
    </w:lvl>
    <w:lvl w:ilvl="1" w:tplc="CAE2CB96" w:tentative="1">
      <w:start w:val="1"/>
      <w:numFmt w:val="bullet"/>
      <w:lvlText w:val="•"/>
      <w:lvlJc w:val="left"/>
      <w:pPr>
        <w:tabs>
          <w:tab w:val="num" w:pos="1440"/>
        </w:tabs>
        <w:ind w:left="1440" w:hanging="360"/>
      </w:pPr>
      <w:rPr>
        <w:rFonts w:ascii="Arial" w:hAnsi="Arial" w:hint="default"/>
      </w:rPr>
    </w:lvl>
    <w:lvl w:ilvl="2" w:tplc="AFF4D756" w:tentative="1">
      <w:start w:val="1"/>
      <w:numFmt w:val="bullet"/>
      <w:lvlText w:val="•"/>
      <w:lvlJc w:val="left"/>
      <w:pPr>
        <w:tabs>
          <w:tab w:val="num" w:pos="2160"/>
        </w:tabs>
        <w:ind w:left="2160" w:hanging="360"/>
      </w:pPr>
      <w:rPr>
        <w:rFonts w:ascii="Arial" w:hAnsi="Arial" w:hint="default"/>
      </w:rPr>
    </w:lvl>
    <w:lvl w:ilvl="3" w:tplc="83FAAB28" w:tentative="1">
      <w:start w:val="1"/>
      <w:numFmt w:val="bullet"/>
      <w:lvlText w:val="•"/>
      <w:lvlJc w:val="left"/>
      <w:pPr>
        <w:tabs>
          <w:tab w:val="num" w:pos="2880"/>
        </w:tabs>
        <w:ind w:left="2880" w:hanging="360"/>
      </w:pPr>
      <w:rPr>
        <w:rFonts w:ascii="Arial" w:hAnsi="Arial" w:hint="default"/>
      </w:rPr>
    </w:lvl>
    <w:lvl w:ilvl="4" w:tplc="9E162C0E" w:tentative="1">
      <w:start w:val="1"/>
      <w:numFmt w:val="bullet"/>
      <w:lvlText w:val="•"/>
      <w:lvlJc w:val="left"/>
      <w:pPr>
        <w:tabs>
          <w:tab w:val="num" w:pos="3600"/>
        </w:tabs>
        <w:ind w:left="3600" w:hanging="360"/>
      </w:pPr>
      <w:rPr>
        <w:rFonts w:ascii="Arial" w:hAnsi="Arial" w:hint="default"/>
      </w:rPr>
    </w:lvl>
    <w:lvl w:ilvl="5" w:tplc="5C580EF4" w:tentative="1">
      <w:start w:val="1"/>
      <w:numFmt w:val="bullet"/>
      <w:lvlText w:val="•"/>
      <w:lvlJc w:val="left"/>
      <w:pPr>
        <w:tabs>
          <w:tab w:val="num" w:pos="4320"/>
        </w:tabs>
        <w:ind w:left="4320" w:hanging="360"/>
      </w:pPr>
      <w:rPr>
        <w:rFonts w:ascii="Arial" w:hAnsi="Arial" w:hint="default"/>
      </w:rPr>
    </w:lvl>
    <w:lvl w:ilvl="6" w:tplc="096E2AEC" w:tentative="1">
      <w:start w:val="1"/>
      <w:numFmt w:val="bullet"/>
      <w:lvlText w:val="•"/>
      <w:lvlJc w:val="left"/>
      <w:pPr>
        <w:tabs>
          <w:tab w:val="num" w:pos="5040"/>
        </w:tabs>
        <w:ind w:left="5040" w:hanging="360"/>
      </w:pPr>
      <w:rPr>
        <w:rFonts w:ascii="Arial" w:hAnsi="Arial" w:hint="default"/>
      </w:rPr>
    </w:lvl>
    <w:lvl w:ilvl="7" w:tplc="2C5E95AE" w:tentative="1">
      <w:start w:val="1"/>
      <w:numFmt w:val="bullet"/>
      <w:lvlText w:val="•"/>
      <w:lvlJc w:val="left"/>
      <w:pPr>
        <w:tabs>
          <w:tab w:val="num" w:pos="5760"/>
        </w:tabs>
        <w:ind w:left="5760" w:hanging="360"/>
      </w:pPr>
      <w:rPr>
        <w:rFonts w:ascii="Arial" w:hAnsi="Arial" w:hint="default"/>
      </w:rPr>
    </w:lvl>
    <w:lvl w:ilvl="8" w:tplc="AD32DB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5C4EA4"/>
    <w:multiLevelType w:val="hybridMultilevel"/>
    <w:tmpl w:val="9D9CE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84C29BC"/>
    <w:multiLevelType w:val="hybridMultilevel"/>
    <w:tmpl w:val="A9B8A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24955B4"/>
    <w:multiLevelType w:val="hybridMultilevel"/>
    <w:tmpl w:val="5DFE6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3C1B4B"/>
    <w:multiLevelType w:val="hybridMultilevel"/>
    <w:tmpl w:val="D7A223EC"/>
    <w:lvl w:ilvl="0" w:tplc="ABB000B0">
      <w:start w:val="1"/>
      <w:numFmt w:val="bullet"/>
      <w:lvlText w:val="-"/>
      <w:lvlJc w:val="left"/>
      <w:pPr>
        <w:ind w:left="720" w:hanging="360"/>
      </w:pPr>
      <w:rPr>
        <w:rFonts w:ascii="Century Gothic" w:eastAsia="Calibri" w:hAnsi="Century Gothic"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6B44563A"/>
    <w:multiLevelType w:val="hybridMultilevel"/>
    <w:tmpl w:val="DBC6F826"/>
    <w:lvl w:ilvl="0" w:tplc="CC821094">
      <w:start w:val="1"/>
      <w:numFmt w:val="decimal"/>
      <w:lvlText w:val="%1."/>
      <w:lvlJc w:val="left"/>
      <w:pPr>
        <w:ind w:left="720" w:hanging="360"/>
      </w:pPr>
      <w:rPr>
        <w:rFonts w:ascii="Times New Roman" w:hAnsi="Times New Roman" w:cs="Times New Roman" w:hint="default"/>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6D40B9"/>
    <w:multiLevelType w:val="hybridMultilevel"/>
    <w:tmpl w:val="21AC42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D52FBF"/>
    <w:multiLevelType w:val="hybridMultilevel"/>
    <w:tmpl w:val="CF14AE68"/>
    <w:lvl w:ilvl="0" w:tplc="1009000F">
      <w:start w:val="1"/>
      <w:numFmt w:val="decimal"/>
      <w:lvlText w:val="%1."/>
      <w:lvlJc w:val="left"/>
      <w:pPr>
        <w:ind w:left="777" w:hanging="360"/>
      </w:pPr>
    </w:lvl>
    <w:lvl w:ilvl="1" w:tplc="10090019" w:tentative="1">
      <w:start w:val="1"/>
      <w:numFmt w:val="lowerLetter"/>
      <w:lvlText w:val="%2."/>
      <w:lvlJc w:val="left"/>
      <w:pPr>
        <w:ind w:left="1497" w:hanging="360"/>
      </w:pPr>
    </w:lvl>
    <w:lvl w:ilvl="2" w:tplc="1009001B" w:tentative="1">
      <w:start w:val="1"/>
      <w:numFmt w:val="lowerRoman"/>
      <w:lvlText w:val="%3."/>
      <w:lvlJc w:val="right"/>
      <w:pPr>
        <w:ind w:left="2217" w:hanging="180"/>
      </w:pPr>
    </w:lvl>
    <w:lvl w:ilvl="3" w:tplc="1009000F" w:tentative="1">
      <w:start w:val="1"/>
      <w:numFmt w:val="decimal"/>
      <w:lvlText w:val="%4."/>
      <w:lvlJc w:val="left"/>
      <w:pPr>
        <w:ind w:left="2937" w:hanging="360"/>
      </w:pPr>
    </w:lvl>
    <w:lvl w:ilvl="4" w:tplc="10090019" w:tentative="1">
      <w:start w:val="1"/>
      <w:numFmt w:val="lowerLetter"/>
      <w:lvlText w:val="%5."/>
      <w:lvlJc w:val="left"/>
      <w:pPr>
        <w:ind w:left="3657" w:hanging="360"/>
      </w:pPr>
    </w:lvl>
    <w:lvl w:ilvl="5" w:tplc="1009001B" w:tentative="1">
      <w:start w:val="1"/>
      <w:numFmt w:val="lowerRoman"/>
      <w:lvlText w:val="%6."/>
      <w:lvlJc w:val="right"/>
      <w:pPr>
        <w:ind w:left="4377" w:hanging="180"/>
      </w:pPr>
    </w:lvl>
    <w:lvl w:ilvl="6" w:tplc="1009000F" w:tentative="1">
      <w:start w:val="1"/>
      <w:numFmt w:val="decimal"/>
      <w:lvlText w:val="%7."/>
      <w:lvlJc w:val="left"/>
      <w:pPr>
        <w:ind w:left="5097" w:hanging="360"/>
      </w:pPr>
    </w:lvl>
    <w:lvl w:ilvl="7" w:tplc="10090019" w:tentative="1">
      <w:start w:val="1"/>
      <w:numFmt w:val="lowerLetter"/>
      <w:lvlText w:val="%8."/>
      <w:lvlJc w:val="left"/>
      <w:pPr>
        <w:ind w:left="5817" w:hanging="360"/>
      </w:pPr>
    </w:lvl>
    <w:lvl w:ilvl="8" w:tplc="1009001B" w:tentative="1">
      <w:start w:val="1"/>
      <w:numFmt w:val="lowerRoman"/>
      <w:lvlText w:val="%9."/>
      <w:lvlJc w:val="right"/>
      <w:pPr>
        <w:ind w:left="6537" w:hanging="180"/>
      </w:pPr>
    </w:lvl>
  </w:abstractNum>
  <w:abstractNum w:abstractNumId="32" w15:restartNumberingAfterBreak="0">
    <w:nsid w:val="73490E77"/>
    <w:multiLevelType w:val="hybridMultilevel"/>
    <w:tmpl w:val="4E86E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3D4A5E"/>
    <w:multiLevelType w:val="hybridMultilevel"/>
    <w:tmpl w:val="94CA74B6"/>
    <w:lvl w:ilvl="0" w:tplc="817CF0C6">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A2AA77"/>
    <w:multiLevelType w:val="hybridMultilevel"/>
    <w:tmpl w:val="6386C4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8"/>
  </w:num>
  <w:num w:numId="4">
    <w:abstractNumId w:val="6"/>
  </w:num>
  <w:num w:numId="5">
    <w:abstractNumId w:val="31"/>
  </w:num>
  <w:num w:numId="6">
    <w:abstractNumId w:val="12"/>
  </w:num>
  <w:num w:numId="7">
    <w:abstractNumId w:val="18"/>
  </w:num>
  <w:num w:numId="8">
    <w:abstractNumId w:val="7"/>
  </w:num>
  <w:num w:numId="9">
    <w:abstractNumId w:val="14"/>
  </w:num>
  <w:num w:numId="10">
    <w:abstractNumId w:val="2"/>
  </w:num>
  <w:num w:numId="11">
    <w:abstractNumId w:val="30"/>
  </w:num>
  <w:num w:numId="12">
    <w:abstractNumId w:val="9"/>
  </w:num>
  <w:num w:numId="13">
    <w:abstractNumId w:val="20"/>
  </w:num>
  <w:num w:numId="14">
    <w:abstractNumId w:val="5"/>
  </w:num>
  <w:num w:numId="15">
    <w:abstractNumId w:val="24"/>
  </w:num>
  <w:num w:numId="16">
    <w:abstractNumId w:val="21"/>
  </w:num>
  <w:num w:numId="17">
    <w:abstractNumId w:val="13"/>
  </w:num>
  <w:num w:numId="18">
    <w:abstractNumId w:val="33"/>
  </w:num>
  <w:num w:numId="19">
    <w:abstractNumId w:val="19"/>
  </w:num>
  <w:num w:numId="20">
    <w:abstractNumId w:val="29"/>
  </w:num>
  <w:num w:numId="21">
    <w:abstractNumId w:val="11"/>
  </w:num>
  <w:num w:numId="22">
    <w:abstractNumId w:val="10"/>
  </w:num>
  <w:num w:numId="23">
    <w:abstractNumId w:val="32"/>
  </w:num>
  <w:num w:numId="24">
    <w:abstractNumId w:val="23"/>
  </w:num>
  <w:num w:numId="25">
    <w:abstractNumId w:val="1"/>
  </w:num>
  <w:num w:numId="26">
    <w:abstractNumId w:val="22"/>
  </w:num>
  <w:num w:numId="27">
    <w:abstractNumId w:val="8"/>
  </w:num>
  <w:num w:numId="28">
    <w:abstractNumId w:val="15"/>
  </w:num>
  <w:num w:numId="29">
    <w:abstractNumId w:val="26"/>
  </w:num>
  <w:num w:numId="30">
    <w:abstractNumId w:val="25"/>
  </w:num>
  <w:num w:numId="31">
    <w:abstractNumId w:val="4"/>
  </w:num>
  <w:num w:numId="32">
    <w:abstractNumId w:val="3"/>
  </w:num>
  <w:num w:numId="33">
    <w:abstractNumId w:val="0"/>
  </w:num>
  <w:num w:numId="34">
    <w:abstractNumId w:val="17"/>
  </w:num>
  <w:num w:numId="35">
    <w:abstractNumId w:val="34"/>
  </w:num>
  <w:num w:numId="36">
    <w:abstractNumId w:val="1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44"/>
    <w:rsid w:val="000009D4"/>
    <w:rsid w:val="00001E9A"/>
    <w:rsid w:val="00016708"/>
    <w:rsid w:val="0002537F"/>
    <w:rsid w:val="00027419"/>
    <w:rsid w:val="000345D6"/>
    <w:rsid w:val="00034FAF"/>
    <w:rsid w:val="00041F0D"/>
    <w:rsid w:val="00042458"/>
    <w:rsid w:val="00051457"/>
    <w:rsid w:val="00055CCA"/>
    <w:rsid w:val="00061676"/>
    <w:rsid w:val="00065D6B"/>
    <w:rsid w:val="00067043"/>
    <w:rsid w:val="0008673B"/>
    <w:rsid w:val="00096785"/>
    <w:rsid w:val="000A0119"/>
    <w:rsid w:val="000B181A"/>
    <w:rsid w:val="000B4E09"/>
    <w:rsid w:val="000B7015"/>
    <w:rsid w:val="000C3AE4"/>
    <w:rsid w:val="000C44C8"/>
    <w:rsid w:val="000D5372"/>
    <w:rsid w:val="000D5775"/>
    <w:rsid w:val="000D78A4"/>
    <w:rsid w:val="000E493C"/>
    <w:rsid w:val="000F3AA7"/>
    <w:rsid w:val="000F625D"/>
    <w:rsid w:val="001036E3"/>
    <w:rsid w:val="00111DCC"/>
    <w:rsid w:val="00113955"/>
    <w:rsid w:val="00114532"/>
    <w:rsid w:val="00116180"/>
    <w:rsid w:val="001257E5"/>
    <w:rsid w:val="001310A0"/>
    <w:rsid w:val="00135F8D"/>
    <w:rsid w:val="001372AD"/>
    <w:rsid w:val="0013787F"/>
    <w:rsid w:val="00153C14"/>
    <w:rsid w:val="00153C44"/>
    <w:rsid w:val="001540E1"/>
    <w:rsid w:val="0015623D"/>
    <w:rsid w:val="0015711A"/>
    <w:rsid w:val="00162DD5"/>
    <w:rsid w:val="00163097"/>
    <w:rsid w:val="00163B05"/>
    <w:rsid w:val="00163E7B"/>
    <w:rsid w:val="00167568"/>
    <w:rsid w:val="001711C0"/>
    <w:rsid w:val="00171364"/>
    <w:rsid w:val="001767C4"/>
    <w:rsid w:val="001B125C"/>
    <w:rsid w:val="001B2972"/>
    <w:rsid w:val="001B41A5"/>
    <w:rsid w:val="001B4F8D"/>
    <w:rsid w:val="001C092F"/>
    <w:rsid w:val="001C37B4"/>
    <w:rsid w:val="001C61B4"/>
    <w:rsid w:val="001D4BE7"/>
    <w:rsid w:val="001E068B"/>
    <w:rsid w:val="001E0C9D"/>
    <w:rsid w:val="001E49D5"/>
    <w:rsid w:val="001E5A9D"/>
    <w:rsid w:val="001F129E"/>
    <w:rsid w:val="001F3069"/>
    <w:rsid w:val="001F3455"/>
    <w:rsid w:val="001F4512"/>
    <w:rsid w:val="0020163F"/>
    <w:rsid w:val="002020FC"/>
    <w:rsid w:val="00202436"/>
    <w:rsid w:val="002065DC"/>
    <w:rsid w:val="00214451"/>
    <w:rsid w:val="00225BE4"/>
    <w:rsid w:val="0022632A"/>
    <w:rsid w:val="00231BCB"/>
    <w:rsid w:val="002328ED"/>
    <w:rsid w:val="00243DB1"/>
    <w:rsid w:val="00252648"/>
    <w:rsid w:val="002554BF"/>
    <w:rsid w:val="00266F71"/>
    <w:rsid w:val="00272814"/>
    <w:rsid w:val="0028574A"/>
    <w:rsid w:val="002929C4"/>
    <w:rsid w:val="0029614A"/>
    <w:rsid w:val="00296E11"/>
    <w:rsid w:val="00297A44"/>
    <w:rsid w:val="00297BCD"/>
    <w:rsid w:val="002A05EC"/>
    <w:rsid w:val="002A0DB5"/>
    <w:rsid w:val="002A1D9F"/>
    <w:rsid w:val="002B256E"/>
    <w:rsid w:val="002B3D2D"/>
    <w:rsid w:val="002C3ABE"/>
    <w:rsid w:val="002C49AB"/>
    <w:rsid w:val="002C760B"/>
    <w:rsid w:val="002D52A1"/>
    <w:rsid w:val="002E3834"/>
    <w:rsid w:val="002E670B"/>
    <w:rsid w:val="002E6FF6"/>
    <w:rsid w:val="002E74EA"/>
    <w:rsid w:val="002F0F3F"/>
    <w:rsid w:val="002F1D7F"/>
    <w:rsid w:val="002F7BE2"/>
    <w:rsid w:val="00303ECA"/>
    <w:rsid w:val="003067C7"/>
    <w:rsid w:val="00307B49"/>
    <w:rsid w:val="00310CF3"/>
    <w:rsid w:val="0031334B"/>
    <w:rsid w:val="00314BFF"/>
    <w:rsid w:val="003152F0"/>
    <w:rsid w:val="00316FCF"/>
    <w:rsid w:val="00317F1F"/>
    <w:rsid w:val="00321560"/>
    <w:rsid w:val="00324F32"/>
    <w:rsid w:val="00325545"/>
    <w:rsid w:val="0033110C"/>
    <w:rsid w:val="003527F1"/>
    <w:rsid w:val="0035739F"/>
    <w:rsid w:val="003614EF"/>
    <w:rsid w:val="00361D19"/>
    <w:rsid w:val="0036413B"/>
    <w:rsid w:val="00367A5D"/>
    <w:rsid w:val="00367B83"/>
    <w:rsid w:val="00373B0D"/>
    <w:rsid w:val="003748B0"/>
    <w:rsid w:val="00376BBD"/>
    <w:rsid w:val="00380A82"/>
    <w:rsid w:val="00384F43"/>
    <w:rsid w:val="0038547C"/>
    <w:rsid w:val="00391080"/>
    <w:rsid w:val="003929DF"/>
    <w:rsid w:val="003929FA"/>
    <w:rsid w:val="00397D77"/>
    <w:rsid w:val="003A310D"/>
    <w:rsid w:val="003B49DB"/>
    <w:rsid w:val="003B5164"/>
    <w:rsid w:val="003B77BA"/>
    <w:rsid w:val="003D00BC"/>
    <w:rsid w:val="003D37F5"/>
    <w:rsid w:val="003D489C"/>
    <w:rsid w:val="003E6B59"/>
    <w:rsid w:val="003F2489"/>
    <w:rsid w:val="003F7CCA"/>
    <w:rsid w:val="00400A65"/>
    <w:rsid w:val="00402F83"/>
    <w:rsid w:val="00404C1A"/>
    <w:rsid w:val="004134B9"/>
    <w:rsid w:val="00417B2B"/>
    <w:rsid w:val="004203AB"/>
    <w:rsid w:val="00425DD3"/>
    <w:rsid w:val="00426299"/>
    <w:rsid w:val="00427936"/>
    <w:rsid w:val="004335AA"/>
    <w:rsid w:val="00440299"/>
    <w:rsid w:val="0044252E"/>
    <w:rsid w:val="00443449"/>
    <w:rsid w:val="00445F61"/>
    <w:rsid w:val="00446687"/>
    <w:rsid w:val="0045157E"/>
    <w:rsid w:val="00454401"/>
    <w:rsid w:val="00457DDA"/>
    <w:rsid w:val="004603B1"/>
    <w:rsid w:val="00460932"/>
    <w:rsid w:val="00460DCD"/>
    <w:rsid w:val="004619DA"/>
    <w:rsid w:val="00462750"/>
    <w:rsid w:val="00465522"/>
    <w:rsid w:val="00466D8F"/>
    <w:rsid w:val="00471B96"/>
    <w:rsid w:val="0047289F"/>
    <w:rsid w:val="00483C93"/>
    <w:rsid w:val="0048510A"/>
    <w:rsid w:val="00486E42"/>
    <w:rsid w:val="00487378"/>
    <w:rsid w:val="0048747D"/>
    <w:rsid w:val="00492CAB"/>
    <w:rsid w:val="00497055"/>
    <w:rsid w:val="004A2238"/>
    <w:rsid w:val="004A3525"/>
    <w:rsid w:val="004A392D"/>
    <w:rsid w:val="004A52E0"/>
    <w:rsid w:val="004B0BDF"/>
    <w:rsid w:val="004B2323"/>
    <w:rsid w:val="004B347D"/>
    <w:rsid w:val="004B69F7"/>
    <w:rsid w:val="004B74F4"/>
    <w:rsid w:val="004C1361"/>
    <w:rsid w:val="004C4085"/>
    <w:rsid w:val="004C6608"/>
    <w:rsid w:val="004D086A"/>
    <w:rsid w:val="004D1C69"/>
    <w:rsid w:val="004D26C2"/>
    <w:rsid w:val="004D45B7"/>
    <w:rsid w:val="004D6300"/>
    <w:rsid w:val="004E288F"/>
    <w:rsid w:val="004F1B03"/>
    <w:rsid w:val="004F20C3"/>
    <w:rsid w:val="004F6E68"/>
    <w:rsid w:val="00502DBE"/>
    <w:rsid w:val="00503CDC"/>
    <w:rsid w:val="005125C2"/>
    <w:rsid w:val="00514450"/>
    <w:rsid w:val="00520BB9"/>
    <w:rsid w:val="00525825"/>
    <w:rsid w:val="00527AA2"/>
    <w:rsid w:val="005403EF"/>
    <w:rsid w:val="005410BC"/>
    <w:rsid w:val="005418B0"/>
    <w:rsid w:val="00544468"/>
    <w:rsid w:val="00544DC1"/>
    <w:rsid w:val="00545A71"/>
    <w:rsid w:val="00551A62"/>
    <w:rsid w:val="0055616C"/>
    <w:rsid w:val="005607E0"/>
    <w:rsid w:val="0056329F"/>
    <w:rsid w:val="005653D5"/>
    <w:rsid w:val="00570507"/>
    <w:rsid w:val="00572BEE"/>
    <w:rsid w:val="005733DA"/>
    <w:rsid w:val="0057735C"/>
    <w:rsid w:val="00577FAB"/>
    <w:rsid w:val="00584BE9"/>
    <w:rsid w:val="005903D7"/>
    <w:rsid w:val="00593EC5"/>
    <w:rsid w:val="005A18EA"/>
    <w:rsid w:val="005A2234"/>
    <w:rsid w:val="005A27D5"/>
    <w:rsid w:val="005A4FB0"/>
    <w:rsid w:val="005A5C1E"/>
    <w:rsid w:val="005C1B1A"/>
    <w:rsid w:val="005C6542"/>
    <w:rsid w:val="005C7FF2"/>
    <w:rsid w:val="005D6D37"/>
    <w:rsid w:val="005E129B"/>
    <w:rsid w:val="005E5C7D"/>
    <w:rsid w:val="005E6FDF"/>
    <w:rsid w:val="005F0F40"/>
    <w:rsid w:val="005F2985"/>
    <w:rsid w:val="005F2CA1"/>
    <w:rsid w:val="005F3D39"/>
    <w:rsid w:val="0060477A"/>
    <w:rsid w:val="00614B10"/>
    <w:rsid w:val="00617CDA"/>
    <w:rsid w:val="00624B02"/>
    <w:rsid w:val="006341FE"/>
    <w:rsid w:val="006370F8"/>
    <w:rsid w:val="00637B75"/>
    <w:rsid w:val="006400C4"/>
    <w:rsid w:val="00643F66"/>
    <w:rsid w:val="00644E88"/>
    <w:rsid w:val="00645CEF"/>
    <w:rsid w:val="00656FE0"/>
    <w:rsid w:val="00660E07"/>
    <w:rsid w:val="006615E0"/>
    <w:rsid w:val="00661685"/>
    <w:rsid w:val="006672E6"/>
    <w:rsid w:val="0066749B"/>
    <w:rsid w:val="006709D6"/>
    <w:rsid w:val="00670FE3"/>
    <w:rsid w:val="00671249"/>
    <w:rsid w:val="0067744F"/>
    <w:rsid w:val="00694AEE"/>
    <w:rsid w:val="00695E04"/>
    <w:rsid w:val="00696D3A"/>
    <w:rsid w:val="006A62D5"/>
    <w:rsid w:val="006B3EA9"/>
    <w:rsid w:val="006B4EAC"/>
    <w:rsid w:val="006B509A"/>
    <w:rsid w:val="006B67EA"/>
    <w:rsid w:val="006C18D5"/>
    <w:rsid w:val="006C430E"/>
    <w:rsid w:val="006C7751"/>
    <w:rsid w:val="006D6DBA"/>
    <w:rsid w:val="006D72AA"/>
    <w:rsid w:val="006E0723"/>
    <w:rsid w:val="006E78AD"/>
    <w:rsid w:val="006F030E"/>
    <w:rsid w:val="006F3F40"/>
    <w:rsid w:val="006F4158"/>
    <w:rsid w:val="007073F5"/>
    <w:rsid w:val="00714D7C"/>
    <w:rsid w:val="00717BB5"/>
    <w:rsid w:val="00723E0E"/>
    <w:rsid w:val="00724BC2"/>
    <w:rsid w:val="00726E8B"/>
    <w:rsid w:val="00732573"/>
    <w:rsid w:val="00733BB3"/>
    <w:rsid w:val="007376E7"/>
    <w:rsid w:val="00742C2A"/>
    <w:rsid w:val="00742DDE"/>
    <w:rsid w:val="00746A76"/>
    <w:rsid w:val="00753257"/>
    <w:rsid w:val="00767151"/>
    <w:rsid w:val="007707B1"/>
    <w:rsid w:val="007808B1"/>
    <w:rsid w:val="0078238E"/>
    <w:rsid w:val="00785D6D"/>
    <w:rsid w:val="0079068C"/>
    <w:rsid w:val="00794C32"/>
    <w:rsid w:val="007A2F04"/>
    <w:rsid w:val="007A706B"/>
    <w:rsid w:val="007B0853"/>
    <w:rsid w:val="007B2904"/>
    <w:rsid w:val="007B7141"/>
    <w:rsid w:val="007C1458"/>
    <w:rsid w:val="007C6A39"/>
    <w:rsid w:val="007D0F69"/>
    <w:rsid w:val="007D6DDD"/>
    <w:rsid w:val="007D75A3"/>
    <w:rsid w:val="007E0A39"/>
    <w:rsid w:val="007E60E3"/>
    <w:rsid w:val="007F1C41"/>
    <w:rsid w:val="007F48FB"/>
    <w:rsid w:val="00800F0C"/>
    <w:rsid w:val="00812C3E"/>
    <w:rsid w:val="00813793"/>
    <w:rsid w:val="00813B14"/>
    <w:rsid w:val="0081789E"/>
    <w:rsid w:val="00824217"/>
    <w:rsid w:val="00825894"/>
    <w:rsid w:val="00834A37"/>
    <w:rsid w:val="008415DE"/>
    <w:rsid w:val="00843428"/>
    <w:rsid w:val="00850C9C"/>
    <w:rsid w:val="00851676"/>
    <w:rsid w:val="0086342B"/>
    <w:rsid w:val="00873DD0"/>
    <w:rsid w:val="00874813"/>
    <w:rsid w:val="0087734F"/>
    <w:rsid w:val="00881169"/>
    <w:rsid w:val="008813A3"/>
    <w:rsid w:val="00890C12"/>
    <w:rsid w:val="00890ED8"/>
    <w:rsid w:val="008918BD"/>
    <w:rsid w:val="00895DE0"/>
    <w:rsid w:val="008971E1"/>
    <w:rsid w:val="00897949"/>
    <w:rsid w:val="008A7FF3"/>
    <w:rsid w:val="008B2A36"/>
    <w:rsid w:val="008B4F5E"/>
    <w:rsid w:val="008C2126"/>
    <w:rsid w:val="008C741F"/>
    <w:rsid w:val="008D42C9"/>
    <w:rsid w:val="008D6A18"/>
    <w:rsid w:val="008D7B85"/>
    <w:rsid w:val="008E09C1"/>
    <w:rsid w:val="008E25C5"/>
    <w:rsid w:val="008E3060"/>
    <w:rsid w:val="008F1E6C"/>
    <w:rsid w:val="008F3482"/>
    <w:rsid w:val="00901045"/>
    <w:rsid w:val="009104F8"/>
    <w:rsid w:val="009110DB"/>
    <w:rsid w:val="00912844"/>
    <w:rsid w:val="00917B57"/>
    <w:rsid w:val="00924E41"/>
    <w:rsid w:val="00931EF7"/>
    <w:rsid w:val="0093209A"/>
    <w:rsid w:val="00942FEC"/>
    <w:rsid w:val="00962453"/>
    <w:rsid w:val="009627C5"/>
    <w:rsid w:val="00962CD0"/>
    <w:rsid w:val="009638A3"/>
    <w:rsid w:val="009652E3"/>
    <w:rsid w:val="00975783"/>
    <w:rsid w:val="00982B9D"/>
    <w:rsid w:val="00983120"/>
    <w:rsid w:val="009915DB"/>
    <w:rsid w:val="0099651B"/>
    <w:rsid w:val="00996801"/>
    <w:rsid w:val="00997653"/>
    <w:rsid w:val="009A2363"/>
    <w:rsid w:val="009A3094"/>
    <w:rsid w:val="009A367D"/>
    <w:rsid w:val="009A5796"/>
    <w:rsid w:val="009B1D63"/>
    <w:rsid w:val="009B44DA"/>
    <w:rsid w:val="009B65DE"/>
    <w:rsid w:val="009C0B3E"/>
    <w:rsid w:val="009D34B0"/>
    <w:rsid w:val="009D37DA"/>
    <w:rsid w:val="009D4701"/>
    <w:rsid w:val="009E5516"/>
    <w:rsid w:val="009F396B"/>
    <w:rsid w:val="00A0326B"/>
    <w:rsid w:val="00A16E08"/>
    <w:rsid w:val="00A23BD3"/>
    <w:rsid w:val="00A23D2A"/>
    <w:rsid w:val="00A31CD0"/>
    <w:rsid w:val="00A359ED"/>
    <w:rsid w:val="00A37F22"/>
    <w:rsid w:val="00A37FEC"/>
    <w:rsid w:val="00A40563"/>
    <w:rsid w:val="00A413C7"/>
    <w:rsid w:val="00A42831"/>
    <w:rsid w:val="00A4675F"/>
    <w:rsid w:val="00A4736E"/>
    <w:rsid w:val="00A539FF"/>
    <w:rsid w:val="00A54CD6"/>
    <w:rsid w:val="00A56745"/>
    <w:rsid w:val="00A5728F"/>
    <w:rsid w:val="00A71A7E"/>
    <w:rsid w:val="00A74E9C"/>
    <w:rsid w:val="00A755CD"/>
    <w:rsid w:val="00A80709"/>
    <w:rsid w:val="00A814B3"/>
    <w:rsid w:val="00A91B8C"/>
    <w:rsid w:val="00A94CEB"/>
    <w:rsid w:val="00A95325"/>
    <w:rsid w:val="00A963FC"/>
    <w:rsid w:val="00A96FBB"/>
    <w:rsid w:val="00AA127F"/>
    <w:rsid w:val="00AA166D"/>
    <w:rsid w:val="00AA2362"/>
    <w:rsid w:val="00AB0613"/>
    <w:rsid w:val="00AB1A41"/>
    <w:rsid w:val="00AB5490"/>
    <w:rsid w:val="00AB6F7E"/>
    <w:rsid w:val="00AB745F"/>
    <w:rsid w:val="00AB7EFB"/>
    <w:rsid w:val="00AC1A80"/>
    <w:rsid w:val="00AC2AA4"/>
    <w:rsid w:val="00AD612F"/>
    <w:rsid w:val="00AD71CE"/>
    <w:rsid w:val="00AE4018"/>
    <w:rsid w:val="00AF21C5"/>
    <w:rsid w:val="00B02A0D"/>
    <w:rsid w:val="00B071BF"/>
    <w:rsid w:val="00B12FAB"/>
    <w:rsid w:val="00B170C0"/>
    <w:rsid w:val="00B25C8B"/>
    <w:rsid w:val="00B263A4"/>
    <w:rsid w:val="00B26791"/>
    <w:rsid w:val="00B33B4B"/>
    <w:rsid w:val="00B40910"/>
    <w:rsid w:val="00B4714E"/>
    <w:rsid w:val="00B51023"/>
    <w:rsid w:val="00B53621"/>
    <w:rsid w:val="00B56E65"/>
    <w:rsid w:val="00B6099A"/>
    <w:rsid w:val="00B72E55"/>
    <w:rsid w:val="00B75465"/>
    <w:rsid w:val="00B7632D"/>
    <w:rsid w:val="00B76C30"/>
    <w:rsid w:val="00B8365D"/>
    <w:rsid w:val="00B85F85"/>
    <w:rsid w:val="00B86562"/>
    <w:rsid w:val="00B86E22"/>
    <w:rsid w:val="00B93223"/>
    <w:rsid w:val="00B94001"/>
    <w:rsid w:val="00B9523A"/>
    <w:rsid w:val="00BA0812"/>
    <w:rsid w:val="00BA31E6"/>
    <w:rsid w:val="00BA7663"/>
    <w:rsid w:val="00BB1D48"/>
    <w:rsid w:val="00BC0356"/>
    <w:rsid w:val="00BD2130"/>
    <w:rsid w:val="00BE45EC"/>
    <w:rsid w:val="00BE4BC7"/>
    <w:rsid w:val="00BE697A"/>
    <w:rsid w:val="00BF495F"/>
    <w:rsid w:val="00BF4E1E"/>
    <w:rsid w:val="00BF5BDE"/>
    <w:rsid w:val="00BF7AE4"/>
    <w:rsid w:val="00C01FA3"/>
    <w:rsid w:val="00C029AC"/>
    <w:rsid w:val="00C0459C"/>
    <w:rsid w:val="00C06B1D"/>
    <w:rsid w:val="00C0701F"/>
    <w:rsid w:val="00C14AD8"/>
    <w:rsid w:val="00C14E25"/>
    <w:rsid w:val="00C16197"/>
    <w:rsid w:val="00C178E6"/>
    <w:rsid w:val="00C17A59"/>
    <w:rsid w:val="00C26607"/>
    <w:rsid w:val="00C34ECC"/>
    <w:rsid w:val="00C36953"/>
    <w:rsid w:val="00C442F5"/>
    <w:rsid w:val="00C46DE3"/>
    <w:rsid w:val="00C51699"/>
    <w:rsid w:val="00C563CA"/>
    <w:rsid w:val="00C72DD2"/>
    <w:rsid w:val="00C74759"/>
    <w:rsid w:val="00C74D14"/>
    <w:rsid w:val="00C75111"/>
    <w:rsid w:val="00C75F37"/>
    <w:rsid w:val="00C76007"/>
    <w:rsid w:val="00C76285"/>
    <w:rsid w:val="00C84BE5"/>
    <w:rsid w:val="00C91B0B"/>
    <w:rsid w:val="00C9218E"/>
    <w:rsid w:val="00C93AB7"/>
    <w:rsid w:val="00C95901"/>
    <w:rsid w:val="00CA67B7"/>
    <w:rsid w:val="00CA78A6"/>
    <w:rsid w:val="00CB07F8"/>
    <w:rsid w:val="00CB1801"/>
    <w:rsid w:val="00CB3163"/>
    <w:rsid w:val="00CC034D"/>
    <w:rsid w:val="00CC0631"/>
    <w:rsid w:val="00CC3F07"/>
    <w:rsid w:val="00CC537D"/>
    <w:rsid w:val="00CC7C57"/>
    <w:rsid w:val="00CD1E5F"/>
    <w:rsid w:val="00CD304D"/>
    <w:rsid w:val="00CE0CED"/>
    <w:rsid w:val="00CE2E5A"/>
    <w:rsid w:val="00CE2E89"/>
    <w:rsid w:val="00CE7EE9"/>
    <w:rsid w:val="00CF0ED1"/>
    <w:rsid w:val="00CF45E6"/>
    <w:rsid w:val="00D04D02"/>
    <w:rsid w:val="00D060BD"/>
    <w:rsid w:val="00D06E35"/>
    <w:rsid w:val="00D07B6B"/>
    <w:rsid w:val="00D1102B"/>
    <w:rsid w:val="00D1292F"/>
    <w:rsid w:val="00D14840"/>
    <w:rsid w:val="00D165DC"/>
    <w:rsid w:val="00D41018"/>
    <w:rsid w:val="00D42BA1"/>
    <w:rsid w:val="00D430E4"/>
    <w:rsid w:val="00D54C9E"/>
    <w:rsid w:val="00D60BEE"/>
    <w:rsid w:val="00D6202B"/>
    <w:rsid w:val="00D72172"/>
    <w:rsid w:val="00D7521C"/>
    <w:rsid w:val="00D77400"/>
    <w:rsid w:val="00D8000D"/>
    <w:rsid w:val="00D83F89"/>
    <w:rsid w:val="00D8548E"/>
    <w:rsid w:val="00D909BE"/>
    <w:rsid w:val="00D94051"/>
    <w:rsid w:val="00DA0D7C"/>
    <w:rsid w:val="00DB0635"/>
    <w:rsid w:val="00DB11D0"/>
    <w:rsid w:val="00DB49A9"/>
    <w:rsid w:val="00DC3C54"/>
    <w:rsid w:val="00DC715A"/>
    <w:rsid w:val="00DC780F"/>
    <w:rsid w:val="00DD025A"/>
    <w:rsid w:val="00DE6D93"/>
    <w:rsid w:val="00DE71C7"/>
    <w:rsid w:val="00DF35C8"/>
    <w:rsid w:val="00E00A84"/>
    <w:rsid w:val="00E16B54"/>
    <w:rsid w:val="00E25BD4"/>
    <w:rsid w:val="00E26EF7"/>
    <w:rsid w:val="00E27D93"/>
    <w:rsid w:val="00E315DD"/>
    <w:rsid w:val="00E3661B"/>
    <w:rsid w:val="00E4091B"/>
    <w:rsid w:val="00E463EE"/>
    <w:rsid w:val="00E52629"/>
    <w:rsid w:val="00E52A12"/>
    <w:rsid w:val="00E72CC9"/>
    <w:rsid w:val="00E8143F"/>
    <w:rsid w:val="00E8274E"/>
    <w:rsid w:val="00E839D6"/>
    <w:rsid w:val="00E83F47"/>
    <w:rsid w:val="00E91CF2"/>
    <w:rsid w:val="00E977E1"/>
    <w:rsid w:val="00EA2800"/>
    <w:rsid w:val="00EB1310"/>
    <w:rsid w:val="00EB2607"/>
    <w:rsid w:val="00EB4E7D"/>
    <w:rsid w:val="00EB7A35"/>
    <w:rsid w:val="00EC184D"/>
    <w:rsid w:val="00EC2A87"/>
    <w:rsid w:val="00EC6BC9"/>
    <w:rsid w:val="00ED0016"/>
    <w:rsid w:val="00ED34E1"/>
    <w:rsid w:val="00EE2D14"/>
    <w:rsid w:val="00EE5DE3"/>
    <w:rsid w:val="00EF0480"/>
    <w:rsid w:val="00EF09DC"/>
    <w:rsid w:val="00EF75CE"/>
    <w:rsid w:val="00F100B3"/>
    <w:rsid w:val="00F1387D"/>
    <w:rsid w:val="00F17B57"/>
    <w:rsid w:val="00F25F60"/>
    <w:rsid w:val="00F3086E"/>
    <w:rsid w:val="00F31046"/>
    <w:rsid w:val="00F33D13"/>
    <w:rsid w:val="00F46AD5"/>
    <w:rsid w:val="00F61B19"/>
    <w:rsid w:val="00F61F85"/>
    <w:rsid w:val="00F62A4C"/>
    <w:rsid w:val="00F72078"/>
    <w:rsid w:val="00F75A65"/>
    <w:rsid w:val="00F81759"/>
    <w:rsid w:val="00F85186"/>
    <w:rsid w:val="00F85226"/>
    <w:rsid w:val="00F96F84"/>
    <w:rsid w:val="00F97A56"/>
    <w:rsid w:val="00F97B17"/>
    <w:rsid w:val="00FA00F9"/>
    <w:rsid w:val="00FA4F23"/>
    <w:rsid w:val="00FA62DB"/>
    <w:rsid w:val="00FA649D"/>
    <w:rsid w:val="00FB11EB"/>
    <w:rsid w:val="00FB2C49"/>
    <w:rsid w:val="00FC08DA"/>
    <w:rsid w:val="00FC44F8"/>
    <w:rsid w:val="00FC55CB"/>
    <w:rsid w:val="00FC5E9B"/>
    <w:rsid w:val="00FD2D65"/>
    <w:rsid w:val="00FE18D3"/>
    <w:rsid w:val="00FE363E"/>
    <w:rsid w:val="00FE45DE"/>
    <w:rsid w:val="00FE7681"/>
    <w:rsid w:val="00FF1213"/>
    <w:rsid w:val="00FF4369"/>
    <w:rsid w:val="00FF5066"/>
    <w:rsid w:val="0310A397"/>
    <w:rsid w:val="0401B828"/>
    <w:rsid w:val="061E1149"/>
    <w:rsid w:val="06BE25C8"/>
    <w:rsid w:val="071C9835"/>
    <w:rsid w:val="08DD72A5"/>
    <w:rsid w:val="0AFFD45B"/>
    <w:rsid w:val="118B331F"/>
    <w:rsid w:val="13FE5264"/>
    <w:rsid w:val="17C36315"/>
    <w:rsid w:val="193F6C72"/>
    <w:rsid w:val="1D876B80"/>
    <w:rsid w:val="1E8F238B"/>
    <w:rsid w:val="1FB2F080"/>
    <w:rsid w:val="2167BC26"/>
    <w:rsid w:val="220F3233"/>
    <w:rsid w:val="248CE629"/>
    <w:rsid w:val="249B1F43"/>
    <w:rsid w:val="2E2E1A7F"/>
    <w:rsid w:val="2F785A10"/>
    <w:rsid w:val="3107AA56"/>
    <w:rsid w:val="33F99315"/>
    <w:rsid w:val="368012EB"/>
    <w:rsid w:val="36F106D7"/>
    <w:rsid w:val="37F9EF28"/>
    <w:rsid w:val="39ACD80C"/>
    <w:rsid w:val="3A20E11C"/>
    <w:rsid w:val="3A5AA02D"/>
    <w:rsid w:val="3B237E9F"/>
    <w:rsid w:val="3D2A9A71"/>
    <w:rsid w:val="40BACF2F"/>
    <w:rsid w:val="4538C04C"/>
    <w:rsid w:val="4746BDCB"/>
    <w:rsid w:val="48E1BE63"/>
    <w:rsid w:val="4DA7F062"/>
    <w:rsid w:val="5033A7CB"/>
    <w:rsid w:val="50DF0198"/>
    <w:rsid w:val="5A5E9554"/>
    <w:rsid w:val="5CD73231"/>
    <w:rsid w:val="6A1CF580"/>
    <w:rsid w:val="6AA7EA24"/>
    <w:rsid w:val="6DCA5147"/>
    <w:rsid w:val="6E31666A"/>
    <w:rsid w:val="6F9319F6"/>
    <w:rsid w:val="71221732"/>
    <w:rsid w:val="74CB5E60"/>
    <w:rsid w:val="75FB1DF5"/>
    <w:rsid w:val="76AC1821"/>
    <w:rsid w:val="79B74F50"/>
    <w:rsid w:val="7EAB99C5"/>
  </w:rsids>
  <m:mathPr>
    <m:mathFont m:val="Cambria Math"/>
    <m:brkBin m:val="before"/>
    <m:brkBinSub m:val="--"/>
    <m:smallFrac m:val="0"/>
    <m:dispDef/>
    <m:lMargin m:val="0"/>
    <m:rMargin m:val="0"/>
    <m:defJc m:val="centerGroup"/>
    <m:wrapIndent m:val="1440"/>
    <m:intLim m:val="subSup"/>
    <m:naryLim m:val="undOvr"/>
  </m:mathPr>
  <w:themeFontLang w:val="en-CA"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79065"/>
  <w15:chartTrackingRefBased/>
  <w15:docId w15:val="{13E66C69-A11C-4E4C-8609-256A518D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44"/>
    <w:pPr>
      <w:spacing w:after="0" w:line="240" w:lineRule="auto"/>
    </w:pPr>
    <w:rPr>
      <w:rFonts w:ascii="Calibri" w:hAnsi="Calibri" w:cs="Calibri"/>
      <w:lang w:eastAsia="en-CA"/>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qFormat/>
    <w:rsid w:val="00FE363E"/>
    <w:pPr>
      <w:spacing w:after="0" w:line="240" w:lineRule="auto"/>
    </w:pPr>
    <w:rPr>
      <w:sz w:val="24"/>
    </w:rPr>
  </w:style>
  <w:style w:type="paragraph" w:styleId="ListParagraph">
    <w:name w:val="List Paragraph"/>
    <w:aliases w:val="Dot pt,Liste 1,bullet 1,Unordered List Level 1,Indented Paragraph,Bullet list,Lettre d'introduction,List Paragraph1,Recommendation,List Paragraph11,bullets - top,ListIndent1,F5 List Paragraph,List Paragraph Char Char Char,Indicator Text,L"/>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unhideWhenUsed/>
    <w:rsid w:val="00297A44"/>
    <w:rPr>
      <w:color w:val="0563C1"/>
      <w:u w:val="single"/>
    </w:rPr>
  </w:style>
  <w:style w:type="character" w:styleId="UnresolvedMention">
    <w:name w:val="Unresolved Mention"/>
    <w:basedOn w:val="DefaultParagraphFont"/>
    <w:uiPriority w:val="99"/>
    <w:semiHidden/>
    <w:unhideWhenUsed/>
    <w:rsid w:val="00297A44"/>
    <w:rPr>
      <w:color w:val="605E5C"/>
      <w:shd w:val="clear" w:color="auto" w:fill="E1DFDD"/>
    </w:rPr>
  </w:style>
  <w:style w:type="character" w:styleId="CommentReference">
    <w:name w:val="annotation reference"/>
    <w:basedOn w:val="DefaultParagraphFont"/>
    <w:uiPriority w:val="99"/>
    <w:semiHidden/>
    <w:unhideWhenUsed/>
    <w:rsid w:val="00483C93"/>
    <w:rPr>
      <w:sz w:val="16"/>
      <w:szCs w:val="16"/>
    </w:rPr>
  </w:style>
  <w:style w:type="paragraph" w:styleId="CommentText">
    <w:name w:val="annotation text"/>
    <w:basedOn w:val="Normal"/>
    <w:link w:val="CommentTextChar"/>
    <w:uiPriority w:val="99"/>
    <w:unhideWhenUsed/>
    <w:rsid w:val="00483C93"/>
    <w:rPr>
      <w:sz w:val="20"/>
      <w:szCs w:val="20"/>
    </w:rPr>
  </w:style>
  <w:style w:type="character" w:customStyle="1" w:styleId="CommentTextChar">
    <w:name w:val="Comment Text Char"/>
    <w:basedOn w:val="DefaultParagraphFont"/>
    <w:link w:val="CommentText"/>
    <w:uiPriority w:val="99"/>
    <w:rsid w:val="00483C93"/>
    <w:rPr>
      <w:rFonts w:ascii="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483C93"/>
    <w:rPr>
      <w:b/>
      <w:bCs/>
    </w:rPr>
  </w:style>
  <w:style w:type="character" w:customStyle="1" w:styleId="CommentSubjectChar">
    <w:name w:val="Comment Subject Char"/>
    <w:basedOn w:val="CommentTextChar"/>
    <w:link w:val="CommentSubject"/>
    <w:uiPriority w:val="99"/>
    <w:semiHidden/>
    <w:rsid w:val="00483C93"/>
    <w:rPr>
      <w:rFonts w:ascii="Calibri" w:hAnsi="Calibri" w:cs="Calibri"/>
      <w:b/>
      <w:bCs/>
      <w:sz w:val="20"/>
      <w:szCs w:val="20"/>
      <w:lang w:eastAsia="en-CA"/>
    </w:rPr>
  </w:style>
  <w:style w:type="character" w:styleId="FollowedHyperlink">
    <w:name w:val="FollowedHyperlink"/>
    <w:basedOn w:val="DefaultParagraphFont"/>
    <w:uiPriority w:val="99"/>
    <w:semiHidden/>
    <w:unhideWhenUsed/>
    <w:rsid w:val="002C3ABE"/>
    <w:rPr>
      <w:color w:val="919191" w:themeColor="followedHyperlink"/>
      <w:u w:val="single"/>
    </w:rPr>
  </w:style>
  <w:style w:type="table" w:styleId="TableGrid">
    <w:name w:val="Table Grid"/>
    <w:basedOn w:val="TableNormal"/>
    <w:rsid w:val="003B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Liste 1 Char,bullet 1 Char,Unordered List Level 1 Char,Indented Paragraph Char,Bullet list Char,Lettre d'introduction Char,List Paragraph1 Char,Recommendation Char,List Paragraph11 Char,bullets - top Char,ListIndent1 Char"/>
    <w:link w:val="ListParagraph"/>
    <w:uiPriority w:val="34"/>
    <w:qFormat/>
    <w:locked/>
    <w:rsid w:val="00AB7EFB"/>
    <w:rPr>
      <w:rFonts w:ascii="Calibri" w:hAnsi="Calibri" w:cs="Calibri"/>
      <w:lang w:eastAsia="en-CA"/>
    </w:rPr>
  </w:style>
  <w:style w:type="paragraph" w:customStyle="1" w:styleId="Default">
    <w:name w:val="Default"/>
    <w:rsid w:val="00034FAF"/>
    <w:pPr>
      <w:autoSpaceDE w:val="0"/>
      <w:autoSpaceDN w:val="0"/>
      <w:adjustRightInd w:val="0"/>
      <w:spacing w:after="0" w:line="240" w:lineRule="auto"/>
    </w:pPr>
    <w:rPr>
      <w:rFonts w:ascii="Calibri" w:hAnsi="Calibri" w:cs="Calibri"/>
      <w:color w:val="000000"/>
      <w:sz w:val="24"/>
      <w:szCs w:val="24"/>
      <w:lang w:val="en-US"/>
    </w:rPr>
  </w:style>
  <w:style w:type="paragraph" w:styleId="Caption">
    <w:name w:val="caption"/>
    <w:basedOn w:val="Normal"/>
    <w:next w:val="Normal"/>
    <w:uiPriority w:val="35"/>
    <w:unhideWhenUsed/>
    <w:qFormat/>
    <w:rsid w:val="00471B96"/>
    <w:pPr>
      <w:spacing w:after="200"/>
    </w:pPr>
    <w:rPr>
      <w:rFonts w:ascii="Arial" w:hAnsi="Arial" w:cs="Arial"/>
      <w:i/>
      <w:iCs/>
      <w:color w:val="000000"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219">
      <w:bodyDiv w:val="1"/>
      <w:marLeft w:val="0"/>
      <w:marRight w:val="0"/>
      <w:marTop w:val="0"/>
      <w:marBottom w:val="0"/>
      <w:divBdr>
        <w:top w:val="none" w:sz="0" w:space="0" w:color="auto"/>
        <w:left w:val="none" w:sz="0" w:space="0" w:color="auto"/>
        <w:bottom w:val="none" w:sz="0" w:space="0" w:color="auto"/>
        <w:right w:val="none" w:sz="0" w:space="0" w:color="auto"/>
      </w:divBdr>
    </w:div>
    <w:div w:id="316033504">
      <w:bodyDiv w:val="1"/>
      <w:marLeft w:val="0"/>
      <w:marRight w:val="0"/>
      <w:marTop w:val="0"/>
      <w:marBottom w:val="0"/>
      <w:divBdr>
        <w:top w:val="none" w:sz="0" w:space="0" w:color="auto"/>
        <w:left w:val="none" w:sz="0" w:space="0" w:color="auto"/>
        <w:bottom w:val="none" w:sz="0" w:space="0" w:color="auto"/>
        <w:right w:val="none" w:sz="0" w:space="0" w:color="auto"/>
      </w:divBdr>
      <w:divsChild>
        <w:div w:id="334042426">
          <w:marLeft w:val="547"/>
          <w:marRight w:val="0"/>
          <w:marTop w:val="0"/>
          <w:marBottom w:val="0"/>
          <w:divBdr>
            <w:top w:val="none" w:sz="0" w:space="0" w:color="auto"/>
            <w:left w:val="none" w:sz="0" w:space="0" w:color="auto"/>
            <w:bottom w:val="none" w:sz="0" w:space="0" w:color="auto"/>
            <w:right w:val="none" w:sz="0" w:space="0" w:color="auto"/>
          </w:divBdr>
        </w:div>
        <w:div w:id="1361861186">
          <w:marLeft w:val="2074"/>
          <w:marRight w:val="0"/>
          <w:marTop w:val="0"/>
          <w:marBottom w:val="0"/>
          <w:divBdr>
            <w:top w:val="none" w:sz="0" w:space="0" w:color="auto"/>
            <w:left w:val="none" w:sz="0" w:space="0" w:color="auto"/>
            <w:bottom w:val="none" w:sz="0" w:space="0" w:color="auto"/>
            <w:right w:val="none" w:sz="0" w:space="0" w:color="auto"/>
          </w:divBdr>
        </w:div>
        <w:div w:id="204027253">
          <w:marLeft w:val="2074"/>
          <w:marRight w:val="0"/>
          <w:marTop w:val="0"/>
          <w:marBottom w:val="0"/>
          <w:divBdr>
            <w:top w:val="none" w:sz="0" w:space="0" w:color="auto"/>
            <w:left w:val="none" w:sz="0" w:space="0" w:color="auto"/>
            <w:bottom w:val="none" w:sz="0" w:space="0" w:color="auto"/>
            <w:right w:val="none" w:sz="0" w:space="0" w:color="auto"/>
          </w:divBdr>
        </w:div>
        <w:div w:id="1745251836">
          <w:marLeft w:val="2074"/>
          <w:marRight w:val="0"/>
          <w:marTop w:val="0"/>
          <w:marBottom w:val="0"/>
          <w:divBdr>
            <w:top w:val="none" w:sz="0" w:space="0" w:color="auto"/>
            <w:left w:val="none" w:sz="0" w:space="0" w:color="auto"/>
            <w:bottom w:val="none" w:sz="0" w:space="0" w:color="auto"/>
            <w:right w:val="none" w:sz="0" w:space="0" w:color="auto"/>
          </w:divBdr>
        </w:div>
      </w:divsChild>
    </w:div>
    <w:div w:id="324285732">
      <w:bodyDiv w:val="1"/>
      <w:marLeft w:val="0"/>
      <w:marRight w:val="0"/>
      <w:marTop w:val="0"/>
      <w:marBottom w:val="0"/>
      <w:divBdr>
        <w:top w:val="none" w:sz="0" w:space="0" w:color="auto"/>
        <w:left w:val="none" w:sz="0" w:space="0" w:color="auto"/>
        <w:bottom w:val="none" w:sz="0" w:space="0" w:color="auto"/>
        <w:right w:val="none" w:sz="0" w:space="0" w:color="auto"/>
      </w:divBdr>
    </w:div>
    <w:div w:id="658995948">
      <w:bodyDiv w:val="1"/>
      <w:marLeft w:val="0"/>
      <w:marRight w:val="0"/>
      <w:marTop w:val="0"/>
      <w:marBottom w:val="0"/>
      <w:divBdr>
        <w:top w:val="none" w:sz="0" w:space="0" w:color="auto"/>
        <w:left w:val="none" w:sz="0" w:space="0" w:color="auto"/>
        <w:bottom w:val="none" w:sz="0" w:space="0" w:color="auto"/>
        <w:right w:val="none" w:sz="0" w:space="0" w:color="auto"/>
      </w:divBdr>
    </w:div>
    <w:div w:id="715467815">
      <w:bodyDiv w:val="1"/>
      <w:marLeft w:val="0"/>
      <w:marRight w:val="0"/>
      <w:marTop w:val="0"/>
      <w:marBottom w:val="0"/>
      <w:divBdr>
        <w:top w:val="none" w:sz="0" w:space="0" w:color="auto"/>
        <w:left w:val="none" w:sz="0" w:space="0" w:color="auto"/>
        <w:bottom w:val="none" w:sz="0" w:space="0" w:color="auto"/>
        <w:right w:val="none" w:sz="0" w:space="0" w:color="auto"/>
      </w:divBdr>
    </w:div>
    <w:div w:id="922180522">
      <w:bodyDiv w:val="1"/>
      <w:marLeft w:val="0"/>
      <w:marRight w:val="0"/>
      <w:marTop w:val="0"/>
      <w:marBottom w:val="0"/>
      <w:divBdr>
        <w:top w:val="none" w:sz="0" w:space="0" w:color="auto"/>
        <w:left w:val="none" w:sz="0" w:space="0" w:color="auto"/>
        <w:bottom w:val="none" w:sz="0" w:space="0" w:color="auto"/>
        <w:right w:val="none" w:sz="0" w:space="0" w:color="auto"/>
      </w:divBdr>
    </w:div>
    <w:div w:id="1618290761">
      <w:bodyDiv w:val="1"/>
      <w:marLeft w:val="0"/>
      <w:marRight w:val="0"/>
      <w:marTop w:val="0"/>
      <w:marBottom w:val="0"/>
      <w:divBdr>
        <w:top w:val="none" w:sz="0" w:space="0" w:color="auto"/>
        <w:left w:val="none" w:sz="0" w:space="0" w:color="auto"/>
        <w:bottom w:val="none" w:sz="0" w:space="0" w:color="auto"/>
        <w:right w:val="none" w:sz="0" w:space="0" w:color="auto"/>
      </w:divBdr>
      <w:divsChild>
        <w:div w:id="1666783533">
          <w:marLeft w:val="547"/>
          <w:marRight w:val="0"/>
          <w:marTop w:val="72"/>
          <w:marBottom w:val="0"/>
          <w:divBdr>
            <w:top w:val="none" w:sz="0" w:space="0" w:color="auto"/>
            <w:left w:val="none" w:sz="0" w:space="0" w:color="auto"/>
            <w:bottom w:val="none" w:sz="0" w:space="0" w:color="auto"/>
            <w:right w:val="none" w:sz="0" w:space="0" w:color="auto"/>
          </w:divBdr>
        </w:div>
      </w:divsChild>
    </w:div>
    <w:div w:id="1968393529">
      <w:bodyDiv w:val="1"/>
      <w:marLeft w:val="0"/>
      <w:marRight w:val="0"/>
      <w:marTop w:val="0"/>
      <w:marBottom w:val="0"/>
      <w:divBdr>
        <w:top w:val="none" w:sz="0" w:space="0" w:color="auto"/>
        <w:left w:val="none" w:sz="0" w:space="0" w:color="auto"/>
        <w:bottom w:val="none" w:sz="0" w:space="0" w:color="auto"/>
        <w:right w:val="none" w:sz="0" w:space="0" w:color="auto"/>
      </w:divBdr>
    </w:div>
    <w:div w:id="209820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50.statcan.gc.ca/n1/en/pub/85-002-x/2017001/article/14842-eng.pdf?st=U__8u-A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E4EB5AB29204788F5DC81E7F90359" ma:contentTypeVersion="13" ma:contentTypeDescription="Create a new document." ma:contentTypeScope="" ma:versionID="7e789185c8d91de8a4490411da9b856b">
  <xsd:schema xmlns:xsd="http://www.w3.org/2001/XMLSchema" xmlns:xs="http://www.w3.org/2001/XMLSchema" xmlns:p="http://schemas.microsoft.com/office/2006/metadata/properties" xmlns:ns3="267ce246-15f2-443f-bafc-1d6de3df3f70" xmlns:ns4="5eb04fa3-f381-427c-adff-d0b6e0b7f690" targetNamespace="http://schemas.microsoft.com/office/2006/metadata/properties" ma:root="true" ma:fieldsID="229aff014ccd5d0221e59862d69c330e" ns3:_="" ns4:_="">
    <xsd:import namespace="267ce246-15f2-443f-bafc-1d6de3df3f70"/>
    <xsd:import namespace="5eb04fa3-f381-427c-adff-d0b6e0b7f6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e246-15f2-443f-bafc-1d6de3df3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04fa3-f381-427c-adff-d0b6e0b7f6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934BC-7D8D-4996-84DF-EB1B14CB8CA4}">
  <ds:schemaRefs>
    <ds:schemaRef ds:uri="http://schemas.openxmlformats.org/officeDocument/2006/bibliography"/>
  </ds:schemaRefs>
</ds:datastoreItem>
</file>

<file path=customXml/itemProps2.xml><?xml version="1.0" encoding="utf-8"?>
<ds:datastoreItem xmlns:ds="http://schemas.openxmlformats.org/officeDocument/2006/customXml" ds:itemID="{70AEEC16-CED3-4530-9455-19859D475708}">
  <ds:schemaRefs>
    <ds:schemaRef ds:uri="http://schemas.microsoft.com/sharepoint/v3/contenttype/forms"/>
  </ds:schemaRefs>
</ds:datastoreItem>
</file>

<file path=customXml/itemProps3.xml><?xml version="1.0" encoding="utf-8"?>
<ds:datastoreItem xmlns:ds="http://schemas.openxmlformats.org/officeDocument/2006/customXml" ds:itemID="{E39776FA-BA52-4CD1-99A9-0825F4323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e246-15f2-443f-bafc-1d6de3df3f70"/>
    <ds:schemaRef ds:uri="5eb04fa3-f381-427c-adff-d0b6e0b7f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C0A2F-F0C9-4CEF-8087-726A11F8D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Jefford</dc:creator>
  <cp:keywords/>
  <dc:description/>
  <cp:lastModifiedBy>Cindy English</cp:lastModifiedBy>
  <cp:revision>2</cp:revision>
  <dcterms:created xsi:type="dcterms:W3CDTF">2021-05-04T11:48:00Z</dcterms:created>
  <dcterms:modified xsi:type="dcterms:W3CDTF">2021-05-04T11:48:00Z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Annet.RexChristy@ontario.ca</vt:lpwstr>
  </property>
  <property fmtid="{D5CDD505-2E9C-101B-9397-08002B2CF9AE}" pid="5" name="MSIP_Label_034a106e-6316-442c-ad35-738afd673d2b_SetDate">
    <vt:lpwstr>2019-05-30T20:17:43.9987280Z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0x01010038FE4EB5AB29204788F5DC81E7F90359</vt:lpwstr>
  </property>
</Properties>
</file>